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24-TA-1185: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30. aprīļa noteikumos Nr. 182 "Šaujamieroču, to būtisko sastāvdaļu un munīcijas, lielas enerģijas pneimatisko ieroču, gāzes ieroču un signālieroču marķēšanas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(03.05.2019.)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projekta anotācijas 5. sadaļā skaidrot Eiropas Parlamenta un Padomes 2021. gada 24. marta Direktīvas (ES) 2021/555 par ieroču iegādes un glabāšanas kontroli prasību pārņemšanu Ministru kabineta 2019. gada 30. aprīļa noteikumos Nr. 182 "Šaujamieroču, to būtisko sastāvdaļu un munīcijas, lielas enerģijas pneimatisko ieroču, gāzes ieroču un signālieroču marķēšanas kārtība" (turpmāk -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Nr.182 tiek precizēti ietverot informatīvo atsauci uz Eiropas Savienības Eiropas Parlamenta un Padomes Direktīvu (ES) 2021/555 par ieroču iegādes un glabāšanas kontroli kodificētu redakciju, jo Eiropas Parlamenta un Padomes 2017. gada 17. maija Direktīva (ES) 2017/853, ar ko groza Padomes Direktīvu 91/477/EEK par ieroču iegādes un glabāšanas kontroli zaudēja savu spēku. Savukārt  Eiropas Savienības Eiropas Parlamenta un Padomes Direktīvas (ES) 2021/555 par ieroču iegādes un glabāšanas kontroli kodificēta redakcijā pēc būtības ir integrēts Eiropas Parlamenta un Padomes 2017. gada 17. maija Direktīvas (ES) 2017/853, ar ko groza Padomes Direktīvu 91/477/EEK par ieroču iegādes un glabāšanas kontroli tekst (tiesību normas) loģiskā un secīga izklāstā. Ar projekta tiesību normām netiek pārņemta Eiropas Savienības Eiropas Parlamenta un Padomes Direktīvu (ES) 2021/555 par ieroču iegādes un glabāšanas kontroli kodificēta redakcija. Savukārt Eiropas Parlamenta un Padomes 2017. gada 17. maija Direktīva (ES) 2017/853, ar ko groza Padomes Direktīvu 91/477/EEK par ieroču iegādes un glabāšanas kontroli šobrīd ir neatņemama daļa no Eiropas Savienības Eiropas Parlamenta un Padomes Direktīvu (ES) 2021/555 par ieroču iegādes un glabāšanas kontroli kodificētas redakcijas, kas tika jau pārņemta ar MK noteikumu Nr.182 tiesību normām un MK noteikumu Nr.182 anotācijā ir atrodama informācija par attiecīgo prasību pārņemšanu MK noteikumu Nr.182 2.punktā, 11.punktā, 3.punktā un 20.punktā.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Ieroču komersants var pieteikt muitas procedūru – laišana brīvā apgrozībā, ja tas importē trešajā valstī iegādātos šaujamieročus vai atsevišķas to būtiskās sastāvdaļas, kuras nav marķētas šajos noteikumos noteiktajā kārtībā. Ieroču komersants pēc šādu šaujamieroču vai atsevišķu to būtisko sastāvdaļu izlaišanas brīvā apgrozībā nekavējoties nodrošina, ka attiecīgi šaujamieroči vai atsevišķas to būtiskās sastāvdaļas tiek marķēti atbilstoši šajos noteikumos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skaidrot projekta 2. un 5. punkta (noteikumu 10.</w:t>
            </w:r>
            <w:r w:rsidR="00000000" w:rsidRPr="00000000" w:rsidDel="00000000">
              <w:rPr>
                <w:vertAlign w:val="superscript"/>
                <w:rtl w:val="0"/>
              </w:rPr>
              <w:t xml:space="preserve">1</w:t>
            </w:r>
            <w:r w:rsidR="00000000" w:rsidRPr="00000000" w:rsidDel="00000000">
              <w:rPr>
                <w:rtl w:val="0"/>
              </w:rPr>
              <w:t xml:space="preserve"> un 18.</w:t>
            </w:r>
            <w:r w:rsidR="00000000" w:rsidRPr="00000000" w:rsidDel="00000000">
              <w:rPr>
                <w:vertAlign w:val="superscript"/>
                <w:rtl w:val="0"/>
              </w:rPr>
              <w:t xml:space="preserve">1</w:t>
            </w:r>
            <w:r w:rsidR="00000000" w:rsidRPr="00000000" w:rsidDel="00000000">
              <w:rPr>
                <w:rtl w:val="0"/>
              </w:rPr>
              <w:t xml:space="preserve"> punkts) atbilstību Ieroču aprites likuma 86. panta otrajai daļai jeb:” </w:t>
            </w:r>
            <w:r w:rsidR="00000000" w:rsidRPr="00000000" w:rsidDel="00000000">
              <w:rPr>
                <w:i w:val="1"/>
                <w:rtl w:val="0"/>
              </w:rPr>
              <w:t xml:space="preserve">Ieroču komersants,</w:t>
            </w:r>
            <w:r w:rsidR="00000000" w:rsidRPr="00000000" w:rsidDel="00000000">
              <w:rPr>
                <w:b w:val="1"/>
                <w:i w:val="1"/>
                <w:rtl w:val="0"/>
              </w:rPr>
              <w:t xml:space="preserve"> laižot brīvā apgrozībā</w:t>
            </w:r>
            <w:r w:rsidR="00000000" w:rsidRPr="00000000" w:rsidDel="00000000">
              <w:rPr>
                <w:i w:val="1"/>
                <w:rtl w:val="0"/>
              </w:rPr>
              <w:t xml:space="preserve"> Latvijā šaujamieročus, [..] nodrošina, ka [tie] [..] ir marķēti ar skaidru un neizdzēšamu marķējumu, </w:t>
            </w:r>
            <w:r w:rsidR="00000000" w:rsidRPr="00000000" w:rsidDel="00000000">
              <w:rPr>
                <w:b w:val="1"/>
                <w:i w:val="1"/>
                <w:rtl w:val="0"/>
              </w:rPr>
              <w:t xml:space="preserve">izņemot šaujamieročus vai to būtiskās sastāvdaļas, kurām ir īpaša vēsturiska nozīme</w:t>
            </w:r>
            <w:r w:rsidR="00000000" w:rsidRPr="00000000" w:rsidDel="00000000">
              <w:rPr>
                <w:i w:val="1"/>
                <w:rtl w:val="0"/>
              </w:rPr>
              <w:t xml:space="preserve">.</w:t>
            </w:r>
            <w:r w:rsidR="00000000" w:rsidRPr="00000000" w:rsidDel="00000000">
              <w:rPr>
                <w:rtl w:val="0"/>
              </w:rPr>
              <w:t xml:space="preserve">” Proti, pirmšķietami likums, kas attiecīgo jautājumu ir noregulējis, neparedz, ka marķēšanu varētu veikt arī pēc izlaišanas brīvā apgrozībā Latvijā, turklāt izņēmumi no minētā likuma regulējuma interpretējami šauri, tādējādi projekta 2. un 5. punkts, iespējams, neatbilst likuma 86. panta otrajai daļai. Ja attiecīgu skaidrojumu nav iespējams sniegt, lūdzam svītrot projekta 2. un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un 5.punkts ir svitrots.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projekta anotācijas 5.4. sadaļas 1. tabulā ievietot atsauci uz Eiropas Parlamenta un Padomes 2021. gada 24. marta Direktīvu (ES) 2021/555 par ieroču iegādes un glabāšanas kontroli (nepieciešamības gadījumā pārvietojot uz šo sadaļu daļu no anotācijas 1.3. sadaļā ietvertā skaidrojuma).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ietvertās atsauces uz Eiropas Savienības tiesību aktiem noformēt atbilstoši Ministru kabineta 2009. gada 3. februāra noteikumu Nr. 108 "Normatīvo aktu projektu sagatavošanas noteikumi” 170.-172. punktam, atsaucē uz Eiropas Savienības tiesību aktu norādot šādu informāciju: institūcija (Komisija, Padome, Eiropas Parlaments), kas izdevusi attiecīgo tiesību aktu; </w:t>
            </w:r>
            <w:r w:rsidR="00000000" w:rsidRPr="00000000" w:rsidDel="00000000">
              <w:rPr>
                <w:b w:val="1"/>
                <w:rtl w:val="0"/>
              </w:rPr>
              <w:t xml:space="preserve">tiesību akta pieņemšanas datums</w:t>
            </w:r>
            <w:r w:rsidR="00000000" w:rsidRPr="00000000" w:rsidDel="00000000">
              <w:rPr>
                <w:rtl w:val="0"/>
              </w:rPr>
              <w:t xml:space="preserve">; veids (regula); numurs un nosaukums atbilstoši tiesību akta nosaukumam latviešu valodā EUR-Lex datu bāzē. Piemēram, Eiropas Parlamenta un Padomes </w:t>
            </w:r>
            <w:r w:rsidR="00000000" w:rsidRPr="00000000" w:rsidDel="00000000">
              <w:rPr>
                <w:b w:val="1"/>
                <w:rtl w:val="0"/>
              </w:rPr>
              <w:t xml:space="preserve">2024. gada 19. decembra</w:t>
            </w:r>
            <w:r w:rsidR="00000000" w:rsidRPr="00000000" w:rsidDel="00000000">
              <w:rPr>
                <w:rtl w:val="0"/>
              </w:rPr>
              <w:t xml:space="preserve"> Regula (ES) 2025/41 par šaujamieroču, būtisku sastāvdaļu un munīcijas importa, eksporta un tranzīta pasākumiem un ar kuru īsteno 10. pantu Apvienoto Nāciju Organizācijas Protokolā par šaujamieroču, to detaļu, sastāvdaļu un munīcijas nelikumīgu ražošanu un tirdzniecību, kas papildina Apvienoto Nāciju Organizācijas Konvenciju pret transnacionālo organizēto noziedzību (ANO Šaujamieroču protokols).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ietvertās atsauces uz Eiropas Savienības tiesību aktiem ir precizētas un noformētas atbilstoši Ministru kabineta 2009. gada 3. februāra noteikumu Nr. 108 "Normatīvo aktu projektu sagatavošanas noteikumi” 170.-172.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5.4. apakšsadaļas 1. tabulu, svītrojot norādi, ka Komisijas 2024. gada 19. janvāra Īstenošanas direktīva (ES) 2024/325, ar ko Īstenošanas direktīvu (ES) 2019/68 groza attiecībā uz šaujamieroču un būtisko daļu marķējumu minimālo dziļumu, 3. pants tiek ieviests pārņemts, jo norādīts, ka to nav nepieciešams pārņemt.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anotācijas 5.4. apakšsadaļas 1. tabula, svītrojot norādi, ka Komisijas 2024. gada 19. janvāra Īstenošanas direktīva (ES) 2024/325, ar ko Īstenošanas direktīvu (ES) 2019/68 groza attiecībā uz šaujamieroču un būtisko daļu marķējumu minimālo dziļumu, 3. pants tiek ieviests pārņemts, jo to nav nepieciešams pārņemt.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Ieroču komersants šo noteikumu 10.punktā un 10.</w:t>
            </w:r>
            <w:r w:rsidR="00000000" w:rsidRPr="00000000" w:rsidDel="00000000">
              <w:rPr>
                <w:vertAlign w:val="superscript"/>
                <w:rtl w:val="0"/>
              </w:rPr>
              <w:t xml:space="preserve">1</w:t>
            </w:r>
            <w:r w:rsidR="00000000" w:rsidRPr="00000000" w:rsidDel="00000000">
              <w:rPr>
                <w:rtl w:val="0"/>
              </w:rPr>
              <w:t xml:space="preserve">punktā minētās informācijas norādīšanai marķējumā var izmantot latīņu, grieķu vai kirilicas alfabēta burtus, kā arī arābu vai romiešu ciparus. Marķējumā izmantoto ciparu un burtu izmērs, kā arī to dziļums atbilst attiecīgi šo noteikumu 4. vai 5. 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svītrot projekta 3. punktā (noteikumu 11. punktā) izdarīto atsauci uz noteikumu 10.</w:t>
            </w:r>
            <w:r w:rsidR="00000000" w:rsidRPr="00000000" w:rsidDel="00000000">
              <w:rPr>
                <w:vertAlign w:val="superscript"/>
                <w:rtl w:val="0"/>
              </w:rPr>
              <w:t xml:space="preserve">1</w:t>
            </w:r>
            <w:r w:rsidR="00000000" w:rsidRPr="00000000" w:rsidDel="00000000">
              <w:rPr>
                <w:rtl w:val="0"/>
              </w:rPr>
              <w:t xml:space="preserve"> punktu, jo 10.</w:t>
            </w:r>
            <w:r w:rsidR="00000000" w:rsidRPr="00000000" w:rsidDel="00000000">
              <w:rPr>
                <w:vertAlign w:val="superscript"/>
                <w:rtl w:val="0"/>
              </w:rPr>
              <w:t xml:space="preserve">1</w:t>
            </w:r>
            <w:r w:rsidR="00000000" w:rsidRPr="00000000" w:rsidDel="00000000">
              <w:rPr>
                <w:rtl w:val="0"/>
              </w:rPr>
              <w:t xml:space="preserve"> punktā nav ietverta informācija, kuru būtu jānorāda marķējumā.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w:t>
            </w:r>
            <w:r w:rsidR="00000000" w:rsidRPr="00000000" w:rsidDel="00000000">
              <w:rPr>
                <w:vertAlign w:val="superscript"/>
                <w:rtl w:val="0"/>
              </w:rPr>
              <w:t xml:space="preserve">1</w:t>
            </w:r>
            <w:r w:rsidR="00000000" w:rsidRPr="00000000" w:rsidDel="00000000">
              <w:rPr>
                <w:rtl w:val="0"/>
              </w:rPr>
              <w:t xml:space="preserve"> 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Ieroču komersants šo noteikumu 10.punktā minētās informācijas norādīšanai marķējumā var izmantot latīņu, grieķu vai kirilicas alfabēta burtus, kā arī arābu vai romiešu ciparus. Marķējumā izmantoto ciparu un burtu izmērs, kā arī to dziļums atbilst attiecīgi šo noteikumu 4. vai 5. punkta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Direktīva (ES) 2021/555 par ieroču iegādes un glabāšanas kontroli.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ietvertās atsauces uz Eiropas Savienības tiesību aktiem noformēt atbilstoši Ministru kabineta 2009. gada 3. februāra noteikumu Nr. 108 "Normatīvo aktu projektu sagatavošanas noteikumi” 170.-172. punktam, atsaucē uz Eiropas Savienības tiesību aktu norādot šādu informāciju: institūcija (Komisija, Padome, Eiropas Parlaments), kas izdevusi attiecīgo tiesību aktu; tiesību akta pieņemšanas datums; veids (regula);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Eiropas Parlamenta un Padomes 2021. gada 24. marta Direktīva (ES) 2021/555 par ieroču iegādes un glabāšanas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aicinām precizēt arī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2021. gada 24. marta Direktīva (ES) 2021/555 par ieroču iegādes un glabāšanas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24-TA-1185</w:t>
    </w:r>
    <w:r>
      <w:br/>
    </w:r>
    <w:r w:rsidR="00000000" w:rsidRPr="00000000" w:rsidDel="00000000">
      <w:rPr>
        <w:rtl w:val="0"/>
      </w:rPr>
      <w:t xml:space="preserve">13.06.2025. 11.14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24-TA-1185</w:t>
    </w:r>
    <w:r>
      <w:br/>
    </w:r>
    <w:r w:rsidR="00000000" w:rsidRPr="00000000" w:rsidDel="00000000">
      <w:rPr>
        <w:rtl w:val="0"/>
      </w:rPr>
      <w:t xml:space="preserve">13.06.2025. 11.14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Izziņa_24-TA-1185.docx</dc:title>
</cp:coreProperties>
</file>

<file path=docProps/custom.xml><?xml version="1.0" encoding="utf-8"?>
<Properties xmlns="http://schemas.openxmlformats.org/officeDocument/2006/custom-properties" xmlns:vt="http://schemas.openxmlformats.org/officeDocument/2006/docPropsVTypes"/>
</file>