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24. jūlija noteikumos Nr. 446 "Noteikumi par lauksaimniecības, lauku un zivsaimniecības saimnieciskās darbības veicēju aizdevumu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un precizēt projekta anotācijas 5. sadaļu (sadaļas aizpildīšanā aicinām ievērot "Vadlīnijas tiesību akta projekta sākotnējās ietekmes novērtēšanai un novērtējuma ziņojuma sagatavošanai Vienotajā tiesību aktu izstrādes un saskaņošanas portālā"). Vēršam uzmanību, ka, piemēram,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skaidrots tas, kā ir izmantota Eiropas Savienības tiesību aktos paredzētā rīcības brīvība, lai gan vairākas ieviestās tiesību normas, piemēram, Komisijas 2014. gada 27. jūnija Regulas (ES) Nr. 717/2014 par Līguma par Eiropas Savienības darbību 107. un 108. panta piemērošanu de minimis atbalstam zvejniecības un akvakultūras nozarē (turpmāk - Regula 717/2014) 3. panta 2.a punkts un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Nr. 2021/2115), 73. panta 4. un 5. punkts paredz dalībvalstīm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skaidrots, kā ieviestas vairākas citas Eiropas Savienības tiesību normas. Piemēram, regulas 1408/2013 6. panta 3. punkts, iespējams, varētu būt ieviests ar projekta 25. punktu. Aicinām arī izvērtēt, vai, ņemot vērā projektā veikto NACE redakcijas un kodu aktualizēšanu, ar projektu tiek ieviests Komisijas 2022. gada 10. oktobra Deleģētās regulas (ES) 2023/137, ar kuru groza Eiropas Parlamenta un Padomes Regulu (EK) Nr. 1893/2006, ar ko izveido NACE 2. red. saimniecisko darbību statistisko klasifikāciju, 1. pants un pielikums, attiecīgā gadījumā to atspoguļojot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detalizētāk skaidrot regulas Nr. 2021/2115 73. panta ieviešanu (punktu līmenī) projektā, ņemot vērā, ka konkrētais pants paredz vairākus dalībvalstu pienākumus, piemēram, investīciju un izdevumu kategoriju sarakstu noteikšana, kuras ir neattiecināmas, atbalsta likmju noteikšana u.tml., kas pirmšķietami no projekta neizriet. Nepieciešamības gadījumā lūdzam papildināt projektu ar attiecīgu regulējumu vai skaidrot, kādēļ tas nav nepieciešams,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papildināta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ievietota atsauce uz Komisijas 2022. gada 10. oktobra Deleģēto regulu (ES) 2023/137, ar kuru groza Eiropas Parlamenta un Padomes Regulu (EK) Nr. 1893/2006, ar ko izveido NACE 2. red. saimniecisko darbību statistisko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717/2014 3. panta 2.a punktā noteiktā rīcības brīvība ir pārņemta un iepriekš izteiktā Ministru kabineta 2018. gada 24. jūlija noteikumos Nr. 446 "Noteikumi par lauksaimniecības, lauku un zivsaimniecības saimnieciskās darbības veicēju aizdevumu programmu" (turpmāk MKN 446) 18.3.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un projekts papildināts ar punktu, kas nosaka, ka atbalstu noteikumos minētajos apakšpasākumos drīkst kumulēt ar citu investīciju atbalstu attiecībā uz vienām un tām pašām attiecināmajām izmaksām līdz regulas 2021/2115 73. panta 4.punktā noteiktai maksimālajai atbalsta likmei, bet piešķirot atbalstu gados jauniem lauksaimniekiem, - atbilstoši regulas 2021/2115 73. panta 4. punkta “a” apakšpunktam maksimālo atbalsta likmi var palielināt līdz 80 procentiem, tādējādi izmantojot regulas 2021/2115 73. panta 4.punkta “a” apakšpunktā noteikto rīcības brīvību. Regulas 2021/2115 73. panta 5.punktā noteikta rīcības brīvība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regulas 1408/2013 6. panta 3. punktu – norma tika ieviesta ar MKN 446 22.punktu.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tiek papildināti MKN 446  ar 11.16. apakšpunktu un 15.2 apakšpunktu, kā arī precizēts 15.3. apakšpunkts atbilstoši regulas Nr. 2021/2115 73. panta 3. punkta “c”, “e”, “g”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finanšu institūcija aizdevumu sniedz no šo noteikumu </w:t>
            </w:r>
            <w:r w:rsidR="00000000" w:rsidRPr="00000000" w:rsidDel="00000000">
              <w:rPr>
                <w:rtl w:val="0"/>
              </w:rPr>
              <w:t xml:space="preserve">4.1.</w:t>
            </w:r>
            <w:r w:rsidR="00000000" w:rsidRPr="00000000" w:rsidDel="00000000">
              <w:rPr>
                <w:rtl w:val="0"/>
              </w:rPr>
              <w:t xml:space="preserve"> , </w:t>
            </w:r>
            <w:r w:rsidR="00000000" w:rsidRPr="00000000" w:rsidDel="00000000">
              <w:rPr>
                <w:rtl w:val="0"/>
              </w:rPr>
              <w:t xml:space="preserve">4.2.</w:t>
            </w:r>
            <w:r w:rsidR="00000000" w:rsidRPr="00000000" w:rsidDel="00000000">
              <w:rPr>
                <w:rtl w:val="0"/>
              </w:rPr>
              <w:t xml:space="preserve"> vai </w:t>
            </w:r>
            <w:r w:rsidR="00000000" w:rsidRPr="00000000" w:rsidDel="00000000">
              <w:rPr>
                <w:rtl w:val="0"/>
              </w:rPr>
              <w:t xml:space="preserve">4.4.</w:t>
            </w:r>
            <w:r w:rsidR="00000000" w:rsidRPr="00000000" w:rsidDel="00000000">
              <w:rPr>
                <w:rtl w:val="0"/>
              </w:rPr>
              <w:t xml:space="preserve"> apakšpunktā minētā finansējuma, tad aizdevumu piešķir līdz regulas Nr. 1408/2013 7. panta 4. punktā un 8. pantā, Komisijas regulas 2023/2831 7. panta 3. punktā un 8. pantā vai regulas Nr. 717/2014 7. panta 4.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27. punktā nedublēt Ministru kabineta 2018. gada 24. jūlija noteikumu Nr. 446 "Noteikumi par lauksaimniecības, lauku un zivsaimniecības saimnieciskās darbības veicēju aizdevumu programmu" (turpmāk - noteikumi) 28. punktā noteikto, svītrojot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projekta 28. punktā precizēt atsauci uz piemērošanas termiņu, ņemot vērā, ka no konkrētās normas neizriet, kas ar to domāts (attiecīgās regulas vienības paredz vairākas apakšvienības, kurās konkretizēti izdevumu attiecināmības termiņi, uz kuriem būtu nepieciešams izdarīt precīzas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un sniedz skaidrojumu, ka noteikumu 27.punkts nedublē noteikumu 28.punktu, jo noteikumu 27.punkts nosaka, ka akciju sabiedrību "Attīstības finanšu institūcija Altum", saņemot aizdevuma iesniegumu no potenciālā aizdevuma saņēmēja, pieņem triju nedēļu laikā lēmumu par aizdevuma piešķiršanu. Bet 28.punkts nosaka, ka </w:t>
            </w:r>
            <w:r w:rsidR="00000000" w:rsidRPr="00000000" w:rsidDel="00000000">
              <w:rPr>
                <w:i w:val="1"/>
                <w:rtl w:val="0"/>
              </w:rPr>
              <w:t xml:space="preserve">de minimis</w:t>
            </w:r>
            <w:r w:rsidR="00000000" w:rsidRPr="00000000" w:rsidDel="00000000">
              <w:rPr>
                <w:rtl w:val="0"/>
              </w:rPr>
              <w:t xml:space="preserve"> atbalstu piešķir tik ilgi, cik atļauj regulas Nr.  1408/2013 7. panta 4. punktā un 8. pantā, regulas  2023/2831 7. panta 3. punktā un 8. pantā vai regulas Nr. 717/2014 7. panta 4. punktā un 8. pantā noteiktās piemērošanas termiņa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 konstatēts, ka MKN 446 (konsolidētā redakcijā) 31.punkts dublē šo noteikumu 28.punktu. Tādējādi, 28.punkts ir izteikts jaunā redakcijā, bet 31.punkts –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projekta 28. punkta redakcija. Skaidrojam, ka ar punktā minētām atsaucēm  uz piemērošanas termiņu “līdz regulas 2021/2115 86. panta 4. punktā vai līdz regulas 2021/1060 63. panta 2. punktā noteiktā piemērošanas termiņa beigām” saprot minētajos regulu pantos norādītos izdevumu attiecinamības beigu datumus, kas abas regulās ir vienādas – 2029.gada 31.decembris. Tādējādi, atsauces nav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apakšsadaļā nepārrakstīt projekta saturu, bet atspoguļot grozījumu pamatojumu, būtību un mērķi. Piemēram, skaidrojot, kāpēc Ministru kabineta 2018. gada 24. jūlija noteikumi Nr. 446 "Noteikumi par lauksaimniecības, lauku un zivsaimniecības saimnieciskās darbības veicēju aizdevumu programmu" (turpmāk - Noteikumi) ir papildināti ar jaunu 12.</w:t>
            </w:r>
            <w:r w:rsidR="00000000" w:rsidRPr="00000000" w:rsidDel="00000000">
              <w:rPr>
                <w:vertAlign w:val="superscript"/>
                <w:rtl w:val="0"/>
              </w:rPr>
              <w:t xml:space="preserve">1 </w:t>
            </w:r>
            <w:r w:rsidR="00000000" w:rsidRPr="00000000" w:rsidDel="00000000">
              <w:rPr>
                <w:rtl w:val="0"/>
              </w:rPr>
              <w:t xml:space="preserve">punktu, definējot, kas ir saimnieciskās darbības veikšanas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nodrošinot, ka tiek skaidrojums par katra grozījuma nepieciešamību un mērķi, kā arī nodrošinot, ka sniegtā informācija ir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sniegti vispārīgi skaidrojumi par to, kas tiek grozīts, piemēram, "</w:t>
            </w:r>
            <w:r w:rsidR="00000000" w:rsidRPr="00000000" w:rsidDel="00000000">
              <w:rPr>
                <w:i w:val="1"/>
                <w:rtl w:val="0"/>
              </w:rPr>
              <w:t xml:space="preserve">15.3. apakšpunkts precizēts ar atsaucēm uz 4.5. un 4.6. apakšpunktā minēto finansējumu</w:t>
            </w:r>
            <w:r w:rsidR="00000000" w:rsidRPr="00000000" w:rsidDel="00000000">
              <w:rPr>
                <w:rtl w:val="0"/>
              </w:rPr>
              <w:t xml:space="preserve">;", bet ne tas, kāpēc šāds grozījums nepieciešams. Tāpat, piemēram, atsevišķi skaidrojumi nepilnīgi atspoguļo grozījumu būtību, tostarp 11. punktā ne tikai NACE 2. red. kodi aizstāti ar NACE 2.1. red. kodiem, bet arī veikti papildinājumi, tajā skaitā noteikumu 11.4. apakšpunktā plānots ietvert papildus nosacījumu, kura nepieciešamība un mērķis netiek skaidrots ("47.63 "Sporta aprīkojuma mazumtirdzniecība" – ja ir ieroču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lietot precīzus formulējumus, skaidrojot projektā plānotos grozījumus, piemēram, noteikumu 5.</w:t>
            </w:r>
            <w:r w:rsidR="00000000" w:rsidRPr="00000000" w:rsidDel="00000000">
              <w:rPr>
                <w:vertAlign w:val="superscript"/>
                <w:rtl w:val="0"/>
              </w:rPr>
              <w:t xml:space="preserve">1</w:t>
            </w:r>
            <w:r w:rsidR="00000000" w:rsidRPr="00000000" w:rsidDel="00000000">
              <w:rPr>
                <w:rtl w:val="0"/>
              </w:rPr>
              <w:t xml:space="preserve">3. apakšpunkts netiek papildināts ar atsauci uz 4.5. un 4.6. apakšpunktu, bet vispār papildina noteikumus ar jaunu noteikumu vienību, kura tajā skaitā satur atsauci uz 4.5. un 4.6.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11.punkta grozījumiem skaidrojam, ka 11.  punkts tika aktualizēts un NACE 2. redakcija aizstāta ar NACE 2.1. redakciju atbilstoši Komisijas 2022. gada 10. oktobra Deleģētajai regulai (ES) 2023/137, ar kuru groza Eiropas Parlamenta un Padomes Regulu (EK) Nr. 1893/2006, ar ko izveido NACE 2. red. saimniecisko darbību statistisko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projektā grozījumiem pakļautajiem punktiem iepriekš ir ieviestas arī, piemēram, regulas Nr. 717/2014 (noteikumu 22. punkts) un Komisijas 2014. gada 17. jūnija Regulas (ES) Nr. 651/2014, ar ko noteiktas atbalsta kategorijas atzīst par saderīgām ar iekšējo tirgu, piemērojot Līguma 107. un 108. pantu 1.pielikums (noteikumu 5. punkts), prasības u.c., lūdzam pārskatīt projektu un izvērtēt, vai uz to attiecināmās, šī projekta anotācijā nenorādītās (iepriekš ieviestās) regulas joprojām ir attiecināmas. Šādā gadījumā, iesakām ievērot vienotu pieeju attiecībā uz visām iepriekš jau ieviestajām tiesību normām, proti,- atsaukties uz tām visām vai vispārīgi norādīt uz to, ka līdz šim ieviestās, no Eiropas Savienības tiesību normām izrietošās prasības netiek mainītas, ietekmētas vai neieviestas.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apakšsadaļas 1. tabulu ar informāciju par projekta 35. punkta saistību ar </w:t>
            </w:r>
            <w:r w:rsidR="00000000" w:rsidRPr="00000000" w:rsidDel="00000000">
              <w:rPr>
                <w:i w:val="1"/>
                <w:rtl w:val="0"/>
              </w:rPr>
              <w:t xml:space="preserve">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154. pantā noteiktajiem </w:t>
            </w:r>
            <w:r w:rsidR="00000000" w:rsidRPr="00000000" w:rsidDel="00000000">
              <w:rPr>
                <w:i w:val="1"/>
                <w:rtl w:val="0"/>
              </w:rPr>
              <w:t xml:space="preserve">Eiropas Parlamenta un Padomes 2013. gada 17. decembra Regulas (ES) Nr. 1305/2013 par atbalstu lauku attīstībai no Eiropas Lauksaimniecības fonda lauku attīstībai (ELFLA) un ar ko atceļ Padomes Regulu (EK) Nr. 1698/2005</w:t>
            </w:r>
            <w:r w:rsidR="00000000" w:rsidRPr="00000000" w:rsidDel="00000000">
              <w:rPr>
                <w:rtl w:val="0"/>
              </w:rPr>
              <w:t xml:space="preserve"> atcelšanas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pilnībā aizpildīt visas sadaļas. Vēršam uzmanību, ka tabulas pirmā sadaļa nav aizpildīta.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skaidrojot dalībvalstij paredzēto rīcības brīvību izmantošanu, skaidro, kā tā ir izmantota un kādēļ. Attiecīgi, piemēram,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sadaļa papildināma ar skaidrojumu par to, kādēļ tiek izmantota tieši 73. panta 4. punkta a) apakšpunktā, bet ne b) un c) apakšpunktā noteiktā rīcības brīvība.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papildināt regulas 2021/2115 73. panta 3. punkta "c" apakšpunkta ieviešanas skaidrojumu, pamatojot, kāpēc neattiecināmo investīciju un izdevumu kategoriju sarakstā, kā izņēmums izvēlēts "</w:t>
            </w:r>
            <w:r w:rsidR="00000000" w:rsidRPr="00000000" w:rsidDel="00000000">
              <w:rPr>
                <w:i w:val="1"/>
                <w:rtl w:val="0"/>
              </w:rPr>
              <w:t xml:space="preserve">zemes iegāde, ko gados jauni lauksaimnieki veic ar finanšu instrumentu starpniecību</w:t>
            </w:r>
            <w:r w:rsidR="00000000" w:rsidRPr="00000000" w:rsidDel="00000000">
              <w:rPr>
                <w:rtl w:val="0"/>
              </w:rPr>
              <w:t xml:space="preserve">", ja regulas 2021/2115 73. panta 3. punkta "c" apakšpunkts paredz "</w:t>
            </w:r>
            <w:r w:rsidR="00000000" w:rsidRPr="00000000" w:rsidDel="00000000">
              <w:rPr>
                <w:i w:val="1"/>
                <w:rtl w:val="0"/>
              </w:rPr>
              <w:t xml:space="preserve">izņemot zemes iegādi vides saglabāšanas un ar oglekli bagātas augsnes saglabāšanas vajadzībām </w:t>
            </w:r>
            <w:r w:rsidR="00000000" w:rsidRPr="00000000" w:rsidDel="00000000">
              <w:rPr>
                <w:i w:val="1"/>
                <w:u w:val="single"/>
                <w:rtl w:val="0"/>
              </w:rPr>
              <w:t xml:space="preserve">vai</w:t>
            </w:r>
            <w:r w:rsidR="00000000" w:rsidRPr="00000000" w:rsidDel="00000000">
              <w:rPr>
                <w:i w:val="1"/>
                <w:rtl w:val="0"/>
              </w:rPr>
              <w:t xml:space="preserve"> zemes iegādi, ko gados jauni lauksaimnieki veic ar finanšu instrumentu starpniecību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apakšdaļa tika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skaidrot projekta izpildes nodrošināšanu un tās ietekmi uz institūcijām, piemēram, akciju sabiedrību "Attīstības finanšu institūcija Altum", kurai, pamatojoties uz projektu, būs jānodrošina aizdevumu piešķiršana papildus intervencēs.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sadarbībā ar akciju sabiedrību "Attīstības finanšu institūcija Altum" divu mēnešu laikā sagatavot un iesniegt izskatīšanai Ministru kabinetā programmas rādītāju un sagaidāmo zaudējumu novērtējumu saskaņā ar Attīstības finanšu institūcijas likuma 12. 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3. punktu ievērojot, ka no Ministru kabineta 2021. gada 7. septembra noteikumu Nr. 606 "Ministru kabineta kārtības rullis" 76. punkta tostarp izriet, ka ministrijas izstrādātos projektus izskatīšanai Ministru kabineta sēdē ir tiesīgs iesniegt Ministru kabineta loceklis, nevis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protokllēmuma projekta punkts tika svītrots, un programmas rādītāju un sagaidāmo zaudējumu novērtējums tiek iesniegts kā pielikums anotācijai kopā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Atbalstu šajos noteikumos minētajos apakšpasākumos drīkst kumulēt ar citu investīciju atbalstu attiecībā uz vienām un tām pašām attiecināmajām izmaksām, ja netiek pārsniegta maksimālā atbalsta intensitāte par vienām un tām pašām attiecināmajām izmaksām – 50 procentu no attiecināmo izmaksu apmēra, ievērojot regulas Nr. </w:t>
            </w:r>
            <w:r w:rsidR="00000000" w:rsidRPr="00000000" w:rsidDel="00000000">
              <w:rPr>
                <w:rtl w:val="0"/>
              </w:rPr>
              <w:t xml:space="preserve">1305/2013</w:t>
            </w:r>
            <w:r w:rsidR="00000000" w:rsidRPr="00000000" w:rsidDel="00000000">
              <w:rPr>
                <w:rtl w:val="0"/>
              </w:rPr>
              <w:t xml:space="preserve"> II pielikumā noteiktās atbalsta likmes.  Atbilstoši regulas Nr. </w:t>
            </w:r>
            <w:r w:rsidR="00000000" w:rsidRPr="00000000" w:rsidDel="00000000">
              <w:rPr>
                <w:rtl w:val="0"/>
              </w:rPr>
              <w:t xml:space="preserve">1305/2013</w:t>
            </w:r>
            <w:r w:rsidR="00000000" w:rsidRPr="00000000" w:rsidDel="00000000">
              <w:rPr>
                <w:rtl w:val="0"/>
              </w:rPr>
              <w:t xml:space="preserve">  17. panta 3. punktam maksimālo atbalsta intensitāti var palielināt par 20 procentiem, piešķirot atbalstu gados jauniem lauksaimniekiem, kas atbilst normatīvajos aktos par valsts un Eiropas Savienības atbalsta piešķiršanas kārtību Eiropas Lauksaimniecības fonda lauku attīstībai intervencē "Atbalsts gados jaunajiem lauksaimniekiem uzņēmējdarbības uzsākšanai" minētajai definīcijai (turpmāk - gados jaunais lauksaimnieks).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Aicnām precizēt plānotos grozījumus Noteikumu 21.</w:t>
            </w:r>
            <w:r w:rsidR="00000000" w:rsidRPr="00000000" w:rsidDel="00000000">
              <w:rPr>
                <w:vertAlign w:val="superscript"/>
                <w:rtl w:val="0"/>
              </w:rPr>
              <w:t xml:space="preserve">1</w:t>
            </w:r>
            <w:r w:rsidR="00000000" w:rsidRPr="00000000" w:rsidDel="00000000">
              <w:rPr>
                <w:rtl w:val="0"/>
              </w:rPr>
              <w:t xml:space="preserve"> punktā, ievērojot, ka atbilstoši juridiskās tehnikas prasībām saīsinājumus piesaka pirmajā vietā juridiskajā tekstā, kur lietots attiecīgais saīsināmais jēdziens vai termins un pieteiktie saīsinājumi konsekventi lietojami tālāk dokumenta tekstā. Vēršam uzmanību, ka Noteikumu 21.</w:t>
            </w:r>
            <w:r w:rsidR="00000000" w:rsidRPr="00000000" w:rsidDel="00000000">
              <w:rPr>
                <w:vertAlign w:val="superscript"/>
                <w:rtl w:val="0"/>
              </w:rPr>
              <w:t xml:space="preserve">1</w:t>
            </w:r>
            <w:r w:rsidR="00000000" w:rsidRPr="00000000" w:rsidDel="00000000">
              <w:rPr>
                <w:rtl w:val="0"/>
              </w:rPr>
              <w:t xml:space="preserve"> punktā pieteiktais apzīmējums "gados jaunais lauksaimnieks" lietots jau pirms tam, Noteikumu 15.</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pieteiktā apzīmējuma "gados jaunais lauksaimnieks" definīciju pārnesta uz noteikumu 15.</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25-TA-1585</w:t>
    </w:r>
    <w:r>
      <w:br/>
    </w:r>
    <w:r w:rsidR="00000000" w:rsidRPr="00000000" w:rsidDel="00000000">
      <w:rPr>
        <w:rtl w:val="0"/>
      </w:rPr>
      <w:t xml:space="preserve">11.09.2025. 16.53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25-TA-1585</w:t>
    </w:r>
    <w:r>
      <w:br/>
    </w:r>
    <w:r w:rsidR="00000000" w:rsidRPr="00000000" w:rsidDel="00000000">
      <w:rPr>
        <w:rtl w:val="0"/>
      </w:rPr>
      <w:t xml:space="preserve">11.09.2025. 16.53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Izziņa_25-TA-1585.docx</dc:title>
</cp:coreProperties>
</file>

<file path=docProps/custom.xml><?xml version="1.0" encoding="utf-8"?>
<Properties xmlns="http://schemas.openxmlformats.org/officeDocument/2006/custom-properties" xmlns:vt="http://schemas.openxmlformats.org/officeDocument/2006/docPropsVTypes"/>
</file>