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F6A92" w14:textId="727CAA4C" w:rsidR="00304FCE" w:rsidRPr="00304FCE" w:rsidRDefault="00D16C0F" w:rsidP="00D16C0F">
      <w:pPr>
        <w:tabs>
          <w:tab w:val="left" w:pos="7655"/>
        </w:tabs>
        <w:spacing w:after="0" w:line="240" w:lineRule="auto"/>
        <w:jc w:val="right"/>
        <w:rPr>
          <w:rFonts w:ascii="Times New Roman" w:eastAsia="Calibri" w:hAnsi="Times New Roman" w:cs="Times New Roman"/>
          <w:kern w:val="0"/>
          <w:sz w:val="24"/>
          <w:szCs w:val="24"/>
          <w14:ligatures w14:val="none"/>
        </w:rPr>
      </w:pPr>
      <w:r w:rsidRPr="00D16C0F">
        <w:rPr>
          <w:rFonts w:ascii="Times New Roman" w:eastAsia="Calibri" w:hAnsi="Times New Roman" w:cs="Times New Roman"/>
          <w:kern w:val="0"/>
          <w:sz w:val="24"/>
          <w:szCs w:val="24"/>
          <w14:ligatures w14:val="none"/>
        </w:rPr>
        <w:t>Papildu informācija</w:t>
      </w:r>
    </w:p>
    <w:p w14:paraId="7438111E" w14:textId="77777777" w:rsidR="00304FCE" w:rsidRPr="00304FCE" w:rsidRDefault="00304FCE" w:rsidP="00304FCE">
      <w:pPr>
        <w:pBdr>
          <w:top w:val="single" w:sz="6" w:space="2" w:color="5B9BD5"/>
        </w:pBdr>
        <w:spacing w:before="120" w:after="120" w:line="276" w:lineRule="auto"/>
        <w:outlineLvl w:val="2"/>
        <w:rPr>
          <w:rFonts w:ascii="Times New Roman" w:eastAsia="Calibri" w:hAnsi="Times New Roman" w:cs="Times New Roman"/>
          <w:b/>
          <w:bCs/>
          <w:caps/>
          <w:color w:val="1F4D78"/>
          <w:spacing w:val="15"/>
          <w:kern w:val="0"/>
          <w:sz w:val="24"/>
          <w:szCs w:val="24"/>
          <w14:ligatures w14:val="none"/>
        </w:rPr>
      </w:pPr>
      <w:bookmarkStart w:id="0" w:name="_Toc167721823"/>
      <w:r w:rsidRPr="00304FCE">
        <w:rPr>
          <w:rFonts w:ascii="Times New Roman" w:eastAsia="Calibri" w:hAnsi="Times New Roman" w:cs="Times New Roman"/>
          <w:b/>
          <w:bCs/>
          <w:caps/>
          <w:color w:val="002060"/>
          <w:spacing w:val="15"/>
          <w:kern w:val="0"/>
          <w:sz w:val="24"/>
          <w:szCs w:val="24"/>
          <w14:ligatures w14:val="none"/>
        </w:rPr>
        <w:t xml:space="preserve">BŪVNIECĪBAS NOZARES </w:t>
      </w:r>
      <w:r w:rsidRPr="00304FCE">
        <w:rPr>
          <w:rFonts w:ascii="Times New Roman" w:eastAsia="Calibri" w:hAnsi="Times New Roman" w:cs="Times New Roman"/>
          <w:b/>
          <w:bCs/>
          <w:color w:val="002060"/>
          <w:spacing w:val="15"/>
          <w:kern w:val="0"/>
          <w:sz w:val="24"/>
          <w:szCs w:val="24"/>
          <w14:ligatures w14:val="none"/>
        </w:rPr>
        <w:t>RAKSTUROJUMS</w:t>
      </w:r>
      <w:bookmarkEnd w:id="0"/>
    </w:p>
    <w:p w14:paraId="25F5A0F0" w14:textId="5BF692A3" w:rsidR="00304FCE" w:rsidRPr="00304FCE" w:rsidRDefault="00304FCE" w:rsidP="00304FCE">
      <w:pPr>
        <w:shd w:val="clear" w:color="auto" w:fill="FFFFFF"/>
        <w:spacing w:after="0" w:line="240" w:lineRule="auto"/>
        <w:ind w:firstLine="709"/>
        <w:jc w:val="both"/>
        <w:rPr>
          <w:rFonts w:ascii="Times New Roman" w:eastAsia="Times New Roman" w:hAnsi="Times New Roman" w:cs="Times New Roman"/>
          <w:color w:val="000000"/>
          <w:kern w:val="0"/>
          <w:sz w:val="24"/>
          <w:szCs w:val="24"/>
          <w:lang w:eastAsia="lv-LV"/>
          <w14:ligatures w14:val="none"/>
        </w:rPr>
      </w:pPr>
      <w:r w:rsidRPr="00304FCE">
        <w:rPr>
          <w:rFonts w:ascii="Times New Roman" w:eastAsia="Times New Roman" w:hAnsi="Times New Roman" w:cs="Times New Roman"/>
          <w:kern w:val="0"/>
          <w:sz w:val="24"/>
          <w:szCs w:val="24"/>
          <w:lang w:eastAsia="lv-LV"/>
          <w14:ligatures w14:val="none"/>
        </w:rPr>
        <w:t>Būvniecības nozares nozīmi tautsaimniecībā raksturo tās īpatsvars IKP. Centrālās statistikas pārvaldes a</w:t>
      </w:r>
      <w:r w:rsidR="00A94574">
        <w:rPr>
          <w:rFonts w:ascii="Times New Roman" w:eastAsia="Times New Roman" w:hAnsi="Times New Roman" w:cs="Times New Roman"/>
          <w:kern w:val="0"/>
          <w:sz w:val="24"/>
          <w:szCs w:val="24"/>
          <w:lang w:eastAsia="lv-LV"/>
          <w14:ligatures w14:val="none"/>
        </w:rPr>
        <w:t>p</w:t>
      </w:r>
      <w:r w:rsidRPr="00304FCE">
        <w:rPr>
          <w:rFonts w:ascii="Times New Roman" w:eastAsia="Times New Roman" w:hAnsi="Times New Roman" w:cs="Times New Roman"/>
          <w:kern w:val="0"/>
          <w:sz w:val="24"/>
          <w:szCs w:val="24"/>
          <w:lang w:eastAsia="lv-LV"/>
          <w14:ligatures w14:val="none"/>
        </w:rPr>
        <w:t>kopotie dati liecina, ka būvniecības nozares īpatsvars Latvijas tautsaimniecībā 2023. gadā veidoja 5,9 %.</w:t>
      </w:r>
      <w:r w:rsidRPr="00304FCE">
        <w:rPr>
          <w:rFonts w:ascii="Times New Roman" w:eastAsia="Times New Roman" w:hAnsi="Times New Roman" w:cs="Times New Roman"/>
          <w:color w:val="000000"/>
          <w:kern w:val="0"/>
          <w:sz w:val="24"/>
          <w:szCs w:val="24"/>
          <w:lang w:eastAsia="lv-LV"/>
          <w14:ligatures w14:val="none"/>
        </w:rPr>
        <w:t xml:space="preserve"> Pēc vairāku gadu negatīvām tendencēm būvniecības produkcijas pievienotā vērtība 2023. gadā palielinājās par 18,6 % un bija galvenais pozitīvi ietekmējošais faktors IKP attīstībā (+0,8 procentpunkti). Ēku būvniecības apjomi gada laikā pieauga par 26,8 %, inženierbūvniecības apjomi – par 10,8 % un specializēto būvdarbu apjomi – par 17,8 %</w:t>
      </w:r>
      <w:r w:rsidRPr="00304FCE">
        <w:rPr>
          <w:rFonts w:ascii="Times New Roman" w:eastAsia="Times New Roman" w:hAnsi="Times New Roman" w:cs="Times New Roman"/>
          <w:color w:val="000000"/>
          <w:kern w:val="0"/>
          <w:sz w:val="24"/>
          <w:szCs w:val="24"/>
          <w:vertAlign w:val="superscript"/>
          <w:lang w:eastAsia="lv-LV"/>
          <w14:ligatures w14:val="none"/>
        </w:rPr>
        <w:footnoteReference w:id="1"/>
      </w:r>
      <w:r w:rsidRPr="00304FCE">
        <w:rPr>
          <w:rFonts w:ascii="Times New Roman" w:eastAsia="Times New Roman" w:hAnsi="Times New Roman" w:cs="Times New Roman"/>
          <w:color w:val="000000"/>
          <w:kern w:val="0"/>
          <w:sz w:val="24"/>
          <w:szCs w:val="24"/>
          <w:lang w:eastAsia="lv-LV"/>
          <w14:ligatures w14:val="none"/>
        </w:rPr>
        <w:t xml:space="preserve">. </w:t>
      </w:r>
    </w:p>
    <w:p w14:paraId="5B2BE689" w14:textId="77777777" w:rsidR="00304FCE" w:rsidRPr="00304FCE" w:rsidRDefault="00304FCE" w:rsidP="00304FCE">
      <w:pPr>
        <w:spacing w:after="0" w:line="240" w:lineRule="auto"/>
        <w:ind w:firstLine="709"/>
        <w:jc w:val="both"/>
        <w:rPr>
          <w:rFonts w:ascii="Times New Roman" w:eastAsia="Times New Roman" w:hAnsi="Times New Roman" w:cs="Times New Roman"/>
          <w:color w:val="000000"/>
          <w:kern w:val="0"/>
          <w:sz w:val="24"/>
          <w:szCs w:val="24"/>
          <w14:ligatures w14:val="none"/>
        </w:rPr>
      </w:pPr>
    </w:p>
    <w:p w14:paraId="3E37FD52" w14:textId="77777777" w:rsidR="00304FCE" w:rsidRPr="00304FCE" w:rsidRDefault="00304FCE" w:rsidP="00304FCE">
      <w:pPr>
        <w:spacing w:after="120" w:line="240" w:lineRule="auto"/>
        <w:ind w:firstLine="709"/>
        <w:jc w:val="both"/>
        <w:rPr>
          <w:rFonts w:ascii="Times New Roman" w:eastAsia="Times New Roman" w:hAnsi="Times New Roman" w:cs="Times New Roman"/>
          <w:b/>
          <w:bCs/>
          <w:color w:val="000000"/>
          <w:kern w:val="0"/>
          <w:sz w:val="24"/>
          <w:szCs w:val="24"/>
          <w14:ligatures w14:val="none"/>
        </w:rPr>
      </w:pPr>
      <w:r w:rsidRPr="00304FCE">
        <w:rPr>
          <w:rFonts w:ascii="Times New Roman" w:eastAsia="Times New Roman" w:hAnsi="Times New Roman" w:cs="Times New Roman"/>
          <w:b/>
          <w:bCs/>
          <w:color w:val="000000"/>
          <w:kern w:val="0"/>
          <w:sz w:val="24"/>
          <w:szCs w:val="24"/>
          <w14:ligatures w14:val="none"/>
        </w:rPr>
        <w:t>Nodokļu maksātāju skaits būvniecības nozarē</w:t>
      </w:r>
      <w:r w:rsidRPr="00304FCE">
        <w:rPr>
          <w:rFonts w:ascii="Times New Roman" w:eastAsia="Times New Roman" w:hAnsi="Times New Roman" w:cs="Times New Roman"/>
          <w:b/>
          <w:bCs/>
          <w:color w:val="000000"/>
          <w:kern w:val="0"/>
          <w:sz w:val="24"/>
          <w:szCs w:val="24"/>
          <w:vertAlign w:val="superscript"/>
          <w14:ligatures w14:val="none"/>
        </w:rPr>
        <w:footnoteReference w:id="2"/>
      </w:r>
    </w:p>
    <w:p w14:paraId="04FE0DAE" w14:textId="77777777" w:rsidR="00304FCE" w:rsidRPr="00304FCE" w:rsidRDefault="00304FCE" w:rsidP="00304FCE">
      <w:pPr>
        <w:spacing w:after="12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Saskaņā ar VID rīcībā esošo informāciju 2024. gada 1. janvārī būvniecības nozarē darbojās 19 227 nodokļu maksātāji, kas ir 5,2 % no visiem nodokļu maksātājiem valstī – 367 988. </w:t>
      </w:r>
    </w:p>
    <w:p w14:paraId="215F8C5A" w14:textId="77777777" w:rsidR="00304FCE" w:rsidRPr="00304FCE" w:rsidRDefault="00304FCE" w:rsidP="00304FCE">
      <w:pPr>
        <w:tabs>
          <w:tab w:val="left" w:pos="1134"/>
        </w:tabs>
        <w:spacing w:after="0" w:line="240" w:lineRule="auto"/>
        <w:rPr>
          <w:rFonts w:ascii="Times New Roman" w:eastAsia="Times New Roman" w:hAnsi="Times New Roman" w:cs="Times New Roman"/>
          <w:i/>
          <w:iCs/>
          <w:color w:val="000000"/>
          <w:kern w:val="0"/>
          <w14:ligatures w14:val="none"/>
        </w:rPr>
      </w:pPr>
      <w:r w:rsidRPr="00304FCE">
        <w:rPr>
          <w:rFonts w:ascii="Times New Roman" w:eastAsia="Times New Roman" w:hAnsi="Times New Roman" w:cs="Times New Roman"/>
          <w:i/>
          <w:iCs/>
          <w:color w:val="000000"/>
          <w:kern w:val="0"/>
          <w14:ligatures w14:val="none"/>
        </w:rPr>
        <w:t>1. tabula. Kopējais nodokļu maksātāju skaits būvniecības nozarē</w:t>
      </w:r>
    </w:p>
    <w:tbl>
      <w:tblPr>
        <w:tblW w:w="9204" w:type="dxa"/>
        <w:jc w:val="center"/>
        <w:tblLook w:val="04A0" w:firstRow="1" w:lastRow="0" w:firstColumn="1" w:lastColumn="0" w:noHBand="0" w:noVBand="1"/>
      </w:tblPr>
      <w:tblGrid>
        <w:gridCol w:w="3396"/>
        <w:gridCol w:w="1359"/>
        <w:gridCol w:w="1359"/>
        <w:gridCol w:w="1359"/>
        <w:gridCol w:w="1731"/>
      </w:tblGrid>
      <w:tr w:rsidR="00304FCE" w:rsidRPr="00304FCE" w14:paraId="5D085A9C" w14:textId="77777777" w:rsidTr="00304FCE">
        <w:trPr>
          <w:trHeight w:val="265"/>
          <w:tblHeader/>
          <w:jc w:val="center"/>
        </w:trPr>
        <w:tc>
          <w:tcPr>
            <w:tcW w:w="33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9981EC0"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Nozare</w:t>
            </w:r>
          </w:p>
        </w:tc>
        <w:tc>
          <w:tcPr>
            <w:tcW w:w="1359" w:type="dxa"/>
            <w:tcBorders>
              <w:top w:val="single" w:sz="4" w:space="0" w:color="auto"/>
              <w:left w:val="nil"/>
              <w:bottom w:val="single" w:sz="4" w:space="0" w:color="auto"/>
              <w:right w:val="single" w:sz="4" w:space="0" w:color="auto"/>
            </w:tcBorders>
            <w:shd w:val="clear" w:color="auto" w:fill="BFBFBF"/>
            <w:vAlign w:val="center"/>
            <w:hideMark/>
          </w:tcPr>
          <w:p w14:paraId="0BE0A596"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01.01.2022.</w:t>
            </w:r>
          </w:p>
        </w:tc>
        <w:tc>
          <w:tcPr>
            <w:tcW w:w="1359" w:type="dxa"/>
            <w:tcBorders>
              <w:top w:val="single" w:sz="4" w:space="0" w:color="auto"/>
              <w:left w:val="nil"/>
              <w:bottom w:val="single" w:sz="4" w:space="0" w:color="auto"/>
              <w:right w:val="single" w:sz="4" w:space="0" w:color="auto"/>
            </w:tcBorders>
            <w:shd w:val="clear" w:color="auto" w:fill="BFBFBF"/>
            <w:vAlign w:val="center"/>
            <w:hideMark/>
          </w:tcPr>
          <w:p w14:paraId="443D2C4E"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01.01.2023.</w:t>
            </w:r>
          </w:p>
        </w:tc>
        <w:tc>
          <w:tcPr>
            <w:tcW w:w="1359" w:type="dxa"/>
            <w:tcBorders>
              <w:top w:val="single" w:sz="4" w:space="0" w:color="auto"/>
              <w:left w:val="nil"/>
              <w:bottom w:val="single" w:sz="4" w:space="0" w:color="auto"/>
              <w:right w:val="single" w:sz="4" w:space="0" w:color="auto"/>
            </w:tcBorders>
            <w:shd w:val="clear" w:color="auto" w:fill="BFBFBF"/>
            <w:vAlign w:val="center"/>
            <w:hideMark/>
          </w:tcPr>
          <w:p w14:paraId="79D98ABE"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01.01.2024.</w:t>
            </w:r>
          </w:p>
        </w:tc>
        <w:tc>
          <w:tcPr>
            <w:tcW w:w="1731" w:type="dxa"/>
            <w:tcBorders>
              <w:top w:val="single" w:sz="4" w:space="0" w:color="auto"/>
              <w:left w:val="nil"/>
              <w:bottom w:val="single" w:sz="4" w:space="0" w:color="auto"/>
              <w:right w:val="single" w:sz="4" w:space="0" w:color="auto"/>
            </w:tcBorders>
            <w:shd w:val="clear" w:color="auto" w:fill="BFBFBF"/>
            <w:vAlign w:val="center"/>
            <w:hideMark/>
          </w:tcPr>
          <w:p w14:paraId="29AC9622"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Izmaiņas</w:t>
            </w:r>
            <w:r w:rsidRPr="00304FCE">
              <w:rPr>
                <w:rFonts w:ascii="Times New Roman" w:eastAsia="Times New Roman" w:hAnsi="Times New Roman" w:cs="Times New Roman"/>
                <w:b/>
                <w:bCs/>
                <w:color w:val="000000"/>
                <w:kern w:val="0"/>
                <w:sz w:val="16"/>
                <w:szCs w:val="16"/>
                <w14:ligatures w14:val="none"/>
              </w:rPr>
              <w:br/>
              <w:t>(2024. – 2023.)</w:t>
            </w:r>
          </w:p>
        </w:tc>
      </w:tr>
      <w:tr w:rsidR="00304FCE" w:rsidRPr="00304FCE" w14:paraId="7AEAA08B" w14:textId="77777777" w:rsidTr="001F20D9">
        <w:trPr>
          <w:trHeight w:val="166"/>
          <w:jc w:val="center"/>
        </w:trPr>
        <w:tc>
          <w:tcPr>
            <w:tcW w:w="3396" w:type="dxa"/>
            <w:tcBorders>
              <w:top w:val="nil"/>
              <w:left w:val="single" w:sz="4" w:space="0" w:color="auto"/>
              <w:bottom w:val="single" w:sz="4" w:space="0" w:color="auto"/>
              <w:right w:val="single" w:sz="4" w:space="0" w:color="auto"/>
            </w:tcBorders>
            <w:vAlign w:val="center"/>
            <w:hideMark/>
          </w:tcPr>
          <w:p w14:paraId="2488FEB8"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Būvniecības nozare kopā, t. sk.:</w:t>
            </w:r>
          </w:p>
        </w:tc>
        <w:tc>
          <w:tcPr>
            <w:tcW w:w="1359" w:type="dxa"/>
            <w:tcBorders>
              <w:top w:val="nil"/>
              <w:left w:val="nil"/>
              <w:bottom w:val="single" w:sz="4" w:space="0" w:color="auto"/>
              <w:right w:val="single" w:sz="4" w:space="0" w:color="auto"/>
            </w:tcBorders>
            <w:vAlign w:val="center"/>
            <w:hideMark/>
          </w:tcPr>
          <w:p w14:paraId="36A0AFD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19 067</w:t>
            </w:r>
          </w:p>
        </w:tc>
        <w:tc>
          <w:tcPr>
            <w:tcW w:w="1359" w:type="dxa"/>
            <w:tcBorders>
              <w:top w:val="nil"/>
              <w:left w:val="nil"/>
              <w:bottom w:val="single" w:sz="4" w:space="0" w:color="auto"/>
              <w:right w:val="single" w:sz="4" w:space="0" w:color="auto"/>
            </w:tcBorders>
            <w:vAlign w:val="center"/>
            <w:hideMark/>
          </w:tcPr>
          <w:p w14:paraId="4D867A2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19 002</w:t>
            </w:r>
          </w:p>
        </w:tc>
        <w:tc>
          <w:tcPr>
            <w:tcW w:w="1359" w:type="dxa"/>
            <w:tcBorders>
              <w:top w:val="nil"/>
              <w:left w:val="nil"/>
              <w:bottom w:val="single" w:sz="4" w:space="0" w:color="auto"/>
              <w:right w:val="single" w:sz="4" w:space="0" w:color="auto"/>
            </w:tcBorders>
            <w:vAlign w:val="center"/>
            <w:hideMark/>
          </w:tcPr>
          <w:p w14:paraId="3B09536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19 227</w:t>
            </w:r>
          </w:p>
        </w:tc>
        <w:tc>
          <w:tcPr>
            <w:tcW w:w="1731" w:type="dxa"/>
            <w:tcBorders>
              <w:top w:val="nil"/>
              <w:left w:val="nil"/>
              <w:bottom w:val="single" w:sz="4" w:space="0" w:color="auto"/>
              <w:right w:val="single" w:sz="4" w:space="0" w:color="auto"/>
            </w:tcBorders>
            <w:vAlign w:val="center"/>
            <w:hideMark/>
          </w:tcPr>
          <w:p w14:paraId="6FD2894F"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225</w:t>
            </w:r>
          </w:p>
        </w:tc>
      </w:tr>
      <w:tr w:rsidR="00304FCE" w:rsidRPr="00304FCE" w14:paraId="7C7895A7" w14:textId="77777777" w:rsidTr="001F20D9">
        <w:trPr>
          <w:trHeight w:val="122"/>
          <w:jc w:val="center"/>
        </w:trPr>
        <w:tc>
          <w:tcPr>
            <w:tcW w:w="3396" w:type="dxa"/>
            <w:tcBorders>
              <w:top w:val="nil"/>
              <w:left w:val="single" w:sz="4" w:space="0" w:color="auto"/>
              <w:bottom w:val="single" w:sz="4" w:space="0" w:color="auto"/>
              <w:right w:val="single" w:sz="4" w:space="0" w:color="auto"/>
            </w:tcBorders>
            <w:vAlign w:val="center"/>
            <w:hideMark/>
          </w:tcPr>
          <w:p w14:paraId="161DF6A6"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Ēku būvniecība (NACE 2.red. kods 41)</w:t>
            </w:r>
          </w:p>
        </w:tc>
        <w:tc>
          <w:tcPr>
            <w:tcW w:w="1359" w:type="dxa"/>
            <w:tcBorders>
              <w:top w:val="nil"/>
              <w:left w:val="nil"/>
              <w:bottom w:val="single" w:sz="4" w:space="0" w:color="auto"/>
              <w:right w:val="single" w:sz="4" w:space="0" w:color="auto"/>
            </w:tcBorders>
            <w:vAlign w:val="center"/>
            <w:hideMark/>
          </w:tcPr>
          <w:p w14:paraId="168C056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6 549</w:t>
            </w:r>
          </w:p>
        </w:tc>
        <w:tc>
          <w:tcPr>
            <w:tcW w:w="1359" w:type="dxa"/>
            <w:tcBorders>
              <w:top w:val="nil"/>
              <w:left w:val="nil"/>
              <w:bottom w:val="single" w:sz="4" w:space="0" w:color="auto"/>
              <w:right w:val="single" w:sz="4" w:space="0" w:color="auto"/>
            </w:tcBorders>
            <w:vAlign w:val="center"/>
            <w:hideMark/>
          </w:tcPr>
          <w:p w14:paraId="14B8757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6 578</w:t>
            </w:r>
          </w:p>
        </w:tc>
        <w:tc>
          <w:tcPr>
            <w:tcW w:w="1359" w:type="dxa"/>
            <w:tcBorders>
              <w:top w:val="nil"/>
              <w:left w:val="nil"/>
              <w:bottom w:val="single" w:sz="4" w:space="0" w:color="auto"/>
              <w:right w:val="single" w:sz="4" w:space="0" w:color="auto"/>
            </w:tcBorders>
            <w:vAlign w:val="center"/>
            <w:hideMark/>
          </w:tcPr>
          <w:p w14:paraId="037E6A4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6 606</w:t>
            </w:r>
          </w:p>
        </w:tc>
        <w:tc>
          <w:tcPr>
            <w:tcW w:w="1731" w:type="dxa"/>
            <w:tcBorders>
              <w:top w:val="nil"/>
              <w:left w:val="nil"/>
              <w:bottom w:val="single" w:sz="4" w:space="0" w:color="auto"/>
              <w:right w:val="single" w:sz="4" w:space="0" w:color="auto"/>
            </w:tcBorders>
            <w:vAlign w:val="center"/>
            <w:hideMark/>
          </w:tcPr>
          <w:p w14:paraId="23BF49A2"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28</w:t>
            </w:r>
          </w:p>
        </w:tc>
      </w:tr>
      <w:tr w:rsidR="00304FCE" w:rsidRPr="00304FCE" w14:paraId="17D7657B" w14:textId="77777777" w:rsidTr="001F20D9">
        <w:trPr>
          <w:trHeight w:val="122"/>
          <w:jc w:val="center"/>
        </w:trPr>
        <w:tc>
          <w:tcPr>
            <w:tcW w:w="3396" w:type="dxa"/>
            <w:tcBorders>
              <w:top w:val="nil"/>
              <w:left w:val="single" w:sz="4" w:space="0" w:color="auto"/>
              <w:bottom w:val="single" w:sz="4" w:space="0" w:color="auto"/>
              <w:right w:val="single" w:sz="4" w:space="0" w:color="auto"/>
            </w:tcBorders>
            <w:noWrap/>
            <w:vAlign w:val="bottom"/>
            <w:hideMark/>
          </w:tcPr>
          <w:p w14:paraId="391224A6"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Inženierbūvniecība (NACE 2.red. kods 42)</w:t>
            </w:r>
          </w:p>
        </w:tc>
        <w:tc>
          <w:tcPr>
            <w:tcW w:w="1359" w:type="dxa"/>
            <w:tcBorders>
              <w:top w:val="nil"/>
              <w:left w:val="nil"/>
              <w:bottom w:val="single" w:sz="4" w:space="0" w:color="auto"/>
              <w:right w:val="single" w:sz="4" w:space="0" w:color="auto"/>
            </w:tcBorders>
            <w:vAlign w:val="center"/>
            <w:hideMark/>
          </w:tcPr>
          <w:p w14:paraId="0814CD40"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1 561</w:t>
            </w:r>
          </w:p>
        </w:tc>
        <w:tc>
          <w:tcPr>
            <w:tcW w:w="1359" w:type="dxa"/>
            <w:tcBorders>
              <w:top w:val="nil"/>
              <w:left w:val="nil"/>
              <w:bottom w:val="single" w:sz="4" w:space="0" w:color="auto"/>
              <w:right w:val="single" w:sz="4" w:space="0" w:color="auto"/>
            </w:tcBorders>
            <w:vAlign w:val="center"/>
            <w:hideMark/>
          </w:tcPr>
          <w:p w14:paraId="2112B4A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1 574</w:t>
            </w:r>
          </w:p>
        </w:tc>
        <w:tc>
          <w:tcPr>
            <w:tcW w:w="1359" w:type="dxa"/>
            <w:tcBorders>
              <w:top w:val="nil"/>
              <w:left w:val="nil"/>
              <w:bottom w:val="single" w:sz="4" w:space="0" w:color="auto"/>
              <w:right w:val="single" w:sz="4" w:space="0" w:color="auto"/>
            </w:tcBorders>
            <w:vAlign w:val="center"/>
            <w:hideMark/>
          </w:tcPr>
          <w:p w14:paraId="65A9C23C"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1 582</w:t>
            </w:r>
          </w:p>
        </w:tc>
        <w:tc>
          <w:tcPr>
            <w:tcW w:w="1731" w:type="dxa"/>
            <w:tcBorders>
              <w:top w:val="nil"/>
              <w:left w:val="nil"/>
              <w:bottom w:val="single" w:sz="4" w:space="0" w:color="auto"/>
              <w:right w:val="single" w:sz="4" w:space="0" w:color="auto"/>
            </w:tcBorders>
            <w:vAlign w:val="center"/>
            <w:hideMark/>
          </w:tcPr>
          <w:p w14:paraId="3C8D67E4"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w:t>
            </w:r>
          </w:p>
        </w:tc>
      </w:tr>
      <w:tr w:rsidR="00304FCE" w:rsidRPr="00304FCE" w14:paraId="6F68CAF0" w14:textId="77777777" w:rsidTr="001F20D9">
        <w:trPr>
          <w:trHeight w:val="24"/>
          <w:jc w:val="center"/>
        </w:trPr>
        <w:tc>
          <w:tcPr>
            <w:tcW w:w="3396" w:type="dxa"/>
            <w:tcBorders>
              <w:top w:val="nil"/>
              <w:left w:val="single" w:sz="4" w:space="0" w:color="auto"/>
              <w:bottom w:val="single" w:sz="4" w:space="0" w:color="auto"/>
              <w:right w:val="single" w:sz="4" w:space="0" w:color="auto"/>
            </w:tcBorders>
            <w:noWrap/>
            <w:vAlign w:val="bottom"/>
            <w:hideMark/>
          </w:tcPr>
          <w:p w14:paraId="3D5CD662"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Specializētie būvdarbi (NACE 2.red. kods 43)</w:t>
            </w:r>
          </w:p>
        </w:tc>
        <w:tc>
          <w:tcPr>
            <w:tcW w:w="1359" w:type="dxa"/>
            <w:tcBorders>
              <w:top w:val="nil"/>
              <w:left w:val="nil"/>
              <w:bottom w:val="single" w:sz="4" w:space="0" w:color="auto"/>
              <w:right w:val="single" w:sz="4" w:space="0" w:color="auto"/>
            </w:tcBorders>
            <w:vAlign w:val="center"/>
            <w:hideMark/>
          </w:tcPr>
          <w:p w14:paraId="2D99380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10 957</w:t>
            </w:r>
          </w:p>
        </w:tc>
        <w:tc>
          <w:tcPr>
            <w:tcW w:w="1359" w:type="dxa"/>
            <w:tcBorders>
              <w:top w:val="nil"/>
              <w:left w:val="nil"/>
              <w:bottom w:val="single" w:sz="4" w:space="0" w:color="auto"/>
              <w:right w:val="single" w:sz="4" w:space="0" w:color="auto"/>
            </w:tcBorders>
            <w:vAlign w:val="center"/>
            <w:hideMark/>
          </w:tcPr>
          <w:p w14:paraId="6A06665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10 850</w:t>
            </w:r>
          </w:p>
        </w:tc>
        <w:tc>
          <w:tcPr>
            <w:tcW w:w="1359" w:type="dxa"/>
            <w:tcBorders>
              <w:top w:val="nil"/>
              <w:left w:val="nil"/>
              <w:bottom w:val="single" w:sz="4" w:space="0" w:color="auto"/>
              <w:right w:val="single" w:sz="4" w:space="0" w:color="auto"/>
            </w:tcBorders>
            <w:vAlign w:val="center"/>
            <w:hideMark/>
          </w:tcPr>
          <w:p w14:paraId="1291DC1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11 039</w:t>
            </w:r>
          </w:p>
        </w:tc>
        <w:tc>
          <w:tcPr>
            <w:tcW w:w="1731" w:type="dxa"/>
            <w:tcBorders>
              <w:top w:val="nil"/>
              <w:left w:val="nil"/>
              <w:bottom w:val="single" w:sz="4" w:space="0" w:color="auto"/>
              <w:right w:val="single" w:sz="4" w:space="0" w:color="auto"/>
            </w:tcBorders>
            <w:vAlign w:val="center"/>
            <w:hideMark/>
          </w:tcPr>
          <w:p w14:paraId="00B65F0B"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189</w:t>
            </w:r>
          </w:p>
        </w:tc>
      </w:tr>
    </w:tbl>
    <w:p w14:paraId="223E3DE5" w14:textId="77777777" w:rsidR="00304FCE" w:rsidRPr="00304FCE" w:rsidRDefault="00304FCE" w:rsidP="00304FCE">
      <w:pPr>
        <w:spacing w:after="12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ab/>
        <w:t>Salīdzinot 2024. gada ar 2023. gada sākumu, secināms, ka kopējais nozares nodokļu maksātāju skaits pieauga par 1 % jeb 225 komersantiem (1. tabula). Vislielākais nodokļu maksātāju skaits jeb 57,4 % no būvniecības nozarē reģistrēto nodokļu maksātāju skaita ir reģistrēts specializēto būvdarbu jomā. Būvniecības nozarē darbojas 12 766 juridiskās personas, kas ir ap 7 % no visām juridiskajām personām – nodokļu maksātājiem valstī – 189 480</w:t>
      </w:r>
      <w:r w:rsidRPr="00304FCE">
        <w:rPr>
          <w:rFonts w:ascii="Times New Roman" w:eastAsia="Times New Roman" w:hAnsi="Times New Roman" w:cs="Times New Roman"/>
          <w:color w:val="000000"/>
          <w:kern w:val="0"/>
          <w:sz w:val="24"/>
          <w:szCs w:val="24"/>
          <w:vertAlign w:val="superscript"/>
          <w14:ligatures w14:val="none"/>
        </w:rPr>
        <w:footnoteReference w:id="3"/>
      </w:r>
      <w:r w:rsidRPr="00304FCE">
        <w:rPr>
          <w:rFonts w:ascii="Times New Roman" w:eastAsia="Times New Roman" w:hAnsi="Times New Roman" w:cs="Times New Roman"/>
          <w:color w:val="000000"/>
          <w:kern w:val="0"/>
          <w:sz w:val="24"/>
          <w:szCs w:val="24"/>
          <w14:ligatures w14:val="none"/>
        </w:rPr>
        <w:t>.</w:t>
      </w:r>
    </w:p>
    <w:p w14:paraId="48D93E00" w14:textId="77777777" w:rsidR="00304FCE" w:rsidRPr="00304FCE" w:rsidRDefault="00304FCE" w:rsidP="00304FCE">
      <w:pPr>
        <w:tabs>
          <w:tab w:val="left" w:pos="1134"/>
        </w:tabs>
        <w:spacing w:after="0" w:line="240" w:lineRule="auto"/>
        <w:rPr>
          <w:rFonts w:ascii="Times New Roman" w:eastAsia="Times New Roman" w:hAnsi="Times New Roman" w:cs="Times New Roman"/>
          <w:i/>
          <w:iCs/>
          <w:color w:val="000000"/>
          <w:kern w:val="0"/>
          <w14:ligatures w14:val="none"/>
        </w:rPr>
      </w:pPr>
      <w:r w:rsidRPr="00304FCE">
        <w:rPr>
          <w:rFonts w:ascii="Times New Roman" w:eastAsia="Times New Roman" w:hAnsi="Times New Roman" w:cs="Times New Roman"/>
          <w:i/>
          <w:iCs/>
          <w:color w:val="000000"/>
          <w:kern w:val="0"/>
          <w14:ligatures w14:val="none"/>
        </w:rPr>
        <w:t>2. tabula. Juridisko personu skaits būvniecības nozarē</w:t>
      </w:r>
    </w:p>
    <w:tbl>
      <w:tblPr>
        <w:tblW w:w="9249" w:type="dxa"/>
        <w:jc w:val="center"/>
        <w:tblLayout w:type="fixed"/>
        <w:tblLook w:val="04A0" w:firstRow="1" w:lastRow="0" w:firstColumn="1" w:lastColumn="0" w:noHBand="0" w:noVBand="1"/>
      </w:tblPr>
      <w:tblGrid>
        <w:gridCol w:w="3539"/>
        <w:gridCol w:w="1327"/>
        <w:gridCol w:w="1327"/>
        <w:gridCol w:w="1450"/>
        <w:gridCol w:w="1606"/>
      </w:tblGrid>
      <w:tr w:rsidR="00304FCE" w:rsidRPr="00304FCE" w14:paraId="0BA60F9F" w14:textId="77777777" w:rsidTr="00304FCE">
        <w:trPr>
          <w:trHeight w:val="175"/>
          <w:jc w:val="center"/>
        </w:trPr>
        <w:tc>
          <w:tcPr>
            <w:tcW w:w="35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2C6E99"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Nozare</w:t>
            </w:r>
          </w:p>
        </w:tc>
        <w:tc>
          <w:tcPr>
            <w:tcW w:w="1327" w:type="dxa"/>
            <w:tcBorders>
              <w:top w:val="single" w:sz="4" w:space="0" w:color="auto"/>
              <w:left w:val="nil"/>
              <w:bottom w:val="single" w:sz="4" w:space="0" w:color="auto"/>
              <w:right w:val="single" w:sz="4" w:space="0" w:color="auto"/>
            </w:tcBorders>
            <w:shd w:val="clear" w:color="auto" w:fill="BFBFBF"/>
            <w:vAlign w:val="center"/>
            <w:hideMark/>
          </w:tcPr>
          <w:p w14:paraId="309BD34D"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01.01.2022.</w:t>
            </w:r>
          </w:p>
        </w:tc>
        <w:tc>
          <w:tcPr>
            <w:tcW w:w="1327" w:type="dxa"/>
            <w:tcBorders>
              <w:top w:val="single" w:sz="4" w:space="0" w:color="auto"/>
              <w:left w:val="nil"/>
              <w:bottom w:val="single" w:sz="4" w:space="0" w:color="auto"/>
              <w:right w:val="single" w:sz="4" w:space="0" w:color="auto"/>
            </w:tcBorders>
            <w:shd w:val="clear" w:color="auto" w:fill="BFBFBF"/>
            <w:vAlign w:val="center"/>
            <w:hideMark/>
          </w:tcPr>
          <w:p w14:paraId="65060424"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01.01.2023.</w:t>
            </w:r>
          </w:p>
        </w:tc>
        <w:tc>
          <w:tcPr>
            <w:tcW w:w="1450" w:type="dxa"/>
            <w:tcBorders>
              <w:top w:val="single" w:sz="4" w:space="0" w:color="auto"/>
              <w:left w:val="nil"/>
              <w:bottom w:val="single" w:sz="4" w:space="0" w:color="auto"/>
              <w:right w:val="single" w:sz="4" w:space="0" w:color="auto"/>
            </w:tcBorders>
            <w:shd w:val="clear" w:color="auto" w:fill="BFBFBF"/>
            <w:vAlign w:val="center"/>
            <w:hideMark/>
          </w:tcPr>
          <w:p w14:paraId="32D9CABF"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01.01.2024.</w:t>
            </w:r>
          </w:p>
        </w:tc>
        <w:tc>
          <w:tcPr>
            <w:tcW w:w="1606" w:type="dxa"/>
            <w:tcBorders>
              <w:top w:val="single" w:sz="4" w:space="0" w:color="auto"/>
              <w:left w:val="nil"/>
              <w:bottom w:val="single" w:sz="4" w:space="0" w:color="auto"/>
              <w:right w:val="single" w:sz="4" w:space="0" w:color="auto"/>
            </w:tcBorders>
            <w:shd w:val="clear" w:color="auto" w:fill="BFBFBF"/>
            <w:vAlign w:val="center"/>
            <w:hideMark/>
          </w:tcPr>
          <w:p w14:paraId="6843C9EA"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Izmaiņas</w:t>
            </w:r>
            <w:r w:rsidRPr="00304FCE">
              <w:rPr>
                <w:rFonts w:ascii="Times New Roman" w:eastAsia="Times New Roman" w:hAnsi="Times New Roman" w:cs="Times New Roman"/>
                <w:b/>
                <w:bCs/>
                <w:color w:val="000000"/>
                <w:kern w:val="0"/>
                <w:sz w:val="16"/>
                <w:szCs w:val="16"/>
                <w14:ligatures w14:val="none"/>
              </w:rPr>
              <w:br/>
              <w:t>(2024. – 2023.)</w:t>
            </w:r>
          </w:p>
        </w:tc>
      </w:tr>
      <w:tr w:rsidR="00304FCE" w:rsidRPr="00304FCE" w14:paraId="074F5622" w14:textId="77777777" w:rsidTr="001F20D9">
        <w:trPr>
          <w:trHeight w:val="64"/>
          <w:jc w:val="center"/>
        </w:trPr>
        <w:tc>
          <w:tcPr>
            <w:tcW w:w="3539" w:type="dxa"/>
            <w:tcBorders>
              <w:top w:val="nil"/>
              <w:left w:val="single" w:sz="4" w:space="0" w:color="auto"/>
              <w:bottom w:val="single" w:sz="4" w:space="0" w:color="auto"/>
              <w:right w:val="single" w:sz="4" w:space="0" w:color="auto"/>
            </w:tcBorders>
            <w:vAlign w:val="center"/>
            <w:hideMark/>
          </w:tcPr>
          <w:p w14:paraId="7CB1F2AB"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Būvniecības nozare kopā, t. sk.:</w:t>
            </w:r>
          </w:p>
        </w:tc>
        <w:tc>
          <w:tcPr>
            <w:tcW w:w="1327" w:type="dxa"/>
            <w:tcBorders>
              <w:top w:val="nil"/>
              <w:left w:val="nil"/>
              <w:bottom w:val="single" w:sz="4" w:space="0" w:color="auto"/>
              <w:right w:val="single" w:sz="4" w:space="0" w:color="auto"/>
            </w:tcBorders>
            <w:vAlign w:val="center"/>
            <w:hideMark/>
          </w:tcPr>
          <w:p w14:paraId="51B774E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12 895</w:t>
            </w:r>
          </w:p>
        </w:tc>
        <w:tc>
          <w:tcPr>
            <w:tcW w:w="1327" w:type="dxa"/>
            <w:tcBorders>
              <w:top w:val="nil"/>
              <w:left w:val="nil"/>
              <w:bottom w:val="single" w:sz="4" w:space="0" w:color="auto"/>
              <w:right w:val="single" w:sz="4" w:space="0" w:color="auto"/>
            </w:tcBorders>
            <w:vAlign w:val="center"/>
            <w:hideMark/>
          </w:tcPr>
          <w:p w14:paraId="060C48E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12 695</w:t>
            </w:r>
          </w:p>
        </w:tc>
        <w:tc>
          <w:tcPr>
            <w:tcW w:w="1450" w:type="dxa"/>
            <w:tcBorders>
              <w:top w:val="nil"/>
              <w:left w:val="nil"/>
              <w:bottom w:val="single" w:sz="4" w:space="0" w:color="auto"/>
              <w:right w:val="single" w:sz="4" w:space="0" w:color="auto"/>
            </w:tcBorders>
            <w:vAlign w:val="center"/>
            <w:hideMark/>
          </w:tcPr>
          <w:p w14:paraId="2055022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12 766</w:t>
            </w:r>
          </w:p>
        </w:tc>
        <w:tc>
          <w:tcPr>
            <w:tcW w:w="1606" w:type="dxa"/>
            <w:tcBorders>
              <w:top w:val="nil"/>
              <w:left w:val="nil"/>
              <w:bottom w:val="single" w:sz="4" w:space="0" w:color="auto"/>
              <w:right w:val="single" w:sz="4" w:space="0" w:color="auto"/>
            </w:tcBorders>
            <w:vAlign w:val="center"/>
            <w:hideMark/>
          </w:tcPr>
          <w:p w14:paraId="7841971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71</w:t>
            </w:r>
          </w:p>
        </w:tc>
      </w:tr>
      <w:tr w:rsidR="00304FCE" w:rsidRPr="00304FCE" w14:paraId="78CAB27C" w14:textId="77777777" w:rsidTr="001F20D9">
        <w:trPr>
          <w:trHeight w:val="88"/>
          <w:jc w:val="center"/>
        </w:trPr>
        <w:tc>
          <w:tcPr>
            <w:tcW w:w="3539" w:type="dxa"/>
            <w:tcBorders>
              <w:top w:val="nil"/>
              <w:left w:val="single" w:sz="4" w:space="0" w:color="auto"/>
              <w:bottom w:val="single" w:sz="4" w:space="0" w:color="auto"/>
              <w:right w:val="single" w:sz="4" w:space="0" w:color="auto"/>
            </w:tcBorders>
            <w:vAlign w:val="center"/>
            <w:hideMark/>
          </w:tcPr>
          <w:p w14:paraId="09A81020"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Ēku būvniecība (NACE 2.red. kods 41)</w:t>
            </w:r>
          </w:p>
        </w:tc>
        <w:tc>
          <w:tcPr>
            <w:tcW w:w="1327" w:type="dxa"/>
            <w:tcBorders>
              <w:top w:val="nil"/>
              <w:left w:val="nil"/>
              <w:bottom w:val="single" w:sz="4" w:space="0" w:color="auto"/>
              <w:right w:val="single" w:sz="4" w:space="0" w:color="auto"/>
            </w:tcBorders>
            <w:vAlign w:val="center"/>
            <w:hideMark/>
          </w:tcPr>
          <w:p w14:paraId="0F7F50D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4 657</w:t>
            </w:r>
          </w:p>
        </w:tc>
        <w:tc>
          <w:tcPr>
            <w:tcW w:w="1327" w:type="dxa"/>
            <w:tcBorders>
              <w:top w:val="nil"/>
              <w:left w:val="nil"/>
              <w:bottom w:val="single" w:sz="4" w:space="0" w:color="auto"/>
              <w:right w:val="single" w:sz="4" w:space="0" w:color="auto"/>
            </w:tcBorders>
            <w:vAlign w:val="center"/>
            <w:hideMark/>
          </w:tcPr>
          <w:p w14:paraId="224C872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4 611</w:t>
            </w:r>
          </w:p>
        </w:tc>
        <w:tc>
          <w:tcPr>
            <w:tcW w:w="1450" w:type="dxa"/>
            <w:tcBorders>
              <w:top w:val="nil"/>
              <w:left w:val="nil"/>
              <w:bottom w:val="single" w:sz="4" w:space="0" w:color="auto"/>
              <w:right w:val="single" w:sz="4" w:space="0" w:color="auto"/>
            </w:tcBorders>
            <w:vAlign w:val="center"/>
            <w:hideMark/>
          </w:tcPr>
          <w:p w14:paraId="6CE95DC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4 630</w:t>
            </w:r>
          </w:p>
        </w:tc>
        <w:tc>
          <w:tcPr>
            <w:tcW w:w="1606" w:type="dxa"/>
            <w:tcBorders>
              <w:top w:val="nil"/>
              <w:left w:val="nil"/>
              <w:bottom w:val="single" w:sz="4" w:space="0" w:color="auto"/>
              <w:right w:val="single" w:sz="4" w:space="0" w:color="auto"/>
            </w:tcBorders>
            <w:vAlign w:val="center"/>
            <w:hideMark/>
          </w:tcPr>
          <w:p w14:paraId="4FBF4BC5"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w:t>
            </w:r>
          </w:p>
        </w:tc>
      </w:tr>
      <w:tr w:rsidR="00304FCE" w:rsidRPr="00304FCE" w14:paraId="07E0AC52" w14:textId="77777777" w:rsidTr="001F20D9">
        <w:trPr>
          <w:trHeight w:val="90"/>
          <w:jc w:val="center"/>
        </w:trPr>
        <w:tc>
          <w:tcPr>
            <w:tcW w:w="3539" w:type="dxa"/>
            <w:tcBorders>
              <w:top w:val="nil"/>
              <w:left w:val="single" w:sz="4" w:space="0" w:color="auto"/>
              <w:bottom w:val="single" w:sz="4" w:space="0" w:color="auto"/>
              <w:right w:val="single" w:sz="4" w:space="0" w:color="auto"/>
            </w:tcBorders>
            <w:noWrap/>
            <w:vAlign w:val="bottom"/>
            <w:hideMark/>
          </w:tcPr>
          <w:p w14:paraId="132E2ACC"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Inženierbūvniecība (NACE 2.red. kods 42)</w:t>
            </w:r>
          </w:p>
        </w:tc>
        <w:tc>
          <w:tcPr>
            <w:tcW w:w="1327" w:type="dxa"/>
            <w:tcBorders>
              <w:top w:val="nil"/>
              <w:left w:val="nil"/>
              <w:bottom w:val="single" w:sz="4" w:space="0" w:color="auto"/>
              <w:right w:val="single" w:sz="4" w:space="0" w:color="auto"/>
            </w:tcBorders>
            <w:vAlign w:val="center"/>
            <w:hideMark/>
          </w:tcPr>
          <w:p w14:paraId="6D2C8F60"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1 375</w:t>
            </w:r>
          </w:p>
        </w:tc>
        <w:tc>
          <w:tcPr>
            <w:tcW w:w="1327" w:type="dxa"/>
            <w:tcBorders>
              <w:top w:val="nil"/>
              <w:left w:val="nil"/>
              <w:bottom w:val="single" w:sz="4" w:space="0" w:color="auto"/>
              <w:right w:val="single" w:sz="4" w:space="0" w:color="auto"/>
            </w:tcBorders>
            <w:vAlign w:val="center"/>
            <w:hideMark/>
          </w:tcPr>
          <w:p w14:paraId="618549B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1 378</w:t>
            </w:r>
          </w:p>
        </w:tc>
        <w:tc>
          <w:tcPr>
            <w:tcW w:w="1450" w:type="dxa"/>
            <w:tcBorders>
              <w:top w:val="nil"/>
              <w:left w:val="nil"/>
              <w:bottom w:val="single" w:sz="4" w:space="0" w:color="auto"/>
              <w:right w:val="single" w:sz="4" w:space="0" w:color="auto"/>
            </w:tcBorders>
            <w:vAlign w:val="center"/>
            <w:hideMark/>
          </w:tcPr>
          <w:p w14:paraId="5169C46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1 375</w:t>
            </w:r>
          </w:p>
        </w:tc>
        <w:tc>
          <w:tcPr>
            <w:tcW w:w="1606" w:type="dxa"/>
            <w:tcBorders>
              <w:top w:val="nil"/>
              <w:left w:val="nil"/>
              <w:bottom w:val="single" w:sz="4" w:space="0" w:color="auto"/>
              <w:right w:val="single" w:sz="4" w:space="0" w:color="auto"/>
            </w:tcBorders>
            <w:vAlign w:val="center"/>
            <w:hideMark/>
          </w:tcPr>
          <w:p w14:paraId="61A1665B"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w:t>
            </w:r>
          </w:p>
        </w:tc>
      </w:tr>
      <w:tr w:rsidR="00304FCE" w:rsidRPr="00304FCE" w14:paraId="41431D77" w14:textId="77777777" w:rsidTr="001F20D9">
        <w:trPr>
          <w:trHeight w:val="64"/>
          <w:jc w:val="center"/>
        </w:trPr>
        <w:tc>
          <w:tcPr>
            <w:tcW w:w="3539" w:type="dxa"/>
            <w:tcBorders>
              <w:top w:val="nil"/>
              <w:left w:val="single" w:sz="4" w:space="0" w:color="auto"/>
              <w:bottom w:val="single" w:sz="4" w:space="0" w:color="auto"/>
              <w:right w:val="single" w:sz="4" w:space="0" w:color="auto"/>
            </w:tcBorders>
            <w:noWrap/>
            <w:vAlign w:val="bottom"/>
            <w:hideMark/>
          </w:tcPr>
          <w:p w14:paraId="513F718C"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Specializētie būvdarbi(NACE 2.red. kods 43)</w:t>
            </w:r>
          </w:p>
        </w:tc>
        <w:tc>
          <w:tcPr>
            <w:tcW w:w="1327" w:type="dxa"/>
            <w:tcBorders>
              <w:top w:val="nil"/>
              <w:left w:val="nil"/>
              <w:bottom w:val="single" w:sz="4" w:space="0" w:color="auto"/>
              <w:right w:val="single" w:sz="4" w:space="0" w:color="auto"/>
            </w:tcBorders>
            <w:vAlign w:val="center"/>
            <w:hideMark/>
          </w:tcPr>
          <w:p w14:paraId="09F3E4B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6 863</w:t>
            </w:r>
          </w:p>
        </w:tc>
        <w:tc>
          <w:tcPr>
            <w:tcW w:w="1327" w:type="dxa"/>
            <w:tcBorders>
              <w:top w:val="nil"/>
              <w:left w:val="nil"/>
              <w:bottom w:val="single" w:sz="4" w:space="0" w:color="auto"/>
              <w:right w:val="single" w:sz="4" w:space="0" w:color="auto"/>
            </w:tcBorders>
            <w:vAlign w:val="center"/>
            <w:hideMark/>
          </w:tcPr>
          <w:p w14:paraId="6C995C8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6 706</w:t>
            </w:r>
          </w:p>
        </w:tc>
        <w:tc>
          <w:tcPr>
            <w:tcW w:w="1450" w:type="dxa"/>
            <w:tcBorders>
              <w:top w:val="nil"/>
              <w:left w:val="nil"/>
              <w:bottom w:val="single" w:sz="4" w:space="0" w:color="auto"/>
              <w:right w:val="single" w:sz="4" w:space="0" w:color="auto"/>
            </w:tcBorders>
            <w:vAlign w:val="center"/>
            <w:hideMark/>
          </w:tcPr>
          <w:p w14:paraId="527F750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6 761</w:t>
            </w:r>
          </w:p>
        </w:tc>
        <w:tc>
          <w:tcPr>
            <w:tcW w:w="1606" w:type="dxa"/>
            <w:tcBorders>
              <w:top w:val="nil"/>
              <w:left w:val="nil"/>
              <w:bottom w:val="single" w:sz="4" w:space="0" w:color="auto"/>
              <w:right w:val="single" w:sz="4" w:space="0" w:color="auto"/>
            </w:tcBorders>
            <w:vAlign w:val="center"/>
            <w:hideMark/>
          </w:tcPr>
          <w:p w14:paraId="7EBA0447"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55</w:t>
            </w:r>
          </w:p>
        </w:tc>
      </w:tr>
    </w:tbl>
    <w:p w14:paraId="46CE39DE" w14:textId="77777777" w:rsidR="00304FCE" w:rsidRPr="00304FCE" w:rsidRDefault="00304FCE" w:rsidP="00304FCE">
      <w:pPr>
        <w:tabs>
          <w:tab w:val="left" w:pos="1134"/>
        </w:tabs>
        <w:spacing w:after="0" w:line="240" w:lineRule="auto"/>
        <w:jc w:val="both"/>
        <w:rPr>
          <w:rFonts w:ascii="Times New Roman" w:eastAsia="Times New Roman" w:hAnsi="Times New Roman" w:cs="Times New Roman"/>
          <w:color w:val="000000"/>
          <w:kern w:val="0"/>
          <w:sz w:val="10"/>
          <w:szCs w:val="10"/>
          <w14:ligatures w14:val="none"/>
        </w:rPr>
      </w:pPr>
    </w:p>
    <w:p w14:paraId="708ED91B" w14:textId="77777777" w:rsidR="00304FCE" w:rsidRPr="00304FCE" w:rsidRDefault="00304FCE" w:rsidP="00304FCE">
      <w:pPr>
        <w:tabs>
          <w:tab w:val="left" w:pos="1134"/>
        </w:tabs>
        <w:spacing w:after="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Nozares juridisko personu skaitam 2023. gadā ir vērojama tendence nedaudz palielināties, izņemot inženierbūvniecību, kur juridisko personu skaits ir atgriezies 2022. gada līmenī, samazinoties par trim nodokļu maksātājiem (2. tabula).</w:t>
      </w:r>
    </w:p>
    <w:p w14:paraId="332BCA62" w14:textId="77777777" w:rsidR="00304FCE" w:rsidRPr="00304FCE" w:rsidRDefault="00304FCE" w:rsidP="00304FCE">
      <w:pPr>
        <w:spacing w:after="0" w:line="240" w:lineRule="auto"/>
        <w:ind w:firstLine="709"/>
        <w:rPr>
          <w:rFonts w:ascii="Calibri" w:eastAsia="Calibri" w:hAnsi="Calibri" w:cs="Arial"/>
          <w:color w:val="000000"/>
          <w:kern w:val="0"/>
          <w:sz w:val="24"/>
          <w:szCs w:val="24"/>
          <w14:ligatures w14:val="none"/>
        </w:rPr>
      </w:pPr>
    </w:p>
    <w:p w14:paraId="31FFE8E5" w14:textId="77777777" w:rsidR="00304FCE" w:rsidRPr="00304FCE" w:rsidRDefault="00304FCE" w:rsidP="00304FCE">
      <w:pPr>
        <w:tabs>
          <w:tab w:val="left" w:pos="1276"/>
        </w:tabs>
        <w:spacing w:after="0" w:line="240" w:lineRule="auto"/>
        <w:ind w:firstLine="709"/>
        <w:jc w:val="both"/>
        <w:rPr>
          <w:rFonts w:ascii="Times New Roman" w:eastAsia="Times New Roman" w:hAnsi="Times New Roman" w:cs="Times New Roman"/>
          <w:b/>
          <w:bCs/>
          <w:color w:val="000000"/>
          <w:kern w:val="0"/>
          <w:sz w:val="24"/>
          <w:szCs w:val="24"/>
          <w14:ligatures w14:val="none"/>
        </w:rPr>
      </w:pPr>
      <w:r w:rsidRPr="00304FCE">
        <w:rPr>
          <w:rFonts w:ascii="Times New Roman" w:eastAsia="Times New Roman" w:hAnsi="Times New Roman" w:cs="Times New Roman"/>
          <w:b/>
          <w:bCs/>
          <w:color w:val="000000"/>
          <w:kern w:val="0"/>
          <w:sz w:val="24"/>
          <w:szCs w:val="24"/>
          <w14:ligatures w14:val="none"/>
        </w:rPr>
        <w:t>Informācija par VID administrētiem kopbudžeta ieņēmumiem no būvniecības nozares nodokļu maksātājiem</w:t>
      </w:r>
      <w:r w:rsidRPr="00304FCE">
        <w:rPr>
          <w:rFonts w:ascii="Times New Roman" w:eastAsia="Times New Roman" w:hAnsi="Times New Roman" w:cs="Times New Roman"/>
          <w:b/>
          <w:bCs/>
          <w:color w:val="000000"/>
          <w:kern w:val="0"/>
          <w:sz w:val="24"/>
          <w:szCs w:val="24"/>
          <w:vertAlign w:val="superscript"/>
          <w14:ligatures w14:val="none"/>
        </w:rPr>
        <w:footnoteReference w:id="4"/>
      </w:r>
    </w:p>
    <w:p w14:paraId="4196641F" w14:textId="77777777" w:rsidR="00304FCE" w:rsidRPr="00304FCE" w:rsidRDefault="00304FCE" w:rsidP="00304FCE">
      <w:pPr>
        <w:spacing w:after="12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VID administrētie </w:t>
      </w:r>
      <w:r w:rsidRPr="00304FCE">
        <w:rPr>
          <w:rFonts w:ascii="Times New Roman" w:eastAsia="Times New Roman" w:hAnsi="Times New Roman" w:cs="Times New Roman"/>
          <w:b/>
          <w:bCs/>
          <w:color w:val="000000"/>
          <w:kern w:val="0"/>
          <w:sz w:val="24"/>
          <w:szCs w:val="24"/>
          <w14:ligatures w14:val="none"/>
        </w:rPr>
        <w:t xml:space="preserve">kopbudžeta ieņēmumi, </w:t>
      </w:r>
      <w:r w:rsidRPr="00304FCE">
        <w:rPr>
          <w:rFonts w:ascii="Times New Roman" w:eastAsia="Times New Roman" w:hAnsi="Times New Roman" w:cs="Times New Roman"/>
          <w:color w:val="000000"/>
          <w:kern w:val="0"/>
          <w:sz w:val="24"/>
          <w:szCs w:val="24"/>
          <w14:ligatures w14:val="none"/>
        </w:rPr>
        <w:t xml:space="preserve">izņemot transportlīdzekļa ekspluatācijas nodokļa un uzņēmumu vieglo transportlīdzekļu nodokļa ieņēmumus, jo maksājumi, kas veikti VAS “Ceļu satiksmes drošības direkcija” vai tehniskās apskates stacijās, VID datubāzē netiek piesaistīti nodokļu maksātājiem (turpmāk – VID administrētie kopbudžeta ieņēmumi), no būvniecības nozares nodokļu maksātājiem pēdējo trīs gadu laikā </w:t>
      </w:r>
      <w:r w:rsidRPr="00304FCE">
        <w:rPr>
          <w:rFonts w:ascii="Times New Roman" w:eastAsia="Times New Roman" w:hAnsi="Times New Roman" w:cs="Times New Roman"/>
          <w:b/>
          <w:bCs/>
          <w:color w:val="000000"/>
          <w:kern w:val="0"/>
          <w:sz w:val="24"/>
          <w:szCs w:val="24"/>
          <w14:ligatures w14:val="none"/>
        </w:rPr>
        <w:t>pakāpeniski pieaug</w:t>
      </w:r>
      <w:r w:rsidRPr="00304FCE">
        <w:rPr>
          <w:rFonts w:ascii="Times New Roman" w:eastAsia="Times New Roman" w:hAnsi="Times New Roman" w:cs="Times New Roman"/>
          <w:color w:val="000000"/>
          <w:kern w:val="0"/>
          <w:sz w:val="24"/>
          <w:szCs w:val="24"/>
          <w14:ligatures w14:val="none"/>
        </w:rPr>
        <w:t xml:space="preserve">, un 2023. gadā tie ir </w:t>
      </w:r>
      <w:r w:rsidRPr="00304FCE">
        <w:rPr>
          <w:rFonts w:ascii="Times New Roman" w:eastAsia="Times New Roman" w:hAnsi="Times New Roman" w:cs="Times New Roman"/>
          <w:b/>
          <w:bCs/>
          <w:color w:val="000000"/>
          <w:kern w:val="0"/>
          <w:sz w:val="24"/>
          <w:szCs w:val="24"/>
          <w14:ligatures w14:val="none"/>
        </w:rPr>
        <w:t>323,2</w:t>
      </w:r>
      <w:r w:rsidRPr="00304FCE">
        <w:rPr>
          <w:rFonts w:ascii="Times New Roman" w:eastAsia="Times New Roman" w:hAnsi="Times New Roman" w:cs="Times New Roman"/>
          <w:color w:val="000000"/>
          <w:kern w:val="0"/>
          <w:sz w:val="24"/>
          <w:szCs w:val="24"/>
          <w14:ligatures w14:val="none"/>
        </w:rPr>
        <w:t> </w:t>
      </w:r>
      <w:r w:rsidRPr="00304FCE">
        <w:rPr>
          <w:rFonts w:ascii="Times New Roman" w:eastAsia="Times New Roman" w:hAnsi="Times New Roman" w:cs="Times New Roman"/>
          <w:b/>
          <w:bCs/>
          <w:color w:val="000000"/>
          <w:kern w:val="0"/>
          <w:sz w:val="24"/>
          <w:szCs w:val="24"/>
          <w14:ligatures w14:val="none"/>
        </w:rPr>
        <w:t>milj. EUR</w:t>
      </w:r>
      <w:r w:rsidRPr="00304FCE">
        <w:rPr>
          <w:rFonts w:ascii="Times New Roman" w:eastAsia="Times New Roman" w:hAnsi="Times New Roman" w:cs="Times New Roman"/>
          <w:color w:val="000000"/>
          <w:kern w:val="0"/>
          <w:sz w:val="24"/>
          <w:szCs w:val="24"/>
          <w14:ligatures w14:val="none"/>
        </w:rPr>
        <w:t xml:space="preserve"> (3. tabula), kas ir 2,3 % no kopējiem 2023. gada VID administrētajiem kopbudžeta ieņēmumiem (13 933,5 milj. EUR) un par 19,8 % vairāk nekā 2022. gadā.</w:t>
      </w:r>
    </w:p>
    <w:p w14:paraId="418BC550" w14:textId="77777777" w:rsidR="00304FCE" w:rsidRPr="00304FCE" w:rsidRDefault="00304FCE" w:rsidP="00304FCE">
      <w:pPr>
        <w:tabs>
          <w:tab w:val="left" w:pos="1134"/>
        </w:tabs>
        <w:spacing w:after="0" w:line="240" w:lineRule="auto"/>
        <w:rPr>
          <w:rFonts w:ascii="Times New Roman" w:eastAsia="Times New Roman" w:hAnsi="Times New Roman" w:cs="Times New Roman"/>
          <w:i/>
          <w:iCs/>
          <w:color w:val="000000"/>
          <w:kern w:val="0"/>
          <w14:ligatures w14:val="none"/>
        </w:rPr>
      </w:pPr>
      <w:r w:rsidRPr="00304FCE">
        <w:rPr>
          <w:rFonts w:ascii="Times New Roman" w:eastAsia="Times New Roman" w:hAnsi="Times New Roman" w:cs="Times New Roman"/>
          <w:i/>
          <w:iCs/>
          <w:color w:val="000000"/>
          <w:kern w:val="0"/>
          <w14:ligatures w14:val="none"/>
        </w:rPr>
        <w:lastRenderedPageBreak/>
        <w:t>3. tabula. Būvniecības nozares nodokļu maksātāju nodrošinātie VID administrētie kopbudžeta ieņēmumi, milj. EUR</w:t>
      </w:r>
    </w:p>
    <w:tbl>
      <w:tblPr>
        <w:tblW w:w="9351" w:type="dxa"/>
        <w:jc w:val="center"/>
        <w:tblLook w:val="04A0" w:firstRow="1" w:lastRow="0" w:firstColumn="1" w:lastColumn="0" w:noHBand="0" w:noVBand="1"/>
      </w:tblPr>
      <w:tblGrid>
        <w:gridCol w:w="4957"/>
        <w:gridCol w:w="754"/>
        <w:gridCol w:w="851"/>
        <w:gridCol w:w="850"/>
        <w:gridCol w:w="1276"/>
        <w:gridCol w:w="663"/>
      </w:tblGrid>
      <w:tr w:rsidR="00304FCE" w:rsidRPr="00304FCE" w14:paraId="2BCFC546" w14:textId="77777777" w:rsidTr="00304FCE">
        <w:trPr>
          <w:trHeight w:val="164"/>
          <w:tblHeader/>
          <w:jc w:val="center"/>
        </w:trPr>
        <w:tc>
          <w:tcPr>
            <w:tcW w:w="4957"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A1D75EA"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Maksājuma veids</w:t>
            </w:r>
          </w:p>
        </w:tc>
        <w:tc>
          <w:tcPr>
            <w:tcW w:w="75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7416268"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2021.</w:t>
            </w:r>
          </w:p>
          <w:p w14:paraId="326905CD"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gads*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2105109"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2022. gads</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701654A"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2023. gads</w:t>
            </w:r>
          </w:p>
        </w:tc>
        <w:tc>
          <w:tcPr>
            <w:tcW w:w="1939" w:type="dxa"/>
            <w:gridSpan w:val="2"/>
            <w:tcBorders>
              <w:top w:val="single" w:sz="4" w:space="0" w:color="auto"/>
              <w:left w:val="nil"/>
              <w:bottom w:val="single" w:sz="4" w:space="0" w:color="auto"/>
              <w:right w:val="single" w:sz="4" w:space="0" w:color="auto"/>
            </w:tcBorders>
            <w:shd w:val="clear" w:color="auto" w:fill="BFBFBF"/>
            <w:noWrap/>
            <w:vAlign w:val="center"/>
            <w:hideMark/>
          </w:tcPr>
          <w:p w14:paraId="1B97A95F"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Izmaiņas</w:t>
            </w:r>
          </w:p>
          <w:p w14:paraId="244951B1"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(2023. – 2022.)</w:t>
            </w:r>
          </w:p>
        </w:tc>
      </w:tr>
      <w:tr w:rsidR="00304FCE" w:rsidRPr="00304FCE" w14:paraId="7B690436" w14:textId="77777777" w:rsidTr="00304FCE">
        <w:trPr>
          <w:trHeight w:val="70"/>
          <w:tblHeader/>
          <w:jc w:val="center"/>
        </w:trPr>
        <w:tc>
          <w:tcPr>
            <w:tcW w:w="4957" w:type="dxa"/>
            <w:vMerge/>
            <w:tcBorders>
              <w:top w:val="single" w:sz="4" w:space="0" w:color="auto"/>
              <w:left w:val="single" w:sz="4" w:space="0" w:color="auto"/>
              <w:bottom w:val="single" w:sz="4" w:space="0" w:color="auto"/>
              <w:right w:val="single" w:sz="4" w:space="0" w:color="auto"/>
            </w:tcBorders>
            <w:vAlign w:val="center"/>
            <w:hideMark/>
          </w:tcPr>
          <w:p w14:paraId="5CCFDD54" w14:textId="77777777" w:rsidR="00304FCE" w:rsidRPr="00304FCE" w:rsidRDefault="00304FCE" w:rsidP="00304FCE">
            <w:pPr>
              <w:spacing w:after="0" w:line="276" w:lineRule="auto"/>
              <w:rPr>
                <w:rFonts w:ascii="Times New Roman" w:eastAsia="Times New Roman" w:hAnsi="Times New Roman" w:cs="Times New Roman"/>
                <w:b/>
                <w:bCs/>
                <w:color w:val="000000"/>
                <w:kern w:val="0"/>
                <w:sz w:val="16"/>
                <w:szCs w:val="16"/>
                <w14:ligatures w14:val="none"/>
              </w:rPr>
            </w:pPr>
          </w:p>
        </w:tc>
        <w:tc>
          <w:tcPr>
            <w:tcW w:w="754" w:type="dxa"/>
            <w:vMerge/>
            <w:tcBorders>
              <w:top w:val="single" w:sz="4" w:space="0" w:color="auto"/>
              <w:left w:val="single" w:sz="4" w:space="0" w:color="auto"/>
              <w:bottom w:val="single" w:sz="4" w:space="0" w:color="auto"/>
              <w:right w:val="single" w:sz="4" w:space="0" w:color="auto"/>
            </w:tcBorders>
            <w:vAlign w:val="center"/>
            <w:hideMark/>
          </w:tcPr>
          <w:p w14:paraId="2D6AC39F" w14:textId="77777777" w:rsidR="00304FCE" w:rsidRPr="00304FCE" w:rsidRDefault="00304FCE" w:rsidP="00304FCE">
            <w:pPr>
              <w:spacing w:after="0" w:line="276" w:lineRule="auto"/>
              <w:rPr>
                <w:rFonts w:ascii="Times New Roman" w:eastAsia="Times New Roman" w:hAnsi="Times New Roman" w:cs="Times New Roman"/>
                <w:b/>
                <w:bCs/>
                <w:color w:val="000000"/>
                <w:kern w:val="0"/>
                <w:sz w:val="16"/>
                <w:szCs w:val="16"/>
                <w14:ligatures w14:val="none"/>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DF7803" w14:textId="77777777" w:rsidR="00304FCE" w:rsidRPr="00304FCE" w:rsidRDefault="00304FCE" w:rsidP="00304FCE">
            <w:pPr>
              <w:spacing w:after="0" w:line="276" w:lineRule="auto"/>
              <w:rPr>
                <w:rFonts w:ascii="Times New Roman" w:eastAsia="Times New Roman" w:hAnsi="Times New Roman" w:cs="Times New Roman"/>
                <w:b/>
                <w:bCs/>
                <w:color w:val="000000"/>
                <w:kern w:val="0"/>
                <w:sz w:val="16"/>
                <w:szCs w:val="16"/>
                <w14:ligatures w14:val="none"/>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F0BEF58" w14:textId="77777777" w:rsidR="00304FCE" w:rsidRPr="00304FCE" w:rsidRDefault="00304FCE" w:rsidP="00304FCE">
            <w:pPr>
              <w:spacing w:after="0" w:line="276" w:lineRule="auto"/>
              <w:rPr>
                <w:rFonts w:ascii="Times New Roman" w:eastAsia="Times New Roman" w:hAnsi="Times New Roman" w:cs="Times New Roman"/>
                <w:b/>
                <w:bCs/>
                <w:color w:val="000000"/>
                <w:kern w:val="0"/>
                <w:sz w:val="16"/>
                <w:szCs w:val="16"/>
                <w14:ligatures w14:val="none"/>
              </w:rPr>
            </w:pPr>
          </w:p>
        </w:tc>
        <w:tc>
          <w:tcPr>
            <w:tcW w:w="1276" w:type="dxa"/>
            <w:tcBorders>
              <w:top w:val="nil"/>
              <w:left w:val="nil"/>
              <w:bottom w:val="single" w:sz="4" w:space="0" w:color="auto"/>
              <w:right w:val="single" w:sz="4" w:space="0" w:color="auto"/>
            </w:tcBorders>
            <w:shd w:val="clear" w:color="auto" w:fill="BFBFBF"/>
            <w:vAlign w:val="center"/>
            <w:hideMark/>
          </w:tcPr>
          <w:p w14:paraId="67E9DE4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milj. EUR</w:t>
            </w:r>
          </w:p>
        </w:tc>
        <w:tc>
          <w:tcPr>
            <w:tcW w:w="663" w:type="dxa"/>
            <w:tcBorders>
              <w:top w:val="nil"/>
              <w:left w:val="nil"/>
              <w:bottom w:val="single" w:sz="4" w:space="0" w:color="auto"/>
              <w:right w:val="single" w:sz="4" w:space="0" w:color="auto"/>
            </w:tcBorders>
            <w:shd w:val="clear" w:color="auto" w:fill="BFBFBF"/>
            <w:noWrap/>
            <w:vAlign w:val="center"/>
            <w:hideMark/>
          </w:tcPr>
          <w:p w14:paraId="1202404A"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w:t>
            </w:r>
          </w:p>
        </w:tc>
      </w:tr>
      <w:tr w:rsidR="00304FCE" w:rsidRPr="00304FCE" w14:paraId="4953A7BD" w14:textId="77777777" w:rsidTr="001F20D9">
        <w:trPr>
          <w:trHeight w:val="232"/>
          <w:jc w:val="center"/>
        </w:trPr>
        <w:tc>
          <w:tcPr>
            <w:tcW w:w="4957" w:type="dxa"/>
            <w:tcBorders>
              <w:top w:val="nil"/>
              <w:left w:val="single" w:sz="4" w:space="0" w:color="auto"/>
              <w:bottom w:val="single" w:sz="4" w:space="0" w:color="auto"/>
              <w:right w:val="single" w:sz="4" w:space="0" w:color="auto"/>
            </w:tcBorders>
            <w:vAlign w:val="bottom"/>
            <w:hideMark/>
          </w:tcPr>
          <w:p w14:paraId="06D387B4"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VID administrētie kopbudžeta ieņēmumi kopā, t. sk.:</w:t>
            </w:r>
          </w:p>
        </w:tc>
        <w:tc>
          <w:tcPr>
            <w:tcW w:w="754" w:type="dxa"/>
            <w:tcBorders>
              <w:top w:val="nil"/>
              <w:left w:val="nil"/>
              <w:bottom w:val="single" w:sz="4" w:space="0" w:color="auto"/>
              <w:right w:val="single" w:sz="4" w:space="0" w:color="auto"/>
            </w:tcBorders>
            <w:noWrap/>
            <w:vAlign w:val="center"/>
            <w:hideMark/>
          </w:tcPr>
          <w:p w14:paraId="7C09B01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234,0</w:t>
            </w:r>
          </w:p>
        </w:tc>
        <w:tc>
          <w:tcPr>
            <w:tcW w:w="851" w:type="dxa"/>
            <w:tcBorders>
              <w:top w:val="nil"/>
              <w:left w:val="nil"/>
              <w:bottom w:val="single" w:sz="4" w:space="0" w:color="auto"/>
              <w:right w:val="single" w:sz="4" w:space="0" w:color="auto"/>
            </w:tcBorders>
            <w:noWrap/>
            <w:vAlign w:val="center"/>
            <w:hideMark/>
          </w:tcPr>
          <w:p w14:paraId="1AB49EC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269,8</w:t>
            </w:r>
          </w:p>
        </w:tc>
        <w:tc>
          <w:tcPr>
            <w:tcW w:w="850" w:type="dxa"/>
            <w:tcBorders>
              <w:top w:val="nil"/>
              <w:left w:val="nil"/>
              <w:bottom w:val="single" w:sz="4" w:space="0" w:color="auto"/>
              <w:right w:val="single" w:sz="4" w:space="0" w:color="auto"/>
            </w:tcBorders>
            <w:noWrap/>
            <w:vAlign w:val="center"/>
            <w:hideMark/>
          </w:tcPr>
          <w:p w14:paraId="1E3BCBB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323,2</w:t>
            </w:r>
          </w:p>
        </w:tc>
        <w:tc>
          <w:tcPr>
            <w:tcW w:w="1276" w:type="dxa"/>
            <w:tcBorders>
              <w:top w:val="nil"/>
              <w:left w:val="nil"/>
              <w:bottom w:val="single" w:sz="4" w:space="0" w:color="auto"/>
              <w:right w:val="single" w:sz="4" w:space="0" w:color="auto"/>
            </w:tcBorders>
            <w:noWrap/>
            <w:vAlign w:val="center"/>
            <w:hideMark/>
          </w:tcPr>
          <w:p w14:paraId="77026D9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53,3</w:t>
            </w:r>
          </w:p>
        </w:tc>
        <w:tc>
          <w:tcPr>
            <w:tcW w:w="663" w:type="dxa"/>
            <w:tcBorders>
              <w:top w:val="nil"/>
              <w:left w:val="nil"/>
              <w:bottom w:val="single" w:sz="4" w:space="0" w:color="auto"/>
              <w:right w:val="single" w:sz="4" w:space="0" w:color="auto"/>
            </w:tcBorders>
            <w:noWrap/>
            <w:vAlign w:val="center"/>
            <w:hideMark/>
          </w:tcPr>
          <w:p w14:paraId="3333125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19,8</w:t>
            </w:r>
          </w:p>
        </w:tc>
      </w:tr>
      <w:tr w:rsidR="00304FCE" w:rsidRPr="00304FCE" w14:paraId="3531DBEF" w14:textId="77777777" w:rsidTr="001F20D9">
        <w:trPr>
          <w:trHeight w:val="204"/>
          <w:jc w:val="center"/>
        </w:trPr>
        <w:tc>
          <w:tcPr>
            <w:tcW w:w="4957" w:type="dxa"/>
            <w:tcBorders>
              <w:top w:val="nil"/>
              <w:left w:val="single" w:sz="4" w:space="0" w:color="auto"/>
              <w:bottom w:val="single" w:sz="4" w:space="0" w:color="auto"/>
              <w:right w:val="single" w:sz="4" w:space="0" w:color="auto"/>
            </w:tcBorders>
            <w:vAlign w:val="bottom"/>
            <w:hideMark/>
          </w:tcPr>
          <w:p w14:paraId="2956DB79"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VSAOI</w:t>
            </w:r>
          </w:p>
        </w:tc>
        <w:tc>
          <w:tcPr>
            <w:tcW w:w="754" w:type="dxa"/>
            <w:vMerge w:val="restart"/>
            <w:tcBorders>
              <w:top w:val="nil"/>
              <w:left w:val="single" w:sz="4" w:space="0" w:color="auto"/>
              <w:right w:val="single" w:sz="4" w:space="0" w:color="auto"/>
            </w:tcBorders>
            <w:vAlign w:val="center"/>
            <w:hideMark/>
          </w:tcPr>
          <w:p w14:paraId="042E7452"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w:t>
            </w:r>
          </w:p>
        </w:tc>
        <w:tc>
          <w:tcPr>
            <w:tcW w:w="851" w:type="dxa"/>
            <w:tcBorders>
              <w:top w:val="nil"/>
              <w:left w:val="nil"/>
              <w:bottom w:val="single" w:sz="4" w:space="0" w:color="auto"/>
              <w:right w:val="single" w:sz="4" w:space="0" w:color="auto"/>
            </w:tcBorders>
            <w:noWrap/>
            <w:vAlign w:val="center"/>
            <w:hideMark/>
          </w:tcPr>
          <w:p w14:paraId="05312C9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267,1</w:t>
            </w:r>
          </w:p>
        </w:tc>
        <w:tc>
          <w:tcPr>
            <w:tcW w:w="850" w:type="dxa"/>
            <w:tcBorders>
              <w:top w:val="nil"/>
              <w:left w:val="nil"/>
              <w:bottom w:val="single" w:sz="4" w:space="0" w:color="auto"/>
              <w:right w:val="single" w:sz="4" w:space="0" w:color="auto"/>
            </w:tcBorders>
            <w:noWrap/>
            <w:vAlign w:val="center"/>
            <w:hideMark/>
          </w:tcPr>
          <w:p w14:paraId="4A880BD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285,5</w:t>
            </w:r>
          </w:p>
        </w:tc>
        <w:tc>
          <w:tcPr>
            <w:tcW w:w="1276" w:type="dxa"/>
            <w:tcBorders>
              <w:top w:val="nil"/>
              <w:left w:val="nil"/>
              <w:bottom w:val="single" w:sz="4" w:space="0" w:color="auto"/>
              <w:right w:val="single" w:sz="4" w:space="0" w:color="auto"/>
            </w:tcBorders>
            <w:noWrap/>
            <w:vAlign w:val="center"/>
            <w:hideMark/>
          </w:tcPr>
          <w:p w14:paraId="603B54C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18,4</w:t>
            </w:r>
          </w:p>
        </w:tc>
        <w:tc>
          <w:tcPr>
            <w:tcW w:w="663" w:type="dxa"/>
            <w:tcBorders>
              <w:top w:val="nil"/>
              <w:left w:val="nil"/>
              <w:bottom w:val="single" w:sz="4" w:space="0" w:color="auto"/>
              <w:right w:val="single" w:sz="4" w:space="0" w:color="auto"/>
            </w:tcBorders>
            <w:noWrap/>
            <w:vAlign w:val="center"/>
            <w:hideMark/>
          </w:tcPr>
          <w:p w14:paraId="5F2F508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6,9</w:t>
            </w:r>
          </w:p>
        </w:tc>
      </w:tr>
      <w:tr w:rsidR="00304FCE" w:rsidRPr="00304FCE" w14:paraId="52F12516" w14:textId="77777777" w:rsidTr="001F20D9">
        <w:trPr>
          <w:trHeight w:val="53"/>
          <w:jc w:val="center"/>
        </w:trPr>
        <w:tc>
          <w:tcPr>
            <w:tcW w:w="4957" w:type="dxa"/>
            <w:tcBorders>
              <w:top w:val="nil"/>
              <w:left w:val="single" w:sz="4" w:space="0" w:color="auto"/>
              <w:bottom w:val="single" w:sz="4" w:space="0" w:color="auto"/>
              <w:right w:val="single" w:sz="4" w:space="0" w:color="auto"/>
            </w:tcBorders>
            <w:noWrap/>
            <w:vAlign w:val="bottom"/>
            <w:hideMark/>
          </w:tcPr>
          <w:p w14:paraId="54CF27D4"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IIN</w:t>
            </w:r>
          </w:p>
        </w:tc>
        <w:tc>
          <w:tcPr>
            <w:tcW w:w="754" w:type="dxa"/>
            <w:vMerge/>
            <w:tcBorders>
              <w:left w:val="single" w:sz="4" w:space="0" w:color="auto"/>
              <w:right w:val="single" w:sz="4" w:space="0" w:color="auto"/>
            </w:tcBorders>
            <w:vAlign w:val="center"/>
            <w:hideMark/>
          </w:tcPr>
          <w:p w14:paraId="2A37DF36" w14:textId="77777777" w:rsidR="00304FCE" w:rsidRPr="00304FCE" w:rsidRDefault="00304FCE" w:rsidP="00304FCE">
            <w:pPr>
              <w:spacing w:after="0" w:line="276" w:lineRule="auto"/>
              <w:rPr>
                <w:rFonts w:ascii="Times New Roman" w:eastAsia="Times New Roman" w:hAnsi="Times New Roman" w:cs="Times New Roman"/>
                <w:color w:val="000000"/>
                <w:kern w:val="0"/>
                <w:sz w:val="16"/>
                <w:szCs w:val="16"/>
                <w14:ligatures w14:val="none"/>
              </w:rPr>
            </w:pPr>
          </w:p>
        </w:tc>
        <w:tc>
          <w:tcPr>
            <w:tcW w:w="851" w:type="dxa"/>
            <w:tcBorders>
              <w:top w:val="nil"/>
              <w:left w:val="nil"/>
              <w:bottom w:val="single" w:sz="4" w:space="0" w:color="auto"/>
              <w:right w:val="single" w:sz="4" w:space="0" w:color="auto"/>
            </w:tcBorders>
            <w:noWrap/>
            <w:vAlign w:val="center"/>
            <w:hideMark/>
          </w:tcPr>
          <w:p w14:paraId="3C7AE360"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132,0</w:t>
            </w:r>
          </w:p>
        </w:tc>
        <w:tc>
          <w:tcPr>
            <w:tcW w:w="850" w:type="dxa"/>
            <w:tcBorders>
              <w:top w:val="nil"/>
              <w:left w:val="nil"/>
              <w:bottom w:val="single" w:sz="4" w:space="0" w:color="auto"/>
              <w:right w:val="single" w:sz="4" w:space="0" w:color="auto"/>
            </w:tcBorders>
            <w:noWrap/>
            <w:vAlign w:val="center"/>
            <w:hideMark/>
          </w:tcPr>
          <w:p w14:paraId="51719BA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145,0</w:t>
            </w:r>
          </w:p>
        </w:tc>
        <w:tc>
          <w:tcPr>
            <w:tcW w:w="1276" w:type="dxa"/>
            <w:tcBorders>
              <w:top w:val="nil"/>
              <w:left w:val="nil"/>
              <w:bottom w:val="single" w:sz="4" w:space="0" w:color="auto"/>
              <w:right w:val="single" w:sz="4" w:space="0" w:color="auto"/>
            </w:tcBorders>
            <w:noWrap/>
            <w:vAlign w:val="center"/>
            <w:hideMark/>
          </w:tcPr>
          <w:p w14:paraId="0E6D8EA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13,0</w:t>
            </w:r>
          </w:p>
        </w:tc>
        <w:tc>
          <w:tcPr>
            <w:tcW w:w="663" w:type="dxa"/>
            <w:tcBorders>
              <w:top w:val="nil"/>
              <w:left w:val="nil"/>
              <w:bottom w:val="single" w:sz="4" w:space="0" w:color="auto"/>
              <w:right w:val="single" w:sz="4" w:space="0" w:color="auto"/>
            </w:tcBorders>
            <w:noWrap/>
            <w:vAlign w:val="center"/>
            <w:hideMark/>
          </w:tcPr>
          <w:p w14:paraId="1C06FBA8"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9,8</w:t>
            </w:r>
          </w:p>
        </w:tc>
      </w:tr>
      <w:tr w:rsidR="00304FCE" w:rsidRPr="00304FCE" w14:paraId="10221AED" w14:textId="77777777" w:rsidTr="001F20D9">
        <w:trPr>
          <w:trHeight w:val="53"/>
          <w:jc w:val="center"/>
        </w:trPr>
        <w:tc>
          <w:tcPr>
            <w:tcW w:w="4957" w:type="dxa"/>
            <w:tcBorders>
              <w:top w:val="nil"/>
              <w:left w:val="single" w:sz="4" w:space="0" w:color="auto"/>
              <w:bottom w:val="single" w:sz="4" w:space="0" w:color="auto"/>
              <w:right w:val="single" w:sz="4" w:space="0" w:color="auto"/>
            </w:tcBorders>
            <w:noWrap/>
            <w:vAlign w:val="bottom"/>
            <w:hideMark/>
          </w:tcPr>
          <w:p w14:paraId="08289AA8"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Pārējie ieņēmumi</w:t>
            </w:r>
          </w:p>
        </w:tc>
        <w:tc>
          <w:tcPr>
            <w:tcW w:w="754" w:type="dxa"/>
            <w:vMerge/>
            <w:tcBorders>
              <w:left w:val="single" w:sz="4" w:space="0" w:color="auto"/>
              <w:bottom w:val="single" w:sz="4" w:space="0" w:color="000000"/>
              <w:right w:val="single" w:sz="4" w:space="0" w:color="auto"/>
            </w:tcBorders>
            <w:vAlign w:val="center"/>
            <w:hideMark/>
          </w:tcPr>
          <w:p w14:paraId="18C1D475" w14:textId="77777777" w:rsidR="00304FCE" w:rsidRPr="00304FCE" w:rsidRDefault="00304FCE" w:rsidP="00304FCE">
            <w:pPr>
              <w:spacing w:after="0" w:line="276" w:lineRule="auto"/>
              <w:rPr>
                <w:rFonts w:ascii="Times New Roman" w:eastAsia="Times New Roman" w:hAnsi="Times New Roman" w:cs="Times New Roman"/>
                <w:color w:val="000000"/>
                <w:kern w:val="0"/>
                <w:sz w:val="16"/>
                <w:szCs w:val="16"/>
                <w14:ligatures w14:val="none"/>
              </w:rPr>
            </w:pPr>
          </w:p>
        </w:tc>
        <w:tc>
          <w:tcPr>
            <w:tcW w:w="851" w:type="dxa"/>
            <w:tcBorders>
              <w:top w:val="nil"/>
              <w:left w:val="nil"/>
              <w:bottom w:val="single" w:sz="4" w:space="0" w:color="auto"/>
              <w:right w:val="single" w:sz="4" w:space="0" w:color="auto"/>
            </w:tcBorders>
            <w:noWrap/>
            <w:vAlign w:val="center"/>
            <w:hideMark/>
          </w:tcPr>
          <w:p w14:paraId="5F00538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-129,3</w:t>
            </w:r>
          </w:p>
        </w:tc>
        <w:tc>
          <w:tcPr>
            <w:tcW w:w="850" w:type="dxa"/>
            <w:tcBorders>
              <w:top w:val="nil"/>
              <w:left w:val="nil"/>
              <w:bottom w:val="single" w:sz="4" w:space="0" w:color="auto"/>
              <w:right w:val="single" w:sz="4" w:space="0" w:color="auto"/>
            </w:tcBorders>
            <w:noWrap/>
            <w:vAlign w:val="center"/>
            <w:hideMark/>
          </w:tcPr>
          <w:p w14:paraId="2A91901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-107,3</w:t>
            </w:r>
          </w:p>
        </w:tc>
        <w:tc>
          <w:tcPr>
            <w:tcW w:w="1276" w:type="dxa"/>
            <w:tcBorders>
              <w:top w:val="nil"/>
              <w:left w:val="nil"/>
              <w:bottom w:val="single" w:sz="4" w:space="0" w:color="auto"/>
              <w:right w:val="single" w:sz="4" w:space="0" w:color="auto"/>
            </w:tcBorders>
            <w:noWrap/>
            <w:vAlign w:val="center"/>
          </w:tcPr>
          <w:p w14:paraId="2D520D6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p>
        </w:tc>
        <w:tc>
          <w:tcPr>
            <w:tcW w:w="663" w:type="dxa"/>
            <w:tcBorders>
              <w:top w:val="nil"/>
              <w:left w:val="nil"/>
              <w:bottom w:val="single" w:sz="4" w:space="0" w:color="auto"/>
              <w:right w:val="single" w:sz="4" w:space="0" w:color="auto"/>
            </w:tcBorders>
            <w:noWrap/>
            <w:vAlign w:val="center"/>
          </w:tcPr>
          <w:p w14:paraId="3FD9586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p>
        </w:tc>
      </w:tr>
    </w:tbl>
    <w:p w14:paraId="076FBAF6" w14:textId="77777777" w:rsidR="00304FCE" w:rsidRPr="00304FCE" w:rsidRDefault="00304FCE" w:rsidP="00304FCE">
      <w:pPr>
        <w:spacing w:after="0" w:line="240" w:lineRule="auto"/>
        <w:jc w:val="both"/>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 Ņemot vērā no 2021. gada 1. janvāra vērienīgās izmaiņas gan maksājumu veikšanā (tika ieviests vienotais konts), gan to uzskaitē (tika ieviests maksājumu uzkrājuma uzskaites princips), 2021. gada laikā informācijas sistēmas tika pielāgotas jaunajai kārtībai un tas uzskatāms par pārejas periodu, tāpēc 2021. gada ieņēmumu dati tiek sniegti tikai kopsummā.</w:t>
      </w:r>
    </w:p>
    <w:p w14:paraId="64642012" w14:textId="77777777" w:rsidR="00304FCE" w:rsidRPr="00304FCE" w:rsidRDefault="00304FCE" w:rsidP="00304FCE">
      <w:pPr>
        <w:tabs>
          <w:tab w:val="left" w:pos="1134"/>
        </w:tabs>
        <w:spacing w:after="0" w:line="240" w:lineRule="auto"/>
        <w:ind w:firstLine="709"/>
        <w:jc w:val="both"/>
        <w:rPr>
          <w:rFonts w:ascii="Times New Roman" w:eastAsia="Times New Roman" w:hAnsi="Times New Roman" w:cs="Times New Roman"/>
          <w:color w:val="000000"/>
          <w:kern w:val="0"/>
          <w:sz w:val="16"/>
          <w:szCs w:val="16"/>
          <w14:ligatures w14:val="none"/>
        </w:rPr>
      </w:pPr>
    </w:p>
    <w:p w14:paraId="702F2EEC" w14:textId="77777777" w:rsidR="00304FCE" w:rsidRPr="00304FCE" w:rsidRDefault="00304FCE" w:rsidP="00304FCE">
      <w:pPr>
        <w:tabs>
          <w:tab w:val="left" w:pos="1134"/>
        </w:tabs>
        <w:spacing w:after="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2023. gadā VID administrētos kopbudžeta ieņēmumus nodrošināja par 6,4 % vairāk būvniecības nozares nodokļu maksātāju nekā 2022. gadā un par 12,6 % palielinājusies arī ieņēmumu summa no viena būvniecības nozares nodokļa maksātāja. </w:t>
      </w:r>
    </w:p>
    <w:p w14:paraId="5D281283" w14:textId="77777777" w:rsidR="00304FCE" w:rsidRPr="00304FCE" w:rsidRDefault="00304FCE" w:rsidP="00304FCE">
      <w:pPr>
        <w:tabs>
          <w:tab w:val="left" w:pos="1134"/>
        </w:tabs>
        <w:spacing w:after="12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Darbaspēka nodokļu ieņēmumi 2023. gadā no būvniecības nozares nodokļu maksātājiem </w:t>
      </w:r>
      <w:r w:rsidRPr="00304FCE">
        <w:rPr>
          <w:rFonts w:ascii="Times New Roman" w:eastAsia="Times New Roman" w:hAnsi="Times New Roman" w:cs="Times New Roman"/>
          <w:b/>
          <w:bCs/>
          <w:color w:val="000000"/>
          <w:kern w:val="0"/>
          <w:sz w:val="24"/>
          <w:szCs w:val="24"/>
          <w14:ligatures w14:val="none"/>
        </w:rPr>
        <w:t xml:space="preserve">ir 430,5 milj. EUR, </w:t>
      </w:r>
      <w:r w:rsidRPr="00304FCE">
        <w:rPr>
          <w:rFonts w:ascii="Times New Roman" w:eastAsia="Times New Roman" w:hAnsi="Times New Roman" w:cs="Times New Roman"/>
          <w:color w:val="000000"/>
          <w:kern w:val="0"/>
          <w:sz w:val="24"/>
          <w:szCs w:val="24"/>
          <w14:ligatures w14:val="none"/>
        </w:rPr>
        <w:t>kas ir</w:t>
      </w:r>
      <w:r w:rsidRPr="00304FCE">
        <w:rPr>
          <w:rFonts w:ascii="Times New Roman" w:eastAsia="Times New Roman" w:hAnsi="Times New Roman" w:cs="Times New Roman"/>
          <w:b/>
          <w:bCs/>
          <w:color w:val="000000"/>
          <w:kern w:val="0"/>
          <w:sz w:val="24"/>
          <w:szCs w:val="24"/>
          <w14:ligatures w14:val="none"/>
        </w:rPr>
        <w:t xml:space="preserve"> par 7,9 % vairāk </w:t>
      </w:r>
      <w:r w:rsidRPr="00304FCE">
        <w:rPr>
          <w:rFonts w:ascii="Times New Roman" w:eastAsia="Times New Roman" w:hAnsi="Times New Roman" w:cs="Times New Roman"/>
          <w:color w:val="000000"/>
          <w:kern w:val="0"/>
          <w:sz w:val="24"/>
          <w:szCs w:val="24"/>
          <w14:ligatures w14:val="none"/>
        </w:rPr>
        <w:t xml:space="preserve">nekā 2022. gadā. Būvniecības nozares nodokļu maksātāju nodrošinātie </w:t>
      </w:r>
      <w:r w:rsidRPr="00304FCE">
        <w:rPr>
          <w:rFonts w:ascii="Times New Roman" w:eastAsia="Times New Roman" w:hAnsi="Times New Roman" w:cs="Times New Roman"/>
          <w:b/>
          <w:bCs/>
          <w:color w:val="000000"/>
          <w:kern w:val="0"/>
          <w:sz w:val="24"/>
          <w:szCs w:val="24"/>
          <w14:ligatures w14:val="none"/>
        </w:rPr>
        <w:t>darbaspēka nodokļu ieņēmumi ir 5,9 %</w:t>
      </w:r>
      <w:r w:rsidRPr="00304FCE">
        <w:rPr>
          <w:rFonts w:ascii="Times New Roman" w:eastAsia="Times New Roman" w:hAnsi="Times New Roman" w:cs="Times New Roman"/>
          <w:color w:val="000000"/>
          <w:kern w:val="0"/>
          <w:sz w:val="24"/>
          <w:szCs w:val="24"/>
          <w14:ligatures w14:val="none"/>
        </w:rPr>
        <w:t xml:space="preserve"> no kopējiem darbaspēka nodokļa ieņēmumiem 2023.gadā (7 324,8 milj. EUR).</w:t>
      </w:r>
    </w:p>
    <w:p w14:paraId="655B1251" w14:textId="77777777" w:rsidR="00304FCE" w:rsidRPr="00304FCE" w:rsidRDefault="00304FCE" w:rsidP="00304FCE">
      <w:pPr>
        <w:tabs>
          <w:tab w:val="left" w:pos="1134"/>
        </w:tabs>
        <w:spacing w:after="0" w:line="240" w:lineRule="auto"/>
        <w:jc w:val="both"/>
        <w:rPr>
          <w:rFonts w:ascii="Times New Roman" w:eastAsia="Times New Roman" w:hAnsi="Times New Roman" w:cs="Times New Roman"/>
          <w:i/>
          <w:iCs/>
          <w:color w:val="000000"/>
          <w:kern w:val="0"/>
          <w14:ligatures w14:val="none"/>
        </w:rPr>
      </w:pPr>
      <w:r w:rsidRPr="00304FCE">
        <w:rPr>
          <w:rFonts w:ascii="Times New Roman" w:eastAsia="Times New Roman" w:hAnsi="Times New Roman" w:cs="Times New Roman"/>
          <w:i/>
          <w:iCs/>
          <w:color w:val="000000"/>
          <w:kern w:val="0"/>
          <w14:ligatures w14:val="none"/>
        </w:rPr>
        <w:t>4. tabula. Būvniecības nozares nodokļu maksātāju nodrošinātie VID administrētie kopbudžeta ieņēmumi sadalījumā pa apakšnozarēm, milj. EUR</w:t>
      </w:r>
    </w:p>
    <w:tbl>
      <w:tblPr>
        <w:tblW w:w="9351" w:type="dxa"/>
        <w:jc w:val="center"/>
        <w:tblLayout w:type="fixed"/>
        <w:tblLook w:val="04A0" w:firstRow="1" w:lastRow="0" w:firstColumn="1" w:lastColumn="0" w:noHBand="0" w:noVBand="1"/>
      </w:tblPr>
      <w:tblGrid>
        <w:gridCol w:w="1271"/>
        <w:gridCol w:w="2552"/>
        <w:gridCol w:w="1842"/>
        <w:gridCol w:w="1790"/>
        <w:gridCol w:w="1896"/>
      </w:tblGrid>
      <w:tr w:rsidR="00304FCE" w:rsidRPr="00304FCE" w14:paraId="27A692D8" w14:textId="77777777" w:rsidTr="00304FCE">
        <w:trPr>
          <w:trHeight w:val="53"/>
          <w:tblHeader/>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1DA8863"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Periods*</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7AF2B6F"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VID administrētie kopbudžeta ieņēmumi kopā</w:t>
            </w:r>
          </w:p>
        </w:tc>
        <w:tc>
          <w:tcPr>
            <w:tcW w:w="5528" w:type="dxa"/>
            <w:gridSpan w:val="3"/>
            <w:tcBorders>
              <w:top w:val="single" w:sz="4" w:space="0" w:color="auto"/>
              <w:left w:val="nil"/>
              <w:bottom w:val="single" w:sz="4" w:space="0" w:color="auto"/>
              <w:right w:val="single" w:sz="4" w:space="0" w:color="auto"/>
            </w:tcBorders>
            <w:shd w:val="clear" w:color="auto" w:fill="BFBFBF"/>
            <w:noWrap/>
            <w:vAlign w:val="bottom"/>
            <w:hideMark/>
          </w:tcPr>
          <w:p w14:paraId="462229B3"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tai skaitā:</w:t>
            </w:r>
          </w:p>
        </w:tc>
      </w:tr>
      <w:tr w:rsidR="00304FCE" w:rsidRPr="00304FCE" w14:paraId="51FF68EF" w14:textId="77777777" w:rsidTr="00304FCE">
        <w:trPr>
          <w:trHeight w:val="90"/>
          <w:tblHeader/>
          <w:jc w:val="center"/>
        </w:trPr>
        <w:tc>
          <w:tcPr>
            <w:tcW w:w="1271"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3C5C21A4" w14:textId="77777777" w:rsidR="00304FCE" w:rsidRPr="00304FCE" w:rsidRDefault="00304FCE" w:rsidP="00304FCE">
            <w:pPr>
              <w:spacing w:after="0" w:line="276" w:lineRule="auto"/>
              <w:rPr>
                <w:rFonts w:ascii="Times New Roman" w:eastAsia="Times New Roman" w:hAnsi="Times New Roman" w:cs="Times New Roman"/>
                <w:color w:val="000000"/>
                <w:kern w:val="0"/>
                <w:sz w:val="16"/>
                <w:szCs w:val="16"/>
                <w14:ligatures w14:val="none"/>
              </w:rPr>
            </w:pPr>
          </w:p>
        </w:tc>
        <w:tc>
          <w:tcPr>
            <w:tcW w:w="2552"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35835AC2" w14:textId="77777777" w:rsidR="00304FCE" w:rsidRPr="00304FCE" w:rsidRDefault="00304FCE" w:rsidP="00304FCE">
            <w:pPr>
              <w:spacing w:after="0" w:line="276" w:lineRule="auto"/>
              <w:rPr>
                <w:rFonts w:ascii="Times New Roman" w:eastAsia="Times New Roman" w:hAnsi="Times New Roman" w:cs="Times New Roman"/>
                <w:color w:val="000000"/>
                <w:kern w:val="0"/>
                <w:sz w:val="16"/>
                <w:szCs w:val="16"/>
                <w14:ligatures w14:val="none"/>
              </w:rPr>
            </w:pPr>
          </w:p>
        </w:tc>
        <w:tc>
          <w:tcPr>
            <w:tcW w:w="1842" w:type="dxa"/>
            <w:tcBorders>
              <w:top w:val="nil"/>
              <w:left w:val="nil"/>
              <w:bottom w:val="single" w:sz="4" w:space="0" w:color="auto"/>
              <w:right w:val="single" w:sz="4" w:space="0" w:color="auto"/>
            </w:tcBorders>
            <w:shd w:val="clear" w:color="auto" w:fill="BFBFBF"/>
            <w:vAlign w:val="center"/>
            <w:hideMark/>
          </w:tcPr>
          <w:p w14:paraId="0B3D9793"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 xml:space="preserve">VSAOI </w:t>
            </w:r>
          </w:p>
        </w:tc>
        <w:tc>
          <w:tcPr>
            <w:tcW w:w="1790" w:type="dxa"/>
            <w:tcBorders>
              <w:top w:val="nil"/>
              <w:left w:val="nil"/>
              <w:bottom w:val="single" w:sz="4" w:space="0" w:color="auto"/>
              <w:right w:val="single" w:sz="4" w:space="0" w:color="auto"/>
            </w:tcBorders>
            <w:shd w:val="clear" w:color="auto" w:fill="BFBFBF"/>
            <w:vAlign w:val="center"/>
          </w:tcPr>
          <w:p w14:paraId="54ECA6BC"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IIN</w:t>
            </w:r>
          </w:p>
        </w:tc>
        <w:tc>
          <w:tcPr>
            <w:tcW w:w="1896" w:type="dxa"/>
            <w:tcBorders>
              <w:top w:val="nil"/>
              <w:left w:val="nil"/>
              <w:bottom w:val="single" w:sz="4" w:space="0" w:color="auto"/>
              <w:right w:val="single" w:sz="4" w:space="0" w:color="auto"/>
            </w:tcBorders>
            <w:shd w:val="clear" w:color="auto" w:fill="BFBFBF"/>
            <w:vAlign w:val="center"/>
            <w:hideMark/>
          </w:tcPr>
          <w:p w14:paraId="15C56D51"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Pārējie ieņēmumi</w:t>
            </w:r>
          </w:p>
        </w:tc>
      </w:tr>
      <w:tr w:rsidR="00304FCE" w:rsidRPr="00304FCE" w14:paraId="3DC57C6A" w14:textId="77777777" w:rsidTr="001F20D9">
        <w:trPr>
          <w:trHeight w:val="53"/>
          <w:jc w:val="center"/>
        </w:trPr>
        <w:tc>
          <w:tcPr>
            <w:tcW w:w="9351" w:type="dxa"/>
            <w:gridSpan w:val="5"/>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4E696E9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Ēku būvniecība (NACE 2.red. kods 41)</w:t>
            </w:r>
          </w:p>
        </w:tc>
      </w:tr>
      <w:tr w:rsidR="00304FCE" w:rsidRPr="00304FCE" w14:paraId="3929D771"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5C42C041"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2021.gads</w:t>
            </w:r>
          </w:p>
        </w:tc>
        <w:tc>
          <w:tcPr>
            <w:tcW w:w="2552" w:type="dxa"/>
            <w:tcBorders>
              <w:top w:val="nil"/>
              <w:left w:val="nil"/>
              <w:bottom w:val="single" w:sz="4" w:space="0" w:color="auto"/>
              <w:right w:val="single" w:sz="4" w:space="0" w:color="auto"/>
            </w:tcBorders>
            <w:noWrap/>
            <w:vAlign w:val="center"/>
            <w:hideMark/>
          </w:tcPr>
          <w:p w14:paraId="07D65DF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80,3</w:t>
            </w:r>
          </w:p>
        </w:tc>
        <w:tc>
          <w:tcPr>
            <w:tcW w:w="5528" w:type="dxa"/>
            <w:gridSpan w:val="3"/>
            <w:tcBorders>
              <w:top w:val="single" w:sz="4" w:space="0" w:color="auto"/>
              <w:left w:val="nil"/>
              <w:bottom w:val="single" w:sz="4" w:space="0" w:color="auto"/>
              <w:right w:val="single" w:sz="4" w:space="0" w:color="000000"/>
            </w:tcBorders>
            <w:noWrap/>
            <w:vAlign w:val="center"/>
            <w:hideMark/>
          </w:tcPr>
          <w:p w14:paraId="45DFE390"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w:t>
            </w:r>
          </w:p>
        </w:tc>
      </w:tr>
      <w:tr w:rsidR="00304FCE" w:rsidRPr="00304FCE" w14:paraId="7087BCC9" w14:textId="77777777" w:rsidTr="001F20D9">
        <w:trPr>
          <w:trHeight w:val="76"/>
          <w:jc w:val="center"/>
        </w:trPr>
        <w:tc>
          <w:tcPr>
            <w:tcW w:w="1271" w:type="dxa"/>
            <w:tcBorders>
              <w:top w:val="nil"/>
              <w:left w:val="single" w:sz="4" w:space="0" w:color="auto"/>
              <w:bottom w:val="single" w:sz="4" w:space="0" w:color="auto"/>
              <w:right w:val="single" w:sz="4" w:space="0" w:color="auto"/>
            </w:tcBorders>
            <w:vAlign w:val="center"/>
            <w:hideMark/>
          </w:tcPr>
          <w:p w14:paraId="153AD282"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2022.gads</w:t>
            </w:r>
          </w:p>
        </w:tc>
        <w:tc>
          <w:tcPr>
            <w:tcW w:w="2552" w:type="dxa"/>
            <w:tcBorders>
              <w:top w:val="nil"/>
              <w:left w:val="nil"/>
              <w:bottom w:val="single" w:sz="4" w:space="0" w:color="auto"/>
              <w:right w:val="single" w:sz="4" w:space="0" w:color="auto"/>
            </w:tcBorders>
            <w:noWrap/>
            <w:vAlign w:val="center"/>
            <w:hideMark/>
          </w:tcPr>
          <w:p w14:paraId="0CAA918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89,2</w:t>
            </w:r>
          </w:p>
        </w:tc>
        <w:tc>
          <w:tcPr>
            <w:tcW w:w="1842" w:type="dxa"/>
            <w:tcBorders>
              <w:top w:val="nil"/>
              <w:left w:val="nil"/>
              <w:bottom w:val="single" w:sz="4" w:space="0" w:color="auto"/>
              <w:right w:val="single" w:sz="4" w:space="0" w:color="auto"/>
            </w:tcBorders>
            <w:noWrap/>
            <w:vAlign w:val="center"/>
            <w:hideMark/>
          </w:tcPr>
          <w:p w14:paraId="069CD84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97,4</w:t>
            </w:r>
          </w:p>
        </w:tc>
        <w:tc>
          <w:tcPr>
            <w:tcW w:w="1790" w:type="dxa"/>
            <w:tcBorders>
              <w:top w:val="nil"/>
              <w:left w:val="nil"/>
              <w:bottom w:val="single" w:sz="4" w:space="0" w:color="auto"/>
              <w:right w:val="single" w:sz="4" w:space="0" w:color="auto"/>
            </w:tcBorders>
            <w:noWrap/>
            <w:vAlign w:val="center"/>
          </w:tcPr>
          <w:p w14:paraId="4A21200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47,2</w:t>
            </w:r>
          </w:p>
        </w:tc>
        <w:tc>
          <w:tcPr>
            <w:tcW w:w="1896" w:type="dxa"/>
            <w:tcBorders>
              <w:top w:val="nil"/>
              <w:left w:val="nil"/>
              <w:bottom w:val="single" w:sz="4" w:space="0" w:color="auto"/>
              <w:right w:val="single" w:sz="4" w:space="0" w:color="auto"/>
            </w:tcBorders>
            <w:noWrap/>
            <w:vAlign w:val="center"/>
            <w:hideMark/>
          </w:tcPr>
          <w:p w14:paraId="73D5EA3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-55,4</w:t>
            </w:r>
          </w:p>
        </w:tc>
      </w:tr>
      <w:tr w:rsidR="00304FCE" w:rsidRPr="00304FCE" w14:paraId="7CD31AE0"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226265D4"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2023.gads</w:t>
            </w:r>
          </w:p>
        </w:tc>
        <w:tc>
          <w:tcPr>
            <w:tcW w:w="2552" w:type="dxa"/>
            <w:tcBorders>
              <w:top w:val="nil"/>
              <w:left w:val="nil"/>
              <w:bottom w:val="single" w:sz="4" w:space="0" w:color="auto"/>
              <w:right w:val="single" w:sz="4" w:space="0" w:color="auto"/>
            </w:tcBorders>
            <w:noWrap/>
            <w:vAlign w:val="center"/>
            <w:hideMark/>
          </w:tcPr>
          <w:p w14:paraId="33E944C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103,9</w:t>
            </w:r>
          </w:p>
        </w:tc>
        <w:tc>
          <w:tcPr>
            <w:tcW w:w="1842" w:type="dxa"/>
            <w:tcBorders>
              <w:top w:val="nil"/>
              <w:left w:val="nil"/>
              <w:bottom w:val="single" w:sz="4" w:space="0" w:color="auto"/>
              <w:right w:val="single" w:sz="4" w:space="0" w:color="auto"/>
            </w:tcBorders>
            <w:noWrap/>
            <w:vAlign w:val="center"/>
            <w:hideMark/>
          </w:tcPr>
          <w:p w14:paraId="16FFE960"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103,9</w:t>
            </w:r>
          </w:p>
        </w:tc>
        <w:tc>
          <w:tcPr>
            <w:tcW w:w="1790" w:type="dxa"/>
            <w:tcBorders>
              <w:top w:val="nil"/>
              <w:left w:val="nil"/>
              <w:bottom w:val="single" w:sz="4" w:space="0" w:color="auto"/>
              <w:right w:val="single" w:sz="4" w:space="0" w:color="auto"/>
            </w:tcBorders>
            <w:noWrap/>
            <w:vAlign w:val="center"/>
          </w:tcPr>
          <w:p w14:paraId="72A8B70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52,3</w:t>
            </w:r>
          </w:p>
        </w:tc>
        <w:tc>
          <w:tcPr>
            <w:tcW w:w="1896" w:type="dxa"/>
            <w:tcBorders>
              <w:top w:val="nil"/>
              <w:left w:val="nil"/>
              <w:bottom w:val="single" w:sz="4" w:space="0" w:color="auto"/>
              <w:right w:val="single" w:sz="4" w:space="0" w:color="auto"/>
            </w:tcBorders>
            <w:noWrap/>
            <w:vAlign w:val="center"/>
            <w:hideMark/>
          </w:tcPr>
          <w:p w14:paraId="4D8184D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-52,2</w:t>
            </w:r>
          </w:p>
        </w:tc>
      </w:tr>
      <w:tr w:rsidR="00304FCE" w:rsidRPr="00304FCE" w14:paraId="2745ADED" w14:textId="77777777" w:rsidTr="001F20D9">
        <w:trPr>
          <w:trHeight w:val="53"/>
          <w:jc w:val="center"/>
        </w:trPr>
        <w:tc>
          <w:tcPr>
            <w:tcW w:w="9351"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9BB0899"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Inženierbūvniecība (NACE 2.red. kods 42)</w:t>
            </w:r>
          </w:p>
        </w:tc>
      </w:tr>
      <w:tr w:rsidR="00304FCE" w:rsidRPr="00304FCE" w14:paraId="78BC267D"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372E167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2021.gads</w:t>
            </w:r>
          </w:p>
        </w:tc>
        <w:tc>
          <w:tcPr>
            <w:tcW w:w="2552" w:type="dxa"/>
            <w:tcBorders>
              <w:top w:val="nil"/>
              <w:left w:val="nil"/>
              <w:bottom w:val="single" w:sz="4" w:space="0" w:color="auto"/>
              <w:right w:val="single" w:sz="4" w:space="0" w:color="auto"/>
            </w:tcBorders>
            <w:noWrap/>
            <w:vAlign w:val="center"/>
            <w:hideMark/>
          </w:tcPr>
          <w:p w14:paraId="7E21BED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65,9</w:t>
            </w:r>
          </w:p>
        </w:tc>
        <w:tc>
          <w:tcPr>
            <w:tcW w:w="5528" w:type="dxa"/>
            <w:gridSpan w:val="3"/>
            <w:tcBorders>
              <w:top w:val="single" w:sz="4" w:space="0" w:color="auto"/>
              <w:left w:val="nil"/>
              <w:bottom w:val="single" w:sz="4" w:space="0" w:color="auto"/>
              <w:right w:val="single" w:sz="4" w:space="0" w:color="auto"/>
            </w:tcBorders>
            <w:noWrap/>
            <w:vAlign w:val="center"/>
            <w:hideMark/>
          </w:tcPr>
          <w:p w14:paraId="6FA3C4A7"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w:t>
            </w:r>
          </w:p>
        </w:tc>
      </w:tr>
      <w:tr w:rsidR="00304FCE" w:rsidRPr="00304FCE" w14:paraId="38DFE849"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651D71EF"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2022.gads</w:t>
            </w:r>
          </w:p>
        </w:tc>
        <w:tc>
          <w:tcPr>
            <w:tcW w:w="2552" w:type="dxa"/>
            <w:tcBorders>
              <w:top w:val="nil"/>
              <w:left w:val="nil"/>
              <w:bottom w:val="single" w:sz="4" w:space="0" w:color="auto"/>
              <w:right w:val="single" w:sz="4" w:space="0" w:color="auto"/>
            </w:tcBorders>
            <w:noWrap/>
            <w:vAlign w:val="center"/>
            <w:hideMark/>
          </w:tcPr>
          <w:p w14:paraId="35A8C6A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72,6</w:t>
            </w:r>
          </w:p>
        </w:tc>
        <w:tc>
          <w:tcPr>
            <w:tcW w:w="1842" w:type="dxa"/>
            <w:tcBorders>
              <w:top w:val="nil"/>
              <w:left w:val="nil"/>
              <w:bottom w:val="single" w:sz="4" w:space="0" w:color="auto"/>
              <w:right w:val="single" w:sz="4" w:space="0" w:color="auto"/>
            </w:tcBorders>
            <w:noWrap/>
            <w:vAlign w:val="center"/>
            <w:hideMark/>
          </w:tcPr>
          <w:p w14:paraId="26D9AC9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90,3</w:t>
            </w:r>
          </w:p>
        </w:tc>
        <w:tc>
          <w:tcPr>
            <w:tcW w:w="1790" w:type="dxa"/>
            <w:tcBorders>
              <w:top w:val="nil"/>
              <w:left w:val="nil"/>
              <w:bottom w:val="single" w:sz="4" w:space="0" w:color="auto"/>
              <w:right w:val="single" w:sz="4" w:space="0" w:color="auto"/>
            </w:tcBorders>
            <w:noWrap/>
            <w:vAlign w:val="center"/>
          </w:tcPr>
          <w:p w14:paraId="07BDFD7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45,2</w:t>
            </w:r>
          </w:p>
        </w:tc>
        <w:tc>
          <w:tcPr>
            <w:tcW w:w="1896" w:type="dxa"/>
            <w:tcBorders>
              <w:top w:val="nil"/>
              <w:left w:val="nil"/>
              <w:bottom w:val="single" w:sz="4" w:space="0" w:color="auto"/>
              <w:right w:val="single" w:sz="4" w:space="0" w:color="auto"/>
            </w:tcBorders>
            <w:noWrap/>
            <w:vAlign w:val="center"/>
            <w:hideMark/>
          </w:tcPr>
          <w:p w14:paraId="1EB24A7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-62,9</w:t>
            </w:r>
          </w:p>
        </w:tc>
      </w:tr>
      <w:tr w:rsidR="00304FCE" w:rsidRPr="00304FCE" w14:paraId="57730502"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00DF1AA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2023.gads</w:t>
            </w:r>
          </w:p>
        </w:tc>
        <w:tc>
          <w:tcPr>
            <w:tcW w:w="2552" w:type="dxa"/>
            <w:tcBorders>
              <w:top w:val="nil"/>
              <w:left w:val="nil"/>
              <w:bottom w:val="single" w:sz="4" w:space="0" w:color="auto"/>
              <w:right w:val="single" w:sz="4" w:space="0" w:color="auto"/>
            </w:tcBorders>
            <w:noWrap/>
            <w:vAlign w:val="center"/>
            <w:hideMark/>
          </w:tcPr>
          <w:p w14:paraId="0A0F36B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85,3</w:t>
            </w:r>
          </w:p>
        </w:tc>
        <w:tc>
          <w:tcPr>
            <w:tcW w:w="1842" w:type="dxa"/>
            <w:tcBorders>
              <w:top w:val="nil"/>
              <w:left w:val="nil"/>
              <w:bottom w:val="single" w:sz="4" w:space="0" w:color="auto"/>
              <w:right w:val="single" w:sz="4" w:space="0" w:color="auto"/>
            </w:tcBorders>
            <w:noWrap/>
            <w:vAlign w:val="center"/>
            <w:hideMark/>
          </w:tcPr>
          <w:p w14:paraId="04B3CCF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88,7</w:t>
            </w:r>
          </w:p>
        </w:tc>
        <w:tc>
          <w:tcPr>
            <w:tcW w:w="1790" w:type="dxa"/>
            <w:tcBorders>
              <w:top w:val="nil"/>
              <w:left w:val="nil"/>
              <w:bottom w:val="single" w:sz="4" w:space="0" w:color="auto"/>
              <w:right w:val="single" w:sz="4" w:space="0" w:color="auto"/>
            </w:tcBorders>
            <w:noWrap/>
            <w:vAlign w:val="center"/>
          </w:tcPr>
          <w:p w14:paraId="00CB496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47,7</w:t>
            </w:r>
          </w:p>
        </w:tc>
        <w:tc>
          <w:tcPr>
            <w:tcW w:w="1896" w:type="dxa"/>
            <w:tcBorders>
              <w:top w:val="nil"/>
              <w:left w:val="nil"/>
              <w:bottom w:val="single" w:sz="4" w:space="0" w:color="auto"/>
              <w:right w:val="single" w:sz="4" w:space="0" w:color="auto"/>
            </w:tcBorders>
            <w:noWrap/>
            <w:vAlign w:val="center"/>
            <w:hideMark/>
          </w:tcPr>
          <w:p w14:paraId="11CBEDE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-51,2</w:t>
            </w:r>
          </w:p>
        </w:tc>
      </w:tr>
      <w:tr w:rsidR="00304FCE" w:rsidRPr="00304FCE" w14:paraId="33DD6CB5" w14:textId="77777777" w:rsidTr="001F20D9">
        <w:trPr>
          <w:trHeight w:val="53"/>
          <w:jc w:val="center"/>
        </w:trPr>
        <w:tc>
          <w:tcPr>
            <w:tcW w:w="9351"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2940700"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Specializētie būvdarbi (NACE 2.red. kods 43)</w:t>
            </w:r>
          </w:p>
        </w:tc>
      </w:tr>
      <w:tr w:rsidR="00304FCE" w:rsidRPr="00304FCE" w14:paraId="71FE78F8"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50A03033"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2021.gads</w:t>
            </w:r>
          </w:p>
        </w:tc>
        <w:tc>
          <w:tcPr>
            <w:tcW w:w="2552" w:type="dxa"/>
            <w:tcBorders>
              <w:top w:val="nil"/>
              <w:left w:val="nil"/>
              <w:bottom w:val="single" w:sz="4" w:space="0" w:color="auto"/>
              <w:right w:val="single" w:sz="4" w:space="0" w:color="auto"/>
            </w:tcBorders>
            <w:noWrap/>
            <w:vAlign w:val="center"/>
            <w:hideMark/>
          </w:tcPr>
          <w:p w14:paraId="2C65E33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87,8</w:t>
            </w:r>
          </w:p>
        </w:tc>
        <w:tc>
          <w:tcPr>
            <w:tcW w:w="5528" w:type="dxa"/>
            <w:gridSpan w:val="3"/>
            <w:tcBorders>
              <w:top w:val="single" w:sz="4" w:space="0" w:color="auto"/>
              <w:left w:val="nil"/>
              <w:bottom w:val="single" w:sz="4" w:space="0" w:color="auto"/>
              <w:right w:val="single" w:sz="4" w:space="0" w:color="000000"/>
            </w:tcBorders>
            <w:noWrap/>
            <w:vAlign w:val="center"/>
            <w:hideMark/>
          </w:tcPr>
          <w:p w14:paraId="5BCA1117"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w:t>
            </w:r>
          </w:p>
        </w:tc>
      </w:tr>
      <w:tr w:rsidR="00304FCE" w:rsidRPr="00304FCE" w14:paraId="74821508" w14:textId="77777777" w:rsidTr="001F20D9">
        <w:trPr>
          <w:trHeight w:val="84"/>
          <w:jc w:val="center"/>
        </w:trPr>
        <w:tc>
          <w:tcPr>
            <w:tcW w:w="1271" w:type="dxa"/>
            <w:tcBorders>
              <w:top w:val="nil"/>
              <w:left w:val="single" w:sz="4" w:space="0" w:color="auto"/>
              <w:bottom w:val="single" w:sz="4" w:space="0" w:color="auto"/>
              <w:right w:val="single" w:sz="4" w:space="0" w:color="auto"/>
            </w:tcBorders>
            <w:vAlign w:val="center"/>
            <w:hideMark/>
          </w:tcPr>
          <w:p w14:paraId="4A73A539"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2022.gads</w:t>
            </w:r>
          </w:p>
        </w:tc>
        <w:tc>
          <w:tcPr>
            <w:tcW w:w="2552" w:type="dxa"/>
            <w:tcBorders>
              <w:top w:val="nil"/>
              <w:left w:val="nil"/>
              <w:bottom w:val="single" w:sz="4" w:space="0" w:color="auto"/>
              <w:right w:val="single" w:sz="4" w:space="0" w:color="auto"/>
            </w:tcBorders>
            <w:noWrap/>
            <w:vAlign w:val="center"/>
            <w:hideMark/>
          </w:tcPr>
          <w:p w14:paraId="5196618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108,1</w:t>
            </w:r>
          </w:p>
        </w:tc>
        <w:tc>
          <w:tcPr>
            <w:tcW w:w="1842" w:type="dxa"/>
            <w:tcBorders>
              <w:top w:val="nil"/>
              <w:left w:val="nil"/>
              <w:bottom w:val="single" w:sz="4" w:space="0" w:color="auto"/>
              <w:right w:val="single" w:sz="4" w:space="0" w:color="auto"/>
            </w:tcBorders>
            <w:noWrap/>
            <w:vAlign w:val="center"/>
            <w:hideMark/>
          </w:tcPr>
          <w:p w14:paraId="112898D8"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79,3</w:t>
            </w:r>
          </w:p>
        </w:tc>
        <w:tc>
          <w:tcPr>
            <w:tcW w:w="1790" w:type="dxa"/>
            <w:tcBorders>
              <w:top w:val="nil"/>
              <w:left w:val="nil"/>
              <w:bottom w:val="single" w:sz="4" w:space="0" w:color="auto"/>
              <w:right w:val="single" w:sz="4" w:space="0" w:color="auto"/>
            </w:tcBorders>
            <w:noWrap/>
            <w:vAlign w:val="center"/>
          </w:tcPr>
          <w:p w14:paraId="5D7C424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39,7</w:t>
            </w:r>
          </w:p>
        </w:tc>
        <w:tc>
          <w:tcPr>
            <w:tcW w:w="1896" w:type="dxa"/>
            <w:tcBorders>
              <w:top w:val="nil"/>
              <w:left w:val="nil"/>
              <w:bottom w:val="single" w:sz="4" w:space="0" w:color="auto"/>
              <w:right w:val="single" w:sz="4" w:space="0" w:color="auto"/>
            </w:tcBorders>
            <w:noWrap/>
            <w:vAlign w:val="center"/>
            <w:hideMark/>
          </w:tcPr>
          <w:p w14:paraId="030867C8"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-10,9</w:t>
            </w:r>
          </w:p>
        </w:tc>
      </w:tr>
      <w:tr w:rsidR="00304FCE" w:rsidRPr="00304FCE" w14:paraId="5F3B03E4" w14:textId="77777777" w:rsidTr="001F20D9">
        <w:trPr>
          <w:trHeight w:val="53"/>
          <w:jc w:val="center"/>
        </w:trPr>
        <w:tc>
          <w:tcPr>
            <w:tcW w:w="1271" w:type="dxa"/>
            <w:tcBorders>
              <w:top w:val="nil"/>
              <w:left w:val="single" w:sz="4" w:space="0" w:color="auto"/>
              <w:bottom w:val="single" w:sz="4" w:space="0" w:color="auto"/>
              <w:right w:val="single" w:sz="4" w:space="0" w:color="auto"/>
            </w:tcBorders>
            <w:vAlign w:val="center"/>
            <w:hideMark/>
          </w:tcPr>
          <w:p w14:paraId="3D6DC8A6"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2023.gads</w:t>
            </w:r>
          </w:p>
        </w:tc>
        <w:tc>
          <w:tcPr>
            <w:tcW w:w="2552" w:type="dxa"/>
            <w:tcBorders>
              <w:top w:val="nil"/>
              <w:left w:val="nil"/>
              <w:bottom w:val="single" w:sz="4" w:space="0" w:color="auto"/>
              <w:right w:val="single" w:sz="4" w:space="0" w:color="auto"/>
            </w:tcBorders>
            <w:noWrap/>
            <w:vAlign w:val="center"/>
            <w:hideMark/>
          </w:tcPr>
          <w:p w14:paraId="37B752B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134,0</w:t>
            </w:r>
          </w:p>
        </w:tc>
        <w:tc>
          <w:tcPr>
            <w:tcW w:w="1842" w:type="dxa"/>
            <w:tcBorders>
              <w:top w:val="nil"/>
              <w:left w:val="nil"/>
              <w:bottom w:val="single" w:sz="4" w:space="0" w:color="auto"/>
              <w:right w:val="single" w:sz="4" w:space="0" w:color="auto"/>
            </w:tcBorders>
            <w:noWrap/>
            <w:vAlign w:val="center"/>
            <w:hideMark/>
          </w:tcPr>
          <w:p w14:paraId="0EECD1C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92,9</w:t>
            </w:r>
          </w:p>
        </w:tc>
        <w:tc>
          <w:tcPr>
            <w:tcW w:w="1790" w:type="dxa"/>
            <w:tcBorders>
              <w:top w:val="nil"/>
              <w:left w:val="nil"/>
              <w:bottom w:val="single" w:sz="4" w:space="0" w:color="auto"/>
              <w:right w:val="single" w:sz="4" w:space="0" w:color="auto"/>
            </w:tcBorders>
            <w:noWrap/>
            <w:vAlign w:val="center"/>
          </w:tcPr>
          <w:p w14:paraId="2E37B77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45,1</w:t>
            </w:r>
          </w:p>
        </w:tc>
        <w:tc>
          <w:tcPr>
            <w:tcW w:w="1896" w:type="dxa"/>
            <w:tcBorders>
              <w:top w:val="nil"/>
              <w:left w:val="nil"/>
              <w:bottom w:val="single" w:sz="4" w:space="0" w:color="auto"/>
              <w:right w:val="single" w:sz="4" w:space="0" w:color="auto"/>
            </w:tcBorders>
            <w:noWrap/>
            <w:vAlign w:val="center"/>
            <w:hideMark/>
          </w:tcPr>
          <w:p w14:paraId="2A85848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-4,0</w:t>
            </w:r>
          </w:p>
        </w:tc>
      </w:tr>
    </w:tbl>
    <w:p w14:paraId="76112687" w14:textId="77777777" w:rsidR="00304FCE" w:rsidRPr="00304FCE" w:rsidRDefault="00304FCE" w:rsidP="00304FCE">
      <w:pPr>
        <w:spacing w:before="100" w:after="200" w:line="240" w:lineRule="auto"/>
        <w:jc w:val="both"/>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 Ņemot vērā no 2021. gada 1. janvāra vērienīgās izmaiņas gan maksājumu veikšanā (tika ieviests vienotais konts), gan to uzskaitē (tika ieviests maksājumu uzkrājuma uzskaites princips), 2021. gada laikā informācijas sistēmas tika pielāgotas jaunajai kārtībai un tas uzskatāms par pārejas periodu, tāpēc 2021. gada ieņēmumu dati tiek sniegti tikai kopsummā.</w:t>
      </w:r>
    </w:p>
    <w:p w14:paraId="0B000E0B" w14:textId="77777777" w:rsidR="00304FCE" w:rsidRPr="00304FCE" w:rsidRDefault="00304FCE" w:rsidP="00304FCE">
      <w:pPr>
        <w:tabs>
          <w:tab w:val="left" w:pos="1134"/>
        </w:tabs>
        <w:spacing w:after="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Lielāko VID administrēto kopbudžeta ieņēmumu daļu no nozares (41,5 %) 2023. gadā nodrošināja specializēto būvdarbu nodokļu maksātāji (4. tabula).</w:t>
      </w:r>
    </w:p>
    <w:p w14:paraId="1C277F5C" w14:textId="77777777" w:rsidR="00304FCE" w:rsidRPr="00304FCE" w:rsidRDefault="00304FCE" w:rsidP="00304FCE">
      <w:pPr>
        <w:spacing w:after="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No būvniecības nozares nodokļu maksātājiem VID administrētos kopbudžeta ieņēmumus galvenokārt nodrošina darbaspēka nodokļi, tādējādi ieņēmumi ir cieši saistīti ar darbaspēka un darba algas fonda izmaiņām.</w:t>
      </w:r>
    </w:p>
    <w:p w14:paraId="324DAB37" w14:textId="77777777" w:rsidR="00304FCE" w:rsidRPr="00304FCE" w:rsidRDefault="00304FCE" w:rsidP="00304FCE">
      <w:pPr>
        <w:spacing w:after="0" w:line="240" w:lineRule="auto"/>
        <w:ind w:firstLine="709"/>
        <w:jc w:val="both"/>
        <w:rPr>
          <w:rFonts w:ascii="Times New Roman" w:eastAsia="Times New Roman" w:hAnsi="Times New Roman" w:cs="Times New Roman"/>
          <w:b/>
          <w:bCs/>
          <w:color w:val="000000"/>
          <w:kern w:val="0"/>
          <w:sz w:val="12"/>
          <w:szCs w:val="12"/>
          <w14:ligatures w14:val="none"/>
        </w:rPr>
      </w:pPr>
    </w:p>
    <w:p w14:paraId="68AE18B2" w14:textId="77777777" w:rsidR="00304FCE" w:rsidRPr="00304FCE" w:rsidRDefault="00304FCE" w:rsidP="00304FCE">
      <w:pPr>
        <w:spacing w:after="0" w:line="240" w:lineRule="auto"/>
        <w:ind w:firstLine="709"/>
        <w:jc w:val="both"/>
        <w:rPr>
          <w:rFonts w:ascii="Times New Roman" w:eastAsia="Times New Roman" w:hAnsi="Times New Roman" w:cs="Times New Roman"/>
          <w:b/>
          <w:bCs/>
          <w:color w:val="000000"/>
          <w:kern w:val="0"/>
          <w:sz w:val="24"/>
          <w:szCs w:val="24"/>
          <w14:ligatures w14:val="none"/>
        </w:rPr>
      </w:pPr>
      <w:r w:rsidRPr="00304FCE">
        <w:rPr>
          <w:rFonts w:ascii="Times New Roman" w:eastAsia="Times New Roman" w:hAnsi="Times New Roman" w:cs="Times New Roman"/>
          <w:b/>
          <w:bCs/>
          <w:color w:val="000000"/>
          <w:kern w:val="0"/>
          <w:sz w:val="24"/>
          <w:szCs w:val="24"/>
          <w14:ligatures w14:val="none"/>
        </w:rPr>
        <w:t xml:space="preserve">Informācija </w:t>
      </w:r>
      <w:bookmarkStart w:id="1" w:name="_Hlk158288963"/>
      <w:r w:rsidRPr="00304FCE">
        <w:rPr>
          <w:rFonts w:ascii="Times New Roman" w:eastAsia="Times New Roman" w:hAnsi="Times New Roman" w:cs="Times New Roman"/>
          <w:b/>
          <w:bCs/>
          <w:color w:val="000000"/>
          <w:kern w:val="0"/>
          <w:sz w:val="24"/>
          <w:szCs w:val="24"/>
          <w14:ligatures w14:val="none"/>
        </w:rPr>
        <w:t>par VID administrēto maksājumu parādiem būvniecības nozares nodokļu maksātājiem</w:t>
      </w:r>
      <w:bookmarkEnd w:id="1"/>
    </w:p>
    <w:p w14:paraId="79F65BF2" w14:textId="77777777" w:rsidR="00304FCE" w:rsidRPr="00304FCE" w:rsidRDefault="00304FCE" w:rsidP="00304FCE">
      <w:pPr>
        <w:spacing w:after="120" w:line="240" w:lineRule="auto"/>
        <w:ind w:firstLine="709"/>
        <w:jc w:val="both"/>
        <w:rPr>
          <w:rFonts w:ascii="Times New Roman" w:eastAsia="Times New Roman" w:hAnsi="Times New Roman" w:cs="Times New Roman"/>
          <w:color w:val="000000"/>
          <w:kern w:val="0"/>
          <w:sz w:val="24"/>
          <w:szCs w:val="24"/>
          <w14:ligatures w14:val="none"/>
        </w:rPr>
      </w:pPr>
      <w:bookmarkStart w:id="2" w:name="_Hlk158288918"/>
      <w:r w:rsidRPr="00304FCE">
        <w:rPr>
          <w:rFonts w:ascii="Times New Roman" w:eastAsia="Times New Roman" w:hAnsi="Times New Roman" w:cs="Times New Roman"/>
          <w:color w:val="000000"/>
          <w:kern w:val="0"/>
          <w:sz w:val="24"/>
          <w:szCs w:val="24"/>
          <w14:ligatures w14:val="none"/>
        </w:rPr>
        <w:t xml:space="preserve">VID administrēto kopbudžeta maksājumu </w:t>
      </w:r>
      <w:r w:rsidRPr="00304FCE">
        <w:rPr>
          <w:rFonts w:ascii="Times New Roman" w:eastAsia="Times New Roman" w:hAnsi="Times New Roman" w:cs="Times New Roman"/>
          <w:b/>
          <w:bCs/>
          <w:color w:val="000000"/>
          <w:kern w:val="0"/>
          <w:sz w:val="24"/>
          <w:szCs w:val="24"/>
          <w14:ligatures w14:val="none"/>
        </w:rPr>
        <w:t>kopējais parāds</w:t>
      </w:r>
      <w:r w:rsidRPr="00304FCE">
        <w:rPr>
          <w:rFonts w:ascii="Times New Roman" w:eastAsia="Times New Roman" w:hAnsi="Times New Roman" w:cs="Times New Roman"/>
          <w:color w:val="000000"/>
          <w:kern w:val="0"/>
          <w:sz w:val="24"/>
          <w:szCs w:val="24"/>
          <w14:ligatures w14:val="none"/>
        </w:rPr>
        <w:t xml:space="preserve"> būvniecības nozares nodokļu maksātājiem 2024. gada 1. janvārī bija </w:t>
      </w:r>
      <w:r w:rsidRPr="00304FCE">
        <w:rPr>
          <w:rFonts w:ascii="Times New Roman" w:eastAsia="Times New Roman" w:hAnsi="Times New Roman" w:cs="Times New Roman"/>
          <w:b/>
          <w:bCs/>
          <w:color w:val="000000"/>
          <w:kern w:val="0"/>
          <w:sz w:val="24"/>
          <w:szCs w:val="24"/>
          <w14:ligatures w14:val="none"/>
        </w:rPr>
        <w:t>58,7 milj. EUR</w:t>
      </w:r>
      <w:r w:rsidRPr="00304FCE">
        <w:rPr>
          <w:rFonts w:ascii="Times New Roman" w:eastAsia="Times New Roman" w:hAnsi="Times New Roman" w:cs="Times New Roman"/>
          <w:color w:val="000000"/>
          <w:kern w:val="0"/>
          <w:sz w:val="24"/>
          <w:szCs w:val="24"/>
          <w14:ligatures w14:val="none"/>
        </w:rPr>
        <w:t xml:space="preserve">. Salīdzinājumā ar 2023. gada 1. janvāri kopējais parāds </w:t>
      </w:r>
      <w:r w:rsidRPr="00304FCE">
        <w:rPr>
          <w:rFonts w:ascii="Times New Roman" w:eastAsia="Times New Roman" w:hAnsi="Times New Roman" w:cs="Times New Roman"/>
          <w:b/>
          <w:bCs/>
          <w:color w:val="000000"/>
          <w:kern w:val="0"/>
          <w:sz w:val="24"/>
          <w:szCs w:val="24"/>
          <w14:ligatures w14:val="none"/>
        </w:rPr>
        <w:t>ir palielinājies par 6,8 milj. EUR</w:t>
      </w:r>
      <w:r w:rsidRPr="00304FCE">
        <w:rPr>
          <w:rFonts w:ascii="Times New Roman" w:eastAsia="Times New Roman" w:hAnsi="Times New Roman" w:cs="Times New Roman"/>
          <w:color w:val="000000"/>
          <w:kern w:val="0"/>
          <w:sz w:val="24"/>
          <w:szCs w:val="24"/>
          <w14:ligatures w14:val="none"/>
        </w:rPr>
        <w:t xml:space="preserve"> (5. tabula). Palielinājums ir izveidojies uz aktuālo parādu pieauguma rēķina, kas ir vērojams pēdējo četru gadu laikā.</w:t>
      </w:r>
    </w:p>
    <w:p w14:paraId="7B3259B5" w14:textId="77777777" w:rsidR="00304FCE" w:rsidRPr="00304FCE" w:rsidRDefault="00304FCE" w:rsidP="00304FCE">
      <w:pPr>
        <w:spacing w:after="0" w:line="276" w:lineRule="auto"/>
        <w:rPr>
          <w:rFonts w:ascii="Times New Roman" w:eastAsia="Times New Roman" w:hAnsi="Times New Roman" w:cs="Times New Roman"/>
          <w:i/>
          <w:iCs/>
          <w:color w:val="000000"/>
          <w:kern w:val="0"/>
          <w14:ligatures w14:val="none"/>
        </w:rPr>
      </w:pPr>
      <w:r w:rsidRPr="00304FCE">
        <w:rPr>
          <w:rFonts w:ascii="Times New Roman" w:eastAsia="Times New Roman" w:hAnsi="Times New Roman" w:cs="Times New Roman"/>
          <w:i/>
          <w:iCs/>
          <w:color w:val="000000"/>
          <w:kern w:val="0"/>
          <w14:ligatures w14:val="none"/>
        </w:rPr>
        <w:t>5. tabula. Informācija par parādiem būvniecības nozares nodokļu maksātājiem, milj. EUR</w:t>
      </w:r>
    </w:p>
    <w:tbl>
      <w:tblPr>
        <w:tblW w:w="9351" w:type="dxa"/>
        <w:jc w:val="center"/>
        <w:tblLook w:val="04A0" w:firstRow="1" w:lastRow="0" w:firstColumn="1" w:lastColumn="0" w:noHBand="0" w:noVBand="1"/>
      </w:tblPr>
      <w:tblGrid>
        <w:gridCol w:w="2972"/>
        <w:gridCol w:w="1134"/>
        <w:gridCol w:w="1276"/>
        <w:gridCol w:w="1198"/>
        <w:gridCol w:w="1280"/>
        <w:gridCol w:w="1491"/>
      </w:tblGrid>
      <w:tr w:rsidR="00304FCE" w:rsidRPr="00304FCE" w14:paraId="6A95B529" w14:textId="77777777" w:rsidTr="00304FCE">
        <w:trPr>
          <w:trHeight w:val="398"/>
          <w:tblHeader/>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5A86C43"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Periods</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394E3BC1"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01.01.2021.</w:t>
            </w:r>
          </w:p>
        </w:tc>
        <w:tc>
          <w:tcPr>
            <w:tcW w:w="1276" w:type="dxa"/>
            <w:tcBorders>
              <w:top w:val="single" w:sz="4" w:space="0" w:color="auto"/>
              <w:left w:val="nil"/>
              <w:bottom w:val="single" w:sz="4" w:space="0" w:color="auto"/>
              <w:right w:val="single" w:sz="4" w:space="0" w:color="auto"/>
            </w:tcBorders>
            <w:shd w:val="clear" w:color="auto" w:fill="D9D9D9"/>
            <w:noWrap/>
            <w:vAlign w:val="center"/>
            <w:hideMark/>
          </w:tcPr>
          <w:p w14:paraId="095726CB"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01.01.2022.</w:t>
            </w:r>
          </w:p>
        </w:tc>
        <w:tc>
          <w:tcPr>
            <w:tcW w:w="1198" w:type="dxa"/>
            <w:tcBorders>
              <w:top w:val="single" w:sz="4" w:space="0" w:color="auto"/>
              <w:left w:val="nil"/>
              <w:bottom w:val="single" w:sz="4" w:space="0" w:color="auto"/>
              <w:right w:val="single" w:sz="4" w:space="0" w:color="auto"/>
            </w:tcBorders>
            <w:shd w:val="clear" w:color="auto" w:fill="D9D9D9"/>
            <w:noWrap/>
            <w:vAlign w:val="center"/>
            <w:hideMark/>
          </w:tcPr>
          <w:p w14:paraId="6F77FEC1"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01.01.2023.</w:t>
            </w:r>
          </w:p>
        </w:tc>
        <w:tc>
          <w:tcPr>
            <w:tcW w:w="1280" w:type="dxa"/>
            <w:tcBorders>
              <w:top w:val="single" w:sz="4" w:space="0" w:color="auto"/>
              <w:left w:val="nil"/>
              <w:bottom w:val="single" w:sz="4" w:space="0" w:color="auto"/>
              <w:right w:val="single" w:sz="4" w:space="0" w:color="auto"/>
            </w:tcBorders>
            <w:shd w:val="clear" w:color="auto" w:fill="D9D9D9"/>
            <w:noWrap/>
            <w:vAlign w:val="center"/>
            <w:hideMark/>
          </w:tcPr>
          <w:p w14:paraId="6975171D"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01.01.2024.</w:t>
            </w:r>
          </w:p>
        </w:tc>
        <w:tc>
          <w:tcPr>
            <w:tcW w:w="1491" w:type="dxa"/>
            <w:tcBorders>
              <w:top w:val="single" w:sz="4" w:space="0" w:color="auto"/>
              <w:left w:val="nil"/>
              <w:bottom w:val="single" w:sz="4" w:space="0" w:color="auto"/>
              <w:right w:val="single" w:sz="4" w:space="0" w:color="auto"/>
            </w:tcBorders>
            <w:shd w:val="clear" w:color="auto" w:fill="D9D9D9"/>
            <w:vAlign w:val="center"/>
            <w:hideMark/>
          </w:tcPr>
          <w:p w14:paraId="4C04AE0B"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Izmaiņas</w:t>
            </w:r>
            <w:r w:rsidRPr="00304FCE">
              <w:rPr>
                <w:rFonts w:ascii="Times New Roman" w:eastAsia="Times New Roman" w:hAnsi="Times New Roman" w:cs="Times New Roman"/>
                <w:b/>
                <w:bCs/>
                <w:color w:val="000000"/>
                <w:kern w:val="0"/>
                <w:sz w:val="16"/>
                <w:szCs w:val="16"/>
                <w14:ligatures w14:val="none"/>
              </w:rPr>
              <w:br/>
              <w:t>(2024. – 2023.)</w:t>
            </w:r>
          </w:p>
        </w:tc>
      </w:tr>
      <w:tr w:rsidR="00304FCE" w:rsidRPr="00304FCE" w14:paraId="58C80DA7" w14:textId="77777777" w:rsidTr="00304FCE">
        <w:trPr>
          <w:trHeight w:val="208"/>
          <w:jc w:val="center"/>
        </w:trPr>
        <w:tc>
          <w:tcPr>
            <w:tcW w:w="2972" w:type="dxa"/>
            <w:tcBorders>
              <w:top w:val="nil"/>
              <w:left w:val="single" w:sz="4" w:space="0" w:color="auto"/>
              <w:bottom w:val="single" w:sz="4" w:space="0" w:color="auto"/>
              <w:right w:val="single" w:sz="4" w:space="0" w:color="auto"/>
            </w:tcBorders>
            <w:shd w:val="clear" w:color="auto" w:fill="F2F2F2"/>
            <w:noWrap/>
            <w:vAlign w:val="center"/>
            <w:hideMark/>
          </w:tcPr>
          <w:p w14:paraId="0C53C595"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Aktuālie parādi, t.sk.</w:t>
            </w:r>
          </w:p>
        </w:tc>
        <w:tc>
          <w:tcPr>
            <w:tcW w:w="1134" w:type="dxa"/>
            <w:tcBorders>
              <w:top w:val="nil"/>
              <w:left w:val="nil"/>
              <w:bottom w:val="single" w:sz="4" w:space="0" w:color="auto"/>
              <w:right w:val="single" w:sz="4" w:space="0" w:color="auto"/>
            </w:tcBorders>
            <w:shd w:val="clear" w:color="auto" w:fill="F2F2F2"/>
            <w:noWrap/>
            <w:vAlign w:val="center"/>
            <w:hideMark/>
          </w:tcPr>
          <w:p w14:paraId="04CF96E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35,2</w:t>
            </w:r>
          </w:p>
        </w:tc>
        <w:tc>
          <w:tcPr>
            <w:tcW w:w="1276" w:type="dxa"/>
            <w:tcBorders>
              <w:top w:val="nil"/>
              <w:left w:val="nil"/>
              <w:bottom w:val="single" w:sz="4" w:space="0" w:color="auto"/>
              <w:right w:val="single" w:sz="4" w:space="0" w:color="auto"/>
            </w:tcBorders>
            <w:shd w:val="clear" w:color="auto" w:fill="F2F2F2"/>
            <w:noWrap/>
            <w:vAlign w:val="center"/>
            <w:hideMark/>
          </w:tcPr>
          <w:p w14:paraId="2ADC26F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35,5</w:t>
            </w:r>
          </w:p>
        </w:tc>
        <w:tc>
          <w:tcPr>
            <w:tcW w:w="1198" w:type="dxa"/>
            <w:tcBorders>
              <w:top w:val="nil"/>
              <w:left w:val="nil"/>
              <w:bottom w:val="single" w:sz="4" w:space="0" w:color="auto"/>
              <w:right w:val="single" w:sz="4" w:space="0" w:color="auto"/>
            </w:tcBorders>
            <w:shd w:val="clear" w:color="auto" w:fill="F2F2F2"/>
            <w:noWrap/>
            <w:vAlign w:val="center"/>
            <w:hideMark/>
          </w:tcPr>
          <w:p w14:paraId="5ACF4A1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36,6</w:t>
            </w:r>
          </w:p>
        </w:tc>
        <w:tc>
          <w:tcPr>
            <w:tcW w:w="1280" w:type="dxa"/>
            <w:tcBorders>
              <w:top w:val="nil"/>
              <w:left w:val="nil"/>
              <w:bottom w:val="single" w:sz="4" w:space="0" w:color="auto"/>
              <w:right w:val="single" w:sz="4" w:space="0" w:color="auto"/>
            </w:tcBorders>
            <w:shd w:val="clear" w:color="auto" w:fill="F2F2F2"/>
            <w:noWrap/>
            <w:vAlign w:val="center"/>
            <w:hideMark/>
          </w:tcPr>
          <w:p w14:paraId="5D5A19F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42,7</w:t>
            </w:r>
          </w:p>
        </w:tc>
        <w:tc>
          <w:tcPr>
            <w:tcW w:w="1491" w:type="dxa"/>
            <w:tcBorders>
              <w:top w:val="nil"/>
              <w:left w:val="nil"/>
              <w:bottom w:val="single" w:sz="4" w:space="0" w:color="auto"/>
              <w:right w:val="single" w:sz="4" w:space="0" w:color="auto"/>
            </w:tcBorders>
            <w:shd w:val="clear" w:color="auto" w:fill="F2F2F2"/>
            <w:noWrap/>
            <w:vAlign w:val="center"/>
            <w:hideMark/>
          </w:tcPr>
          <w:p w14:paraId="64A2E8C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6,0</w:t>
            </w:r>
          </w:p>
        </w:tc>
      </w:tr>
      <w:tr w:rsidR="00304FCE" w:rsidRPr="00304FCE" w14:paraId="4068EABB" w14:textId="77777777" w:rsidTr="001F20D9">
        <w:trPr>
          <w:trHeight w:val="208"/>
          <w:jc w:val="center"/>
        </w:trPr>
        <w:tc>
          <w:tcPr>
            <w:tcW w:w="2972" w:type="dxa"/>
            <w:tcBorders>
              <w:top w:val="nil"/>
              <w:left w:val="single" w:sz="4" w:space="0" w:color="auto"/>
              <w:bottom w:val="single" w:sz="4" w:space="0" w:color="auto"/>
              <w:right w:val="single" w:sz="4" w:space="0" w:color="auto"/>
            </w:tcBorders>
            <w:noWrap/>
            <w:vAlign w:val="center"/>
          </w:tcPr>
          <w:p w14:paraId="0DC09BD5"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IIN</w:t>
            </w:r>
          </w:p>
        </w:tc>
        <w:tc>
          <w:tcPr>
            <w:tcW w:w="1134" w:type="dxa"/>
            <w:tcBorders>
              <w:top w:val="nil"/>
              <w:left w:val="nil"/>
              <w:bottom w:val="single" w:sz="4" w:space="0" w:color="auto"/>
              <w:right w:val="single" w:sz="4" w:space="0" w:color="auto"/>
            </w:tcBorders>
            <w:noWrap/>
            <w:vAlign w:val="center"/>
          </w:tcPr>
          <w:p w14:paraId="3126FDE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8,2</w:t>
            </w:r>
          </w:p>
        </w:tc>
        <w:tc>
          <w:tcPr>
            <w:tcW w:w="1276" w:type="dxa"/>
            <w:tcBorders>
              <w:top w:val="nil"/>
              <w:left w:val="nil"/>
              <w:bottom w:val="single" w:sz="4" w:space="0" w:color="auto"/>
              <w:right w:val="single" w:sz="4" w:space="0" w:color="auto"/>
            </w:tcBorders>
            <w:noWrap/>
            <w:vAlign w:val="center"/>
          </w:tcPr>
          <w:p w14:paraId="3FE6E08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9,9</w:t>
            </w:r>
          </w:p>
        </w:tc>
        <w:tc>
          <w:tcPr>
            <w:tcW w:w="1198" w:type="dxa"/>
            <w:tcBorders>
              <w:top w:val="nil"/>
              <w:left w:val="nil"/>
              <w:bottom w:val="single" w:sz="4" w:space="0" w:color="auto"/>
              <w:right w:val="single" w:sz="4" w:space="0" w:color="auto"/>
            </w:tcBorders>
            <w:noWrap/>
            <w:vAlign w:val="center"/>
          </w:tcPr>
          <w:p w14:paraId="1741816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9,9</w:t>
            </w:r>
          </w:p>
        </w:tc>
        <w:tc>
          <w:tcPr>
            <w:tcW w:w="1280" w:type="dxa"/>
            <w:tcBorders>
              <w:top w:val="nil"/>
              <w:left w:val="nil"/>
              <w:bottom w:val="single" w:sz="4" w:space="0" w:color="auto"/>
              <w:right w:val="single" w:sz="4" w:space="0" w:color="auto"/>
            </w:tcBorders>
            <w:noWrap/>
            <w:vAlign w:val="center"/>
          </w:tcPr>
          <w:p w14:paraId="470F044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11,2</w:t>
            </w:r>
          </w:p>
        </w:tc>
        <w:tc>
          <w:tcPr>
            <w:tcW w:w="1491" w:type="dxa"/>
            <w:tcBorders>
              <w:top w:val="nil"/>
              <w:left w:val="nil"/>
              <w:bottom w:val="single" w:sz="4" w:space="0" w:color="auto"/>
              <w:right w:val="single" w:sz="4" w:space="0" w:color="auto"/>
            </w:tcBorders>
            <w:noWrap/>
            <w:vAlign w:val="center"/>
          </w:tcPr>
          <w:p w14:paraId="2623A47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1,3</w:t>
            </w:r>
          </w:p>
        </w:tc>
      </w:tr>
      <w:tr w:rsidR="00304FCE" w:rsidRPr="00304FCE" w14:paraId="5813D78B" w14:textId="77777777" w:rsidTr="001F20D9">
        <w:trPr>
          <w:trHeight w:val="208"/>
          <w:jc w:val="center"/>
        </w:trPr>
        <w:tc>
          <w:tcPr>
            <w:tcW w:w="2972" w:type="dxa"/>
            <w:tcBorders>
              <w:top w:val="nil"/>
              <w:left w:val="single" w:sz="4" w:space="0" w:color="auto"/>
              <w:bottom w:val="single" w:sz="4" w:space="0" w:color="auto"/>
              <w:right w:val="single" w:sz="4" w:space="0" w:color="auto"/>
            </w:tcBorders>
            <w:noWrap/>
            <w:vAlign w:val="center"/>
          </w:tcPr>
          <w:p w14:paraId="1401D3B0"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VSAOI</w:t>
            </w:r>
          </w:p>
        </w:tc>
        <w:tc>
          <w:tcPr>
            <w:tcW w:w="1134" w:type="dxa"/>
            <w:tcBorders>
              <w:top w:val="nil"/>
              <w:left w:val="nil"/>
              <w:bottom w:val="single" w:sz="4" w:space="0" w:color="auto"/>
              <w:right w:val="single" w:sz="4" w:space="0" w:color="auto"/>
            </w:tcBorders>
            <w:noWrap/>
            <w:vAlign w:val="center"/>
          </w:tcPr>
          <w:p w14:paraId="2522D2E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12,6</w:t>
            </w:r>
          </w:p>
        </w:tc>
        <w:tc>
          <w:tcPr>
            <w:tcW w:w="1276" w:type="dxa"/>
            <w:tcBorders>
              <w:top w:val="nil"/>
              <w:left w:val="nil"/>
              <w:bottom w:val="single" w:sz="4" w:space="0" w:color="auto"/>
              <w:right w:val="single" w:sz="4" w:space="0" w:color="auto"/>
            </w:tcBorders>
            <w:noWrap/>
            <w:vAlign w:val="center"/>
          </w:tcPr>
          <w:p w14:paraId="44023BE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13,1</w:t>
            </w:r>
          </w:p>
        </w:tc>
        <w:tc>
          <w:tcPr>
            <w:tcW w:w="1198" w:type="dxa"/>
            <w:tcBorders>
              <w:top w:val="nil"/>
              <w:left w:val="nil"/>
              <w:bottom w:val="single" w:sz="4" w:space="0" w:color="auto"/>
              <w:right w:val="single" w:sz="4" w:space="0" w:color="auto"/>
            </w:tcBorders>
            <w:noWrap/>
            <w:vAlign w:val="center"/>
          </w:tcPr>
          <w:p w14:paraId="24C06E5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14,0</w:t>
            </w:r>
          </w:p>
        </w:tc>
        <w:tc>
          <w:tcPr>
            <w:tcW w:w="1280" w:type="dxa"/>
            <w:tcBorders>
              <w:top w:val="nil"/>
              <w:left w:val="nil"/>
              <w:bottom w:val="single" w:sz="4" w:space="0" w:color="auto"/>
              <w:right w:val="single" w:sz="4" w:space="0" w:color="auto"/>
            </w:tcBorders>
            <w:noWrap/>
            <w:vAlign w:val="center"/>
          </w:tcPr>
          <w:p w14:paraId="055621F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18,4</w:t>
            </w:r>
          </w:p>
        </w:tc>
        <w:tc>
          <w:tcPr>
            <w:tcW w:w="1491" w:type="dxa"/>
            <w:tcBorders>
              <w:top w:val="nil"/>
              <w:left w:val="nil"/>
              <w:bottom w:val="single" w:sz="4" w:space="0" w:color="auto"/>
              <w:right w:val="single" w:sz="4" w:space="0" w:color="auto"/>
            </w:tcBorders>
            <w:noWrap/>
            <w:vAlign w:val="center"/>
          </w:tcPr>
          <w:p w14:paraId="54623EE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4,4</w:t>
            </w:r>
          </w:p>
        </w:tc>
      </w:tr>
      <w:tr w:rsidR="00304FCE" w:rsidRPr="00304FCE" w14:paraId="28A85D8A" w14:textId="77777777" w:rsidTr="00304FCE">
        <w:trPr>
          <w:trHeight w:val="208"/>
          <w:jc w:val="center"/>
        </w:trPr>
        <w:tc>
          <w:tcPr>
            <w:tcW w:w="2972" w:type="dxa"/>
            <w:tcBorders>
              <w:top w:val="nil"/>
              <w:left w:val="single" w:sz="4" w:space="0" w:color="auto"/>
              <w:bottom w:val="single" w:sz="4" w:space="0" w:color="auto"/>
              <w:right w:val="single" w:sz="4" w:space="0" w:color="auto"/>
            </w:tcBorders>
            <w:shd w:val="clear" w:color="auto" w:fill="F2F2F2"/>
            <w:noWrap/>
            <w:vAlign w:val="center"/>
            <w:hideMark/>
          </w:tcPr>
          <w:p w14:paraId="0C40CF1C"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Termiņa pagarinājumu atlikums, t. sk.</w:t>
            </w:r>
          </w:p>
        </w:tc>
        <w:tc>
          <w:tcPr>
            <w:tcW w:w="1134" w:type="dxa"/>
            <w:tcBorders>
              <w:top w:val="nil"/>
              <w:left w:val="nil"/>
              <w:bottom w:val="single" w:sz="4" w:space="0" w:color="auto"/>
              <w:right w:val="single" w:sz="4" w:space="0" w:color="auto"/>
            </w:tcBorders>
            <w:shd w:val="clear" w:color="auto" w:fill="F2F2F2"/>
            <w:noWrap/>
            <w:vAlign w:val="center"/>
            <w:hideMark/>
          </w:tcPr>
          <w:p w14:paraId="2D560FF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6,9</w:t>
            </w:r>
          </w:p>
        </w:tc>
        <w:tc>
          <w:tcPr>
            <w:tcW w:w="1276" w:type="dxa"/>
            <w:tcBorders>
              <w:top w:val="nil"/>
              <w:left w:val="nil"/>
              <w:bottom w:val="single" w:sz="4" w:space="0" w:color="auto"/>
              <w:right w:val="single" w:sz="4" w:space="0" w:color="auto"/>
            </w:tcBorders>
            <w:shd w:val="clear" w:color="auto" w:fill="F2F2F2"/>
            <w:noWrap/>
            <w:vAlign w:val="center"/>
            <w:hideMark/>
          </w:tcPr>
          <w:p w14:paraId="59AEF8F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8,6</w:t>
            </w:r>
          </w:p>
        </w:tc>
        <w:tc>
          <w:tcPr>
            <w:tcW w:w="1198" w:type="dxa"/>
            <w:tcBorders>
              <w:top w:val="nil"/>
              <w:left w:val="nil"/>
              <w:bottom w:val="single" w:sz="4" w:space="0" w:color="auto"/>
              <w:right w:val="single" w:sz="4" w:space="0" w:color="auto"/>
            </w:tcBorders>
            <w:shd w:val="clear" w:color="auto" w:fill="F2F2F2"/>
            <w:noWrap/>
            <w:vAlign w:val="center"/>
            <w:hideMark/>
          </w:tcPr>
          <w:p w14:paraId="289279E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4,8</w:t>
            </w:r>
          </w:p>
        </w:tc>
        <w:tc>
          <w:tcPr>
            <w:tcW w:w="1280" w:type="dxa"/>
            <w:tcBorders>
              <w:top w:val="nil"/>
              <w:left w:val="nil"/>
              <w:bottom w:val="single" w:sz="4" w:space="0" w:color="auto"/>
              <w:right w:val="single" w:sz="4" w:space="0" w:color="auto"/>
            </w:tcBorders>
            <w:shd w:val="clear" w:color="auto" w:fill="F2F2F2"/>
            <w:noWrap/>
            <w:vAlign w:val="center"/>
            <w:hideMark/>
          </w:tcPr>
          <w:p w14:paraId="165B0F5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2,3</w:t>
            </w:r>
          </w:p>
        </w:tc>
        <w:tc>
          <w:tcPr>
            <w:tcW w:w="1491" w:type="dxa"/>
            <w:tcBorders>
              <w:top w:val="nil"/>
              <w:left w:val="nil"/>
              <w:bottom w:val="single" w:sz="4" w:space="0" w:color="auto"/>
              <w:right w:val="single" w:sz="4" w:space="0" w:color="auto"/>
            </w:tcBorders>
            <w:shd w:val="clear" w:color="auto" w:fill="F2F2F2"/>
            <w:noWrap/>
            <w:vAlign w:val="center"/>
            <w:hideMark/>
          </w:tcPr>
          <w:p w14:paraId="3E67A16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-2,5</w:t>
            </w:r>
          </w:p>
        </w:tc>
      </w:tr>
      <w:tr w:rsidR="00304FCE" w:rsidRPr="00304FCE" w14:paraId="25829A91" w14:textId="77777777" w:rsidTr="001F20D9">
        <w:trPr>
          <w:trHeight w:val="208"/>
          <w:jc w:val="center"/>
        </w:trPr>
        <w:tc>
          <w:tcPr>
            <w:tcW w:w="2972" w:type="dxa"/>
            <w:tcBorders>
              <w:top w:val="nil"/>
              <w:left w:val="single" w:sz="4" w:space="0" w:color="auto"/>
              <w:bottom w:val="single" w:sz="4" w:space="0" w:color="auto"/>
              <w:right w:val="single" w:sz="4" w:space="0" w:color="auto"/>
            </w:tcBorders>
            <w:noWrap/>
            <w:vAlign w:val="center"/>
          </w:tcPr>
          <w:p w14:paraId="5E193E8A"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IIN</w:t>
            </w:r>
          </w:p>
        </w:tc>
        <w:tc>
          <w:tcPr>
            <w:tcW w:w="1134" w:type="dxa"/>
            <w:tcBorders>
              <w:top w:val="nil"/>
              <w:left w:val="nil"/>
              <w:bottom w:val="single" w:sz="4" w:space="0" w:color="auto"/>
              <w:right w:val="single" w:sz="4" w:space="0" w:color="auto"/>
            </w:tcBorders>
            <w:noWrap/>
            <w:vAlign w:val="center"/>
          </w:tcPr>
          <w:p w14:paraId="098111F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0,9</w:t>
            </w:r>
          </w:p>
        </w:tc>
        <w:tc>
          <w:tcPr>
            <w:tcW w:w="1276" w:type="dxa"/>
            <w:tcBorders>
              <w:top w:val="nil"/>
              <w:left w:val="nil"/>
              <w:bottom w:val="single" w:sz="4" w:space="0" w:color="auto"/>
              <w:right w:val="single" w:sz="4" w:space="0" w:color="auto"/>
            </w:tcBorders>
            <w:noWrap/>
            <w:vAlign w:val="center"/>
          </w:tcPr>
          <w:p w14:paraId="379A3447"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2,0</w:t>
            </w:r>
          </w:p>
        </w:tc>
        <w:tc>
          <w:tcPr>
            <w:tcW w:w="1198" w:type="dxa"/>
            <w:tcBorders>
              <w:top w:val="nil"/>
              <w:left w:val="nil"/>
              <w:bottom w:val="single" w:sz="4" w:space="0" w:color="auto"/>
              <w:right w:val="single" w:sz="4" w:space="0" w:color="auto"/>
            </w:tcBorders>
            <w:noWrap/>
            <w:vAlign w:val="center"/>
          </w:tcPr>
          <w:p w14:paraId="31D4469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1,4</w:t>
            </w:r>
          </w:p>
        </w:tc>
        <w:tc>
          <w:tcPr>
            <w:tcW w:w="1280" w:type="dxa"/>
            <w:tcBorders>
              <w:top w:val="nil"/>
              <w:left w:val="nil"/>
              <w:bottom w:val="single" w:sz="4" w:space="0" w:color="auto"/>
              <w:right w:val="single" w:sz="4" w:space="0" w:color="auto"/>
            </w:tcBorders>
            <w:noWrap/>
            <w:vAlign w:val="center"/>
          </w:tcPr>
          <w:p w14:paraId="37A4A43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0,8</w:t>
            </w:r>
          </w:p>
        </w:tc>
        <w:tc>
          <w:tcPr>
            <w:tcW w:w="1491" w:type="dxa"/>
            <w:tcBorders>
              <w:top w:val="nil"/>
              <w:left w:val="nil"/>
              <w:bottom w:val="single" w:sz="4" w:space="0" w:color="auto"/>
              <w:right w:val="single" w:sz="4" w:space="0" w:color="auto"/>
            </w:tcBorders>
            <w:noWrap/>
            <w:vAlign w:val="center"/>
          </w:tcPr>
          <w:p w14:paraId="423C7C8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-0,7</w:t>
            </w:r>
          </w:p>
        </w:tc>
      </w:tr>
      <w:tr w:rsidR="00304FCE" w:rsidRPr="00304FCE" w14:paraId="64339910" w14:textId="77777777" w:rsidTr="001F20D9">
        <w:trPr>
          <w:trHeight w:val="208"/>
          <w:jc w:val="center"/>
        </w:trPr>
        <w:tc>
          <w:tcPr>
            <w:tcW w:w="2972" w:type="dxa"/>
            <w:tcBorders>
              <w:top w:val="nil"/>
              <w:left w:val="single" w:sz="4" w:space="0" w:color="auto"/>
              <w:bottom w:val="single" w:sz="4" w:space="0" w:color="auto"/>
              <w:right w:val="single" w:sz="4" w:space="0" w:color="auto"/>
            </w:tcBorders>
            <w:noWrap/>
            <w:vAlign w:val="center"/>
          </w:tcPr>
          <w:p w14:paraId="1E707DC0"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VSAOI</w:t>
            </w:r>
          </w:p>
        </w:tc>
        <w:tc>
          <w:tcPr>
            <w:tcW w:w="1134" w:type="dxa"/>
            <w:tcBorders>
              <w:top w:val="nil"/>
              <w:left w:val="nil"/>
              <w:bottom w:val="single" w:sz="4" w:space="0" w:color="auto"/>
              <w:right w:val="single" w:sz="4" w:space="0" w:color="auto"/>
            </w:tcBorders>
            <w:noWrap/>
            <w:vAlign w:val="center"/>
          </w:tcPr>
          <w:p w14:paraId="5C94F6C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4,7</w:t>
            </w:r>
          </w:p>
        </w:tc>
        <w:tc>
          <w:tcPr>
            <w:tcW w:w="1276" w:type="dxa"/>
            <w:tcBorders>
              <w:top w:val="nil"/>
              <w:left w:val="nil"/>
              <w:bottom w:val="single" w:sz="4" w:space="0" w:color="auto"/>
              <w:right w:val="single" w:sz="4" w:space="0" w:color="auto"/>
            </w:tcBorders>
            <w:noWrap/>
            <w:vAlign w:val="center"/>
          </w:tcPr>
          <w:p w14:paraId="59CB394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5,7</w:t>
            </w:r>
          </w:p>
        </w:tc>
        <w:tc>
          <w:tcPr>
            <w:tcW w:w="1198" w:type="dxa"/>
            <w:tcBorders>
              <w:top w:val="nil"/>
              <w:left w:val="nil"/>
              <w:bottom w:val="single" w:sz="4" w:space="0" w:color="auto"/>
              <w:right w:val="single" w:sz="4" w:space="0" w:color="auto"/>
            </w:tcBorders>
            <w:noWrap/>
            <w:vAlign w:val="center"/>
          </w:tcPr>
          <w:p w14:paraId="6462547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2,7</w:t>
            </w:r>
          </w:p>
        </w:tc>
        <w:tc>
          <w:tcPr>
            <w:tcW w:w="1280" w:type="dxa"/>
            <w:tcBorders>
              <w:top w:val="nil"/>
              <w:left w:val="nil"/>
              <w:bottom w:val="single" w:sz="4" w:space="0" w:color="auto"/>
              <w:right w:val="single" w:sz="4" w:space="0" w:color="auto"/>
            </w:tcBorders>
            <w:noWrap/>
            <w:vAlign w:val="center"/>
          </w:tcPr>
          <w:p w14:paraId="2B4ECE4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0,8</w:t>
            </w:r>
          </w:p>
        </w:tc>
        <w:tc>
          <w:tcPr>
            <w:tcW w:w="1491" w:type="dxa"/>
            <w:tcBorders>
              <w:top w:val="nil"/>
              <w:left w:val="nil"/>
              <w:bottom w:val="single" w:sz="4" w:space="0" w:color="auto"/>
              <w:right w:val="single" w:sz="4" w:space="0" w:color="auto"/>
            </w:tcBorders>
            <w:noWrap/>
            <w:vAlign w:val="center"/>
          </w:tcPr>
          <w:p w14:paraId="094CD928"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-1,9</w:t>
            </w:r>
          </w:p>
        </w:tc>
      </w:tr>
      <w:tr w:rsidR="00304FCE" w:rsidRPr="00304FCE" w14:paraId="759888E8" w14:textId="77777777" w:rsidTr="00304FCE">
        <w:trPr>
          <w:trHeight w:val="208"/>
          <w:jc w:val="center"/>
        </w:trPr>
        <w:tc>
          <w:tcPr>
            <w:tcW w:w="2972" w:type="dxa"/>
            <w:tcBorders>
              <w:top w:val="nil"/>
              <w:left w:val="single" w:sz="4" w:space="0" w:color="auto"/>
              <w:bottom w:val="single" w:sz="4" w:space="0" w:color="auto"/>
              <w:right w:val="single" w:sz="4" w:space="0" w:color="auto"/>
            </w:tcBorders>
            <w:shd w:val="clear" w:color="auto" w:fill="F2F2F2"/>
            <w:noWrap/>
            <w:vAlign w:val="center"/>
            <w:hideMark/>
          </w:tcPr>
          <w:p w14:paraId="2A83EA3C"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Apturētie parādi, t. sk.</w:t>
            </w:r>
          </w:p>
        </w:tc>
        <w:tc>
          <w:tcPr>
            <w:tcW w:w="1134" w:type="dxa"/>
            <w:tcBorders>
              <w:top w:val="nil"/>
              <w:left w:val="nil"/>
              <w:bottom w:val="single" w:sz="4" w:space="0" w:color="auto"/>
              <w:right w:val="single" w:sz="4" w:space="0" w:color="auto"/>
            </w:tcBorders>
            <w:shd w:val="clear" w:color="auto" w:fill="F2F2F2"/>
            <w:noWrap/>
            <w:vAlign w:val="center"/>
            <w:hideMark/>
          </w:tcPr>
          <w:p w14:paraId="21BDB71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15,4</w:t>
            </w:r>
          </w:p>
        </w:tc>
        <w:tc>
          <w:tcPr>
            <w:tcW w:w="1276" w:type="dxa"/>
            <w:tcBorders>
              <w:top w:val="nil"/>
              <w:left w:val="nil"/>
              <w:bottom w:val="single" w:sz="4" w:space="0" w:color="auto"/>
              <w:right w:val="single" w:sz="4" w:space="0" w:color="auto"/>
            </w:tcBorders>
            <w:shd w:val="clear" w:color="auto" w:fill="F2F2F2"/>
            <w:noWrap/>
            <w:vAlign w:val="center"/>
            <w:hideMark/>
          </w:tcPr>
          <w:p w14:paraId="0625EF8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13,9</w:t>
            </w:r>
          </w:p>
        </w:tc>
        <w:tc>
          <w:tcPr>
            <w:tcW w:w="1198" w:type="dxa"/>
            <w:tcBorders>
              <w:top w:val="nil"/>
              <w:left w:val="nil"/>
              <w:bottom w:val="single" w:sz="4" w:space="0" w:color="auto"/>
              <w:right w:val="single" w:sz="4" w:space="0" w:color="auto"/>
            </w:tcBorders>
            <w:shd w:val="clear" w:color="auto" w:fill="F2F2F2"/>
            <w:noWrap/>
            <w:vAlign w:val="center"/>
            <w:hideMark/>
          </w:tcPr>
          <w:p w14:paraId="7862154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10,5</w:t>
            </w:r>
          </w:p>
        </w:tc>
        <w:tc>
          <w:tcPr>
            <w:tcW w:w="1280" w:type="dxa"/>
            <w:tcBorders>
              <w:top w:val="nil"/>
              <w:left w:val="nil"/>
              <w:bottom w:val="single" w:sz="4" w:space="0" w:color="auto"/>
              <w:right w:val="single" w:sz="4" w:space="0" w:color="auto"/>
            </w:tcBorders>
            <w:shd w:val="clear" w:color="auto" w:fill="F2F2F2"/>
            <w:noWrap/>
            <w:vAlign w:val="center"/>
            <w:hideMark/>
          </w:tcPr>
          <w:p w14:paraId="65D6664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13,7</w:t>
            </w:r>
          </w:p>
        </w:tc>
        <w:tc>
          <w:tcPr>
            <w:tcW w:w="1491" w:type="dxa"/>
            <w:tcBorders>
              <w:top w:val="nil"/>
              <w:left w:val="nil"/>
              <w:bottom w:val="single" w:sz="4" w:space="0" w:color="auto"/>
              <w:right w:val="single" w:sz="4" w:space="0" w:color="auto"/>
            </w:tcBorders>
            <w:shd w:val="clear" w:color="auto" w:fill="F2F2F2"/>
            <w:noWrap/>
            <w:vAlign w:val="center"/>
            <w:hideMark/>
          </w:tcPr>
          <w:p w14:paraId="6D1FBCB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3,2</w:t>
            </w:r>
          </w:p>
        </w:tc>
      </w:tr>
      <w:tr w:rsidR="00304FCE" w:rsidRPr="00304FCE" w14:paraId="4B8768DA" w14:textId="77777777" w:rsidTr="001F20D9">
        <w:trPr>
          <w:trHeight w:val="208"/>
          <w:jc w:val="center"/>
        </w:trPr>
        <w:tc>
          <w:tcPr>
            <w:tcW w:w="2972" w:type="dxa"/>
            <w:tcBorders>
              <w:top w:val="nil"/>
              <w:left w:val="single" w:sz="4" w:space="0" w:color="auto"/>
              <w:bottom w:val="single" w:sz="4" w:space="0" w:color="auto"/>
              <w:right w:val="single" w:sz="4" w:space="0" w:color="auto"/>
            </w:tcBorders>
            <w:noWrap/>
            <w:vAlign w:val="center"/>
          </w:tcPr>
          <w:p w14:paraId="77C91BFF"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lastRenderedPageBreak/>
              <w:t>IIN</w:t>
            </w:r>
          </w:p>
        </w:tc>
        <w:tc>
          <w:tcPr>
            <w:tcW w:w="1134" w:type="dxa"/>
            <w:tcBorders>
              <w:top w:val="nil"/>
              <w:left w:val="nil"/>
              <w:bottom w:val="single" w:sz="4" w:space="0" w:color="auto"/>
              <w:right w:val="single" w:sz="4" w:space="0" w:color="auto"/>
            </w:tcBorders>
            <w:noWrap/>
            <w:vAlign w:val="center"/>
          </w:tcPr>
          <w:p w14:paraId="7943FF3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3,3</w:t>
            </w:r>
          </w:p>
        </w:tc>
        <w:tc>
          <w:tcPr>
            <w:tcW w:w="1276" w:type="dxa"/>
            <w:tcBorders>
              <w:top w:val="nil"/>
              <w:left w:val="nil"/>
              <w:bottom w:val="single" w:sz="4" w:space="0" w:color="auto"/>
              <w:right w:val="single" w:sz="4" w:space="0" w:color="auto"/>
            </w:tcBorders>
            <w:noWrap/>
            <w:vAlign w:val="center"/>
          </w:tcPr>
          <w:p w14:paraId="40A3E63C"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3,1</w:t>
            </w:r>
          </w:p>
        </w:tc>
        <w:tc>
          <w:tcPr>
            <w:tcW w:w="1198" w:type="dxa"/>
            <w:tcBorders>
              <w:top w:val="nil"/>
              <w:left w:val="nil"/>
              <w:bottom w:val="single" w:sz="4" w:space="0" w:color="auto"/>
              <w:right w:val="single" w:sz="4" w:space="0" w:color="auto"/>
            </w:tcBorders>
            <w:noWrap/>
            <w:vAlign w:val="center"/>
          </w:tcPr>
          <w:p w14:paraId="6AC4573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2,8</w:t>
            </w:r>
          </w:p>
        </w:tc>
        <w:tc>
          <w:tcPr>
            <w:tcW w:w="1280" w:type="dxa"/>
            <w:tcBorders>
              <w:top w:val="nil"/>
              <w:left w:val="nil"/>
              <w:bottom w:val="single" w:sz="4" w:space="0" w:color="auto"/>
              <w:right w:val="single" w:sz="4" w:space="0" w:color="auto"/>
            </w:tcBorders>
            <w:noWrap/>
            <w:vAlign w:val="center"/>
          </w:tcPr>
          <w:p w14:paraId="095408B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3,6</w:t>
            </w:r>
          </w:p>
        </w:tc>
        <w:tc>
          <w:tcPr>
            <w:tcW w:w="1491" w:type="dxa"/>
            <w:tcBorders>
              <w:top w:val="nil"/>
              <w:left w:val="nil"/>
              <w:bottom w:val="single" w:sz="4" w:space="0" w:color="auto"/>
              <w:right w:val="single" w:sz="4" w:space="0" w:color="auto"/>
            </w:tcBorders>
            <w:noWrap/>
            <w:vAlign w:val="center"/>
          </w:tcPr>
          <w:p w14:paraId="77DF45D8"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0,8</w:t>
            </w:r>
          </w:p>
        </w:tc>
      </w:tr>
      <w:tr w:rsidR="00304FCE" w:rsidRPr="00304FCE" w14:paraId="0AEFF284" w14:textId="77777777" w:rsidTr="001F20D9">
        <w:trPr>
          <w:trHeight w:val="208"/>
          <w:jc w:val="center"/>
        </w:trPr>
        <w:tc>
          <w:tcPr>
            <w:tcW w:w="2972" w:type="dxa"/>
            <w:tcBorders>
              <w:top w:val="nil"/>
              <w:left w:val="single" w:sz="4" w:space="0" w:color="auto"/>
              <w:bottom w:val="single" w:sz="4" w:space="0" w:color="auto"/>
              <w:right w:val="single" w:sz="4" w:space="0" w:color="auto"/>
            </w:tcBorders>
            <w:noWrap/>
            <w:vAlign w:val="center"/>
          </w:tcPr>
          <w:p w14:paraId="24CE56ED" w14:textId="77777777" w:rsidR="00304FCE" w:rsidRPr="00304FCE" w:rsidRDefault="00304FCE" w:rsidP="00304FCE">
            <w:pPr>
              <w:spacing w:after="0" w:line="240" w:lineRule="auto"/>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VSAOI</w:t>
            </w:r>
          </w:p>
        </w:tc>
        <w:tc>
          <w:tcPr>
            <w:tcW w:w="1134" w:type="dxa"/>
            <w:tcBorders>
              <w:top w:val="nil"/>
              <w:left w:val="nil"/>
              <w:bottom w:val="single" w:sz="4" w:space="0" w:color="auto"/>
              <w:right w:val="single" w:sz="4" w:space="0" w:color="auto"/>
            </w:tcBorders>
            <w:noWrap/>
            <w:vAlign w:val="center"/>
          </w:tcPr>
          <w:p w14:paraId="1AE992D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6,0</w:t>
            </w:r>
          </w:p>
        </w:tc>
        <w:tc>
          <w:tcPr>
            <w:tcW w:w="1276" w:type="dxa"/>
            <w:tcBorders>
              <w:top w:val="nil"/>
              <w:left w:val="nil"/>
              <w:bottom w:val="single" w:sz="4" w:space="0" w:color="auto"/>
              <w:right w:val="single" w:sz="4" w:space="0" w:color="auto"/>
            </w:tcBorders>
            <w:noWrap/>
            <w:vAlign w:val="center"/>
          </w:tcPr>
          <w:p w14:paraId="0DB4478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5,5</w:t>
            </w:r>
          </w:p>
        </w:tc>
        <w:tc>
          <w:tcPr>
            <w:tcW w:w="1198" w:type="dxa"/>
            <w:tcBorders>
              <w:top w:val="nil"/>
              <w:left w:val="nil"/>
              <w:bottom w:val="single" w:sz="4" w:space="0" w:color="auto"/>
              <w:right w:val="single" w:sz="4" w:space="0" w:color="auto"/>
            </w:tcBorders>
            <w:noWrap/>
            <w:vAlign w:val="center"/>
          </w:tcPr>
          <w:p w14:paraId="58281F8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4,7</w:t>
            </w:r>
          </w:p>
        </w:tc>
        <w:tc>
          <w:tcPr>
            <w:tcW w:w="1280" w:type="dxa"/>
            <w:tcBorders>
              <w:top w:val="nil"/>
              <w:left w:val="nil"/>
              <w:bottom w:val="single" w:sz="4" w:space="0" w:color="auto"/>
              <w:right w:val="single" w:sz="4" w:space="0" w:color="auto"/>
            </w:tcBorders>
            <w:noWrap/>
            <w:vAlign w:val="center"/>
          </w:tcPr>
          <w:p w14:paraId="164EDEC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6,2</w:t>
            </w:r>
          </w:p>
        </w:tc>
        <w:tc>
          <w:tcPr>
            <w:tcW w:w="1491" w:type="dxa"/>
            <w:tcBorders>
              <w:top w:val="nil"/>
              <w:left w:val="nil"/>
              <w:bottom w:val="single" w:sz="4" w:space="0" w:color="auto"/>
              <w:right w:val="single" w:sz="4" w:space="0" w:color="auto"/>
            </w:tcBorders>
            <w:noWrap/>
            <w:vAlign w:val="center"/>
          </w:tcPr>
          <w:p w14:paraId="6AC461FC"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1,5</w:t>
            </w:r>
          </w:p>
        </w:tc>
      </w:tr>
      <w:tr w:rsidR="00304FCE" w:rsidRPr="00304FCE" w14:paraId="354DE5EC" w14:textId="77777777" w:rsidTr="00304FCE">
        <w:trPr>
          <w:trHeight w:val="208"/>
          <w:jc w:val="center"/>
        </w:trPr>
        <w:tc>
          <w:tcPr>
            <w:tcW w:w="297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2377012"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Kopā, t. sk.</w:t>
            </w:r>
          </w:p>
        </w:tc>
        <w:tc>
          <w:tcPr>
            <w:tcW w:w="1134" w:type="dxa"/>
            <w:tcBorders>
              <w:top w:val="single" w:sz="4" w:space="0" w:color="auto"/>
              <w:left w:val="nil"/>
              <w:bottom w:val="single" w:sz="4" w:space="0" w:color="auto"/>
              <w:right w:val="single" w:sz="4" w:space="0" w:color="auto"/>
            </w:tcBorders>
            <w:shd w:val="clear" w:color="auto" w:fill="F2F2F2"/>
            <w:noWrap/>
            <w:vAlign w:val="center"/>
            <w:hideMark/>
          </w:tcPr>
          <w:p w14:paraId="13D32C46"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57,5</w:t>
            </w:r>
          </w:p>
        </w:tc>
        <w:tc>
          <w:tcPr>
            <w:tcW w:w="1276" w:type="dxa"/>
            <w:tcBorders>
              <w:top w:val="single" w:sz="4" w:space="0" w:color="auto"/>
              <w:left w:val="nil"/>
              <w:bottom w:val="single" w:sz="4" w:space="0" w:color="auto"/>
              <w:right w:val="single" w:sz="4" w:space="0" w:color="auto"/>
            </w:tcBorders>
            <w:shd w:val="clear" w:color="auto" w:fill="F2F2F2"/>
            <w:noWrap/>
            <w:vAlign w:val="center"/>
            <w:hideMark/>
          </w:tcPr>
          <w:p w14:paraId="275622B8"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58,0</w:t>
            </w:r>
          </w:p>
        </w:tc>
        <w:tc>
          <w:tcPr>
            <w:tcW w:w="1198" w:type="dxa"/>
            <w:tcBorders>
              <w:top w:val="single" w:sz="4" w:space="0" w:color="auto"/>
              <w:left w:val="nil"/>
              <w:bottom w:val="single" w:sz="4" w:space="0" w:color="auto"/>
              <w:right w:val="single" w:sz="4" w:space="0" w:color="auto"/>
            </w:tcBorders>
            <w:shd w:val="clear" w:color="auto" w:fill="F2F2F2"/>
            <w:noWrap/>
            <w:vAlign w:val="center"/>
            <w:hideMark/>
          </w:tcPr>
          <w:p w14:paraId="2E7EA38B"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51,9</w:t>
            </w:r>
          </w:p>
        </w:tc>
        <w:tc>
          <w:tcPr>
            <w:tcW w:w="1280" w:type="dxa"/>
            <w:tcBorders>
              <w:top w:val="single" w:sz="4" w:space="0" w:color="auto"/>
              <w:left w:val="nil"/>
              <w:bottom w:val="single" w:sz="4" w:space="0" w:color="auto"/>
              <w:right w:val="single" w:sz="4" w:space="0" w:color="auto"/>
            </w:tcBorders>
            <w:shd w:val="clear" w:color="auto" w:fill="F2F2F2"/>
            <w:noWrap/>
            <w:vAlign w:val="center"/>
            <w:hideMark/>
          </w:tcPr>
          <w:p w14:paraId="4B54D5E6"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58,7</w:t>
            </w:r>
          </w:p>
        </w:tc>
        <w:tc>
          <w:tcPr>
            <w:tcW w:w="1491" w:type="dxa"/>
            <w:tcBorders>
              <w:top w:val="single" w:sz="4" w:space="0" w:color="auto"/>
              <w:left w:val="nil"/>
              <w:bottom w:val="single" w:sz="4" w:space="0" w:color="auto"/>
              <w:right w:val="single" w:sz="4" w:space="0" w:color="auto"/>
            </w:tcBorders>
            <w:shd w:val="clear" w:color="auto" w:fill="F2F2F2"/>
            <w:noWrap/>
            <w:vAlign w:val="center"/>
            <w:hideMark/>
          </w:tcPr>
          <w:p w14:paraId="109EC08F"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6,8</w:t>
            </w:r>
          </w:p>
        </w:tc>
      </w:tr>
      <w:tr w:rsidR="00304FCE" w:rsidRPr="00304FCE" w14:paraId="0510D5BD" w14:textId="77777777" w:rsidTr="001F20D9">
        <w:trPr>
          <w:trHeight w:val="208"/>
          <w:jc w:val="center"/>
        </w:trPr>
        <w:tc>
          <w:tcPr>
            <w:tcW w:w="2972" w:type="dxa"/>
            <w:tcBorders>
              <w:top w:val="single" w:sz="4" w:space="0" w:color="auto"/>
              <w:left w:val="single" w:sz="4" w:space="0" w:color="auto"/>
              <w:bottom w:val="single" w:sz="4" w:space="0" w:color="auto"/>
              <w:right w:val="single" w:sz="4" w:space="0" w:color="auto"/>
            </w:tcBorders>
            <w:noWrap/>
            <w:vAlign w:val="center"/>
          </w:tcPr>
          <w:p w14:paraId="087A5C83"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IIN</w:t>
            </w:r>
          </w:p>
        </w:tc>
        <w:tc>
          <w:tcPr>
            <w:tcW w:w="1134" w:type="dxa"/>
            <w:tcBorders>
              <w:top w:val="single" w:sz="4" w:space="0" w:color="auto"/>
              <w:left w:val="nil"/>
              <w:bottom w:val="single" w:sz="4" w:space="0" w:color="auto"/>
              <w:right w:val="single" w:sz="4" w:space="0" w:color="auto"/>
            </w:tcBorders>
            <w:noWrap/>
            <w:vAlign w:val="center"/>
          </w:tcPr>
          <w:p w14:paraId="593BD5E5"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12,4</w:t>
            </w:r>
          </w:p>
        </w:tc>
        <w:tc>
          <w:tcPr>
            <w:tcW w:w="1276" w:type="dxa"/>
            <w:tcBorders>
              <w:top w:val="single" w:sz="4" w:space="0" w:color="auto"/>
              <w:left w:val="nil"/>
              <w:bottom w:val="single" w:sz="4" w:space="0" w:color="auto"/>
              <w:right w:val="single" w:sz="4" w:space="0" w:color="auto"/>
            </w:tcBorders>
            <w:noWrap/>
            <w:vAlign w:val="center"/>
          </w:tcPr>
          <w:p w14:paraId="678996E5"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15,0</w:t>
            </w:r>
          </w:p>
        </w:tc>
        <w:tc>
          <w:tcPr>
            <w:tcW w:w="1198" w:type="dxa"/>
            <w:tcBorders>
              <w:top w:val="single" w:sz="4" w:space="0" w:color="auto"/>
              <w:left w:val="nil"/>
              <w:bottom w:val="single" w:sz="4" w:space="0" w:color="auto"/>
              <w:right w:val="single" w:sz="4" w:space="0" w:color="auto"/>
            </w:tcBorders>
            <w:noWrap/>
            <w:vAlign w:val="center"/>
          </w:tcPr>
          <w:p w14:paraId="246EADD4"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14,2</w:t>
            </w:r>
          </w:p>
        </w:tc>
        <w:tc>
          <w:tcPr>
            <w:tcW w:w="1280" w:type="dxa"/>
            <w:tcBorders>
              <w:top w:val="single" w:sz="4" w:space="0" w:color="auto"/>
              <w:left w:val="nil"/>
              <w:bottom w:val="single" w:sz="4" w:space="0" w:color="auto"/>
              <w:right w:val="single" w:sz="4" w:space="0" w:color="auto"/>
            </w:tcBorders>
            <w:noWrap/>
            <w:vAlign w:val="center"/>
          </w:tcPr>
          <w:p w14:paraId="450F614D"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15,6</w:t>
            </w:r>
          </w:p>
        </w:tc>
        <w:tc>
          <w:tcPr>
            <w:tcW w:w="1491" w:type="dxa"/>
            <w:tcBorders>
              <w:top w:val="single" w:sz="4" w:space="0" w:color="auto"/>
              <w:left w:val="nil"/>
              <w:bottom w:val="single" w:sz="4" w:space="0" w:color="auto"/>
              <w:right w:val="single" w:sz="4" w:space="0" w:color="auto"/>
            </w:tcBorders>
            <w:noWrap/>
            <w:vAlign w:val="center"/>
          </w:tcPr>
          <w:p w14:paraId="7A14A528"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1,4</w:t>
            </w:r>
          </w:p>
        </w:tc>
      </w:tr>
      <w:tr w:rsidR="00304FCE" w:rsidRPr="00304FCE" w14:paraId="47512640" w14:textId="77777777" w:rsidTr="001F20D9">
        <w:trPr>
          <w:trHeight w:val="45"/>
          <w:jc w:val="center"/>
        </w:trPr>
        <w:tc>
          <w:tcPr>
            <w:tcW w:w="2972" w:type="dxa"/>
            <w:tcBorders>
              <w:top w:val="single" w:sz="4" w:space="0" w:color="auto"/>
              <w:left w:val="single" w:sz="4" w:space="0" w:color="auto"/>
              <w:bottom w:val="single" w:sz="4" w:space="0" w:color="auto"/>
              <w:right w:val="single" w:sz="4" w:space="0" w:color="auto"/>
            </w:tcBorders>
            <w:noWrap/>
            <w:vAlign w:val="center"/>
          </w:tcPr>
          <w:p w14:paraId="71E45DD8" w14:textId="77777777" w:rsidR="00304FCE" w:rsidRPr="00304FCE" w:rsidRDefault="00304FCE" w:rsidP="00304FCE">
            <w:pPr>
              <w:spacing w:after="0" w:line="240" w:lineRule="auto"/>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i/>
                <w:iCs/>
                <w:color w:val="000000"/>
                <w:kern w:val="0"/>
                <w:sz w:val="16"/>
                <w:szCs w:val="16"/>
                <w14:ligatures w14:val="none"/>
              </w:rPr>
              <w:t>VSAOI</w:t>
            </w:r>
          </w:p>
        </w:tc>
        <w:tc>
          <w:tcPr>
            <w:tcW w:w="1134" w:type="dxa"/>
            <w:tcBorders>
              <w:top w:val="single" w:sz="4" w:space="0" w:color="auto"/>
              <w:left w:val="nil"/>
              <w:bottom w:val="single" w:sz="4" w:space="0" w:color="auto"/>
              <w:right w:val="single" w:sz="4" w:space="0" w:color="auto"/>
            </w:tcBorders>
            <w:noWrap/>
            <w:vAlign w:val="center"/>
          </w:tcPr>
          <w:p w14:paraId="60F10B6C"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23,4</w:t>
            </w:r>
          </w:p>
        </w:tc>
        <w:tc>
          <w:tcPr>
            <w:tcW w:w="1276" w:type="dxa"/>
            <w:tcBorders>
              <w:top w:val="single" w:sz="4" w:space="0" w:color="auto"/>
              <w:left w:val="nil"/>
              <w:bottom w:val="single" w:sz="4" w:space="0" w:color="auto"/>
              <w:right w:val="single" w:sz="4" w:space="0" w:color="auto"/>
            </w:tcBorders>
            <w:noWrap/>
            <w:vAlign w:val="center"/>
          </w:tcPr>
          <w:p w14:paraId="1A501411"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24,3</w:t>
            </w:r>
          </w:p>
        </w:tc>
        <w:tc>
          <w:tcPr>
            <w:tcW w:w="1198" w:type="dxa"/>
            <w:tcBorders>
              <w:top w:val="single" w:sz="4" w:space="0" w:color="auto"/>
              <w:left w:val="nil"/>
              <w:bottom w:val="single" w:sz="4" w:space="0" w:color="auto"/>
              <w:right w:val="single" w:sz="4" w:space="0" w:color="auto"/>
            </w:tcBorders>
            <w:noWrap/>
            <w:vAlign w:val="center"/>
          </w:tcPr>
          <w:p w14:paraId="0D1E7DE3"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21,4</w:t>
            </w:r>
          </w:p>
        </w:tc>
        <w:tc>
          <w:tcPr>
            <w:tcW w:w="1280" w:type="dxa"/>
            <w:tcBorders>
              <w:top w:val="single" w:sz="4" w:space="0" w:color="auto"/>
              <w:left w:val="nil"/>
              <w:bottom w:val="single" w:sz="4" w:space="0" w:color="auto"/>
              <w:right w:val="single" w:sz="4" w:space="0" w:color="auto"/>
            </w:tcBorders>
            <w:noWrap/>
            <w:vAlign w:val="center"/>
          </w:tcPr>
          <w:p w14:paraId="65D0194C"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25,4</w:t>
            </w:r>
          </w:p>
        </w:tc>
        <w:tc>
          <w:tcPr>
            <w:tcW w:w="1491" w:type="dxa"/>
            <w:tcBorders>
              <w:top w:val="single" w:sz="4" w:space="0" w:color="auto"/>
              <w:left w:val="nil"/>
              <w:bottom w:val="single" w:sz="4" w:space="0" w:color="auto"/>
              <w:right w:val="single" w:sz="4" w:space="0" w:color="auto"/>
            </w:tcBorders>
            <w:noWrap/>
            <w:vAlign w:val="center"/>
          </w:tcPr>
          <w:p w14:paraId="7B675C69" w14:textId="77777777" w:rsidR="00304FCE" w:rsidRPr="00304FCE" w:rsidRDefault="00304FCE" w:rsidP="00304FCE">
            <w:pPr>
              <w:spacing w:after="0" w:line="240" w:lineRule="auto"/>
              <w:jc w:val="right"/>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i/>
                <w:iCs/>
                <w:color w:val="000000"/>
                <w:kern w:val="0"/>
                <w:sz w:val="16"/>
                <w:szCs w:val="16"/>
                <w14:ligatures w14:val="none"/>
              </w:rPr>
              <w:t>4,0</w:t>
            </w:r>
          </w:p>
        </w:tc>
      </w:tr>
    </w:tbl>
    <w:p w14:paraId="0F3533B4" w14:textId="77777777" w:rsidR="00304FCE" w:rsidRPr="00304FCE" w:rsidRDefault="00304FCE" w:rsidP="00304FCE">
      <w:pPr>
        <w:spacing w:after="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Būvniecības nozares nodokļu maksātājiem uz 2024. gada 1. janvāri darba spēka nodokļu parāda īpatsvars no kopējā parāda ir ap 70 % (VSAOI – 43,3 % un IIN – 26,6 %).</w:t>
      </w:r>
    </w:p>
    <w:p w14:paraId="070D3AB0" w14:textId="77777777" w:rsidR="00304FCE" w:rsidRPr="00304FCE" w:rsidRDefault="00304FCE" w:rsidP="00304FCE">
      <w:pPr>
        <w:spacing w:after="120" w:line="240" w:lineRule="auto"/>
        <w:ind w:firstLine="709"/>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Analizējot būvniecības nozares nodokļu maksātājus pēc pamatdarbības veidiem, secināms, ka 2024. gada 1. janvārī lielākās parādu kopsummas bija nodokļu maksātājiem, kuru pamatdarbības veids ir ēku būvniecība (41,7 % no kopējās parādu summas) un specializētie būvdarbi (39,4 % no kopējās parādu summas) (6. tabula).</w:t>
      </w:r>
    </w:p>
    <w:p w14:paraId="2191318E" w14:textId="77777777" w:rsidR="00304FCE" w:rsidRPr="00304FCE" w:rsidRDefault="00304FCE" w:rsidP="00304FCE">
      <w:pPr>
        <w:spacing w:after="0" w:line="240" w:lineRule="auto"/>
        <w:rPr>
          <w:rFonts w:ascii="Times New Roman" w:eastAsia="Times New Roman" w:hAnsi="Times New Roman" w:cs="Times New Roman"/>
          <w:i/>
          <w:iCs/>
          <w:color w:val="000000"/>
          <w:kern w:val="0"/>
          <w14:ligatures w14:val="none"/>
        </w:rPr>
      </w:pPr>
      <w:r w:rsidRPr="00304FCE">
        <w:rPr>
          <w:rFonts w:ascii="Times New Roman" w:eastAsia="Times New Roman" w:hAnsi="Times New Roman" w:cs="Times New Roman"/>
          <w:i/>
          <w:iCs/>
          <w:color w:val="000000"/>
          <w:kern w:val="0"/>
          <w14:ligatures w14:val="none"/>
        </w:rPr>
        <w:t>6. tabula. Informācija par parādiem būvniecības nozares nodokļu maksātājiem, milj. EUR</w:t>
      </w:r>
    </w:p>
    <w:tbl>
      <w:tblPr>
        <w:tblW w:w="9351" w:type="dxa"/>
        <w:jc w:val="center"/>
        <w:tblLook w:val="04A0" w:firstRow="1" w:lastRow="0" w:firstColumn="1" w:lastColumn="0" w:noHBand="0" w:noVBand="1"/>
      </w:tblPr>
      <w:tblGrid>
        <w:gridCol w:w="1416"/>
        <w:gridCol w:w="1562"/>
        <w:gridCol w:w="2273"/>
        <w:gridCol w:w="2446"/>
        <w:gridCol w:w="1654"/>
      </w:tblGrid>
      <w:tr w:rsidR="00304FCE" w:rsidRPr="00304FCE" w14:paraId="71E9CA03" w14:textId="77777777" w:rsidTr="00304FCE">
        <w:trPr>
          <w:trHeight w:val="80"/>
          <w:tblHeader/>
          <w:jc w:val="center"/>
        </w:trPr>
        <w:tc>
          <w:tcPr>
            <w:tcW w:w="141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A26D03A"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Periods</w:t>
            </w:r>
          </w:p>
        </w:tc>
        <w:tc>
          <w:tcPr>
            <w:tcW w:w="1562" w:type="dxa"/>
            <w:vMerge w:val="restart"/>
            <w:tcBorders>
              <w:top w:val="single" w:sz="4" w:space="0" w:color="auto"/>
              <w:left w:val="nil"/>
              <w:bottom w:val="single" w:sz="4" w:space="0" w:color="000000"/>
              <w:right w:val="nil"/>
            </w:tcBorders>
            <w:shd w:val="clear" w:color="auto" w:fill="D9D9D9"/>
            <w:noWrap/>
            <w:vAlign w:val="center"/>
            <w:hideMark/>
          </w:tcPr>
          <w:p w14:paraId="1E0F3164"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Kopā</w:t>
            </w:r>
          </w:p>
        </w:tc>
        <w:tc>
          <w:tcPr>
            <w:tcW w:w="6373"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7E68785"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tai skaitā</w:t>
            </w:r>
          </w:p>
        </w:tc>
      </w:tr>
      <w:tr w:rsidR="00304FCE" w:rsidRPr="00304FCE" w14:paraId="331D944F" w14:textId="77777777" w:rsidTr="00304FCE">
        <w:trPr>
          <w:trHeight w:val="259"/>
          <w:tblHeader/>
          <w:jc w:val="center"/>
        </w:trPr>
        <w:tc>
          <w:tcPr>
            <w:tcW w:w="141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0F7C6FB" w14:textId="77777777" w:rsidR="00304FCE" w:rsidRPr="00304FCE" w:rsidRDefault="00304FCE" w:rsidP="00304FCE">
            <w:pPr>
              <w:spacing w:after="0" w:line="276" w:lineRule="auto"/>
              <w:rPr>
                <w:rFonts w:ascii="Times New Roman" w:eastAsia="Times New Roman" w:hAnsi="Times New Roman" w:cs="Times New Roman"/>
                <w:b/>
                <w:bCs/>
                <w:color w:val="000000"/>
                <w:kern w:val="0"/>
                <w:sz w:val="16"/>
                <w:szCs w:val="16"/>
                <w14:ligatures w14:val="none"/>
              </w:rPr>
            </w:pPr>
          </w:p>
        </w:tc>
        <w:tc>
          <w:tcPr>
            <w:tcW w:w="1562" w:type="dxa"/>
            <w:vMerge/>
            <w:tcBorders>
              <w:top w:val="single" w:sz="4" w:space="0" w:color="auto"/>
              <w:left w:val="nil"/>
              <w:bottom w:val="single" w:sz="4" w:space="0" w:color="000000"/>
              <w:right w:val="nil"/>
            </w:tcBorders>
            <w:shd w:val="clear" w:color="auto" w:fill="D9D9D9"/>
            <w:vAlign w:val="center"/>
            <w:hideMark/>
          </w:tcPr>
          <w:p w14:paraId="2C99689F" w14:textId="77777777" w:rsidR="00304FCE" w:rsidRPr="00304FCE" w:rsidRDefault="00304FCE" w:rsidP="00304FCE">
            <w:pPr>
              <w:spacing w:after="0" w:line="276" w:lineRule="auto"/>
              <w:rPr>
                <w:rFonts w:ascii="Times New Roman" w:eastAsia="Times New Roman" w:hAnsi="Times New Roman" w:cs="Times New Roman"/>
                <w:b/>
                <w:bCs/>
                <w:color w:val="000000"/>
                <w:kern w:val="0"/>
                <w:sz w:val="16"/>
                <w:szCs w:val="16"/>
                <w14:ligatures w14:val="none"/>
              </w:rPr>
            </w:pPr>
          </w:p>
        </w:tc>
        <w:tc>
          <w:tcPr>
            <w:tcW w:w="2273" w:type="dxa"/>
            <w:tcBorders>
              <w:top w:val="nil"/>
              <w:left w:val="single" w:sz="4" w:space="0" w:color="auto"/>
              <w:bottom w:val="single" w:sz="4" w:space="0" w:color="auto"/>
              <w:right w:val="single" w:sz="4" w:space="0" w:color="auto"/>
            </w:tcBorders>
            <w:shd w:val="clear" w:color="auto" w:fill="D9D9D9"/>
            <w:vAlign w:val="center"/>
            <w:hideMark/>
          </w:tcPr>
          <w:p w14:paraId="144F62A6"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Aktuālie parādi</w:t>
            </w:r>
          </w:p>
        </w:tc>
        <w:tc>
          <w:tcPr>
            <w:tcW w:w="2446" w:type="dxa"/>
            <w:tcBorders>
              <w:top w:val="nil"/>
              <w:left w:val="nil"/>
              <w:bottom w:val="single" w:sz="4" w:space="0" w:color="auto"/>
              <w:right w:val="single" w:sz="4" w:space="0" w:color="auto"/>
            </w:tcBorders>
            <w:shd w:val="clear" w:color="auto" w:fill="D9D9D9"/>
            <w:vAlign w:val="center"/>
            <w:hideMark/>
          </w:tcPr>
          <w:p w14:paraId="44882756"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Termiņa pagarinājumu atlikums</w:t>
            </w:r>
          </w:p>
        </w:tc>
        <w:tc>
          <w:tcPr>
            <w:tcW w:w="1654" w:type="dxa"/>
            <w:tcBorders>
              <w:top w:val="nil"/>
              <w:left w:val="nil"/>
              <w:bottom w:val="single" w:sz="4" w:space="0" w:color="auto"/>
              <w:right w:val="single" w:sz="4" w:space="0" w:color="auto"/>
            </w:tcBorders>
            <w:shd w:val="clear" w:color="auto" w:fill="D9D9D9"/>
            <w:vAlign w:val="center"/>
            <w:hideMark/>
          </w:tcPr>
          <w:p w14:paraId="3659EE73" w14:textId="77777777" w:rsidR="00304FCE" w:rsidRPr="00304FCE" w:rsidRDefault="00304FCE" w:rsidP="00304FCE">
            <w:pPr>
              <w:spacing w:after="0" w:line="240" w:lineRule="auto"/>
              <w:jc w:val="center"/>
              <w:rPr>
                <w:rFonts w:ascii="Times New Roman" w:eastAsia="Times New Roman" w:hAnsi="Times New Roman" w:cs="Times New Roman"/>
                <w:b/>
                <w:bCs/>
                <w:color w:val="000000"/>
                <w:kern w:val="0"/>
                <w:sz w:val="16"/>
                <w:szCs w:val="16"/>
                <w14:ligatures w14:val="none"/>
              </w:rPr>
            </w:pPr>
            <w:r w:rsidRPr="00304FCE">
              <w:rPr>
                <w:rFonts w:ascii="Times New Roman" w:eastAsia="Times New Roman" w:hAnsi="Times New Roman" w:cs="Times New Roman"/>
                <w:b/>
                <w:bCs/>
                <w:color w:val="000000"/>
                <w:kern w:val="0"/>
                <w:sz w:val="16"/>
                <w:szCs w:val="16"/>
                <w14:ligatures w14:val="none"/>
              </w:rPr>
              <w:t>Apturētie parādi</w:t>
            </w:r>
          </w:p>
        </w:tc>
      </w:tr>
      <w:tr w:rsidR="00304FCE" w:rsidRPr="00304FCE" w14:paraId="00E4CD40" w14:textId="77777777" w:rsidTr="001F20D9">
        <w:trPr>
          <w:trHeight w:val="53"/>
          <w:jc w:val="center"/>
        </w:trPr>
        <w:tc>
          <w:tcPr>
            <w:tcW w:w="9351"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0CF6F12"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Ēku būvniecība (NACE 2.red. kods 41)</w:t>
            </w:r>
          </w:p>
        </w:tc>
      </w:tr>
      <w:tr w:rsidR="00304FCE" w:rsidRPr="00304FCE" w14:paraId="300EF25D"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64A2BD34"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01.01.2021.</w:t>
            </w:r>
          </w:p>
        </w:tc>
        <w:tc>
          <w:tcPr>
            <w:tcW w:w="1562" w:type="dxa"/>
            <w:tcBorders>
              <w:top w:val="nil"/>
              <w:left w:val="nil"/>
              <w:bottom w:val="single" w:sz="4" w:space="0" w:color="auto"/>
              <w:right w:val="single" w:sz="4" w:space="0" w:color="auto"/>
            </w:tcBorders>
            <w:noWrap/>
            <w:vAlign w:val="center"/>
            <w:hideMark/>
          </w:tcPr>
          <w:p w14:paraId="5241737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23,5</w:t>
            </w:r>
          </w:p>
        </w:tc>
        <w:tc>
          <w:tcPr>
            <w:tcW w:w="2273" w:type="dxa"/>
            <w:tcBorders>
              <w:top w:val="nil"/>
              <w:left w:val="nil"/>
              <w:bottom w:val="single" w:sz="4" w:space="0" w:color="auto"/>
              <w:right w:val="single" w:sz="4" w:space="0" w:color="auto"/>
            </w:tcBorders>
            <w:noWrap/>
            <w:vAlign w:val="center"/>
            <w:hideMark/>
          </w:tcPr>
          <w:p w14:paraId="33F89AE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14,1</w:t>
            </w:r>
          </w:p>
        </w:tc>
        <w:tc>
          <w:tcPr>
            <w:tcW w:w="2446" w:type="dxa"/>
            <w:tcBorders>
              <w:top w:val="nil"/>
              <w:left w:val="nil"/>
              <w:bottom w:val="single" w:sz="4" w:space="0" w:color="auto"/>
              <w:right w:val="single" w:sz="4" w:space="0" w:color="auto"/>
            </w:tcBorders>
            <w:noWrap/>
            <w:vAlign w:val="center"/>
            <w:hideMark/>
          </w:tcPr>
          <w:p w14:paraId="635AE8C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w:t>
            </w:r>
          </w:p>
        </w:tc>
        <w:tc>
          <w:tcPr>
            <w:tcW w:w="1654" w:type="dxa"/>
            <w:tcBorders>
              <w:top w:val="nil"/>
              <w:left w:val="nil"/>
              <w:bottom w:val="single" w:sz="4" w:space="0" w:color="auto"/>
              <w:right w:val="single" w:sz="4" w:space="0" w:color="auto"/>
            </w:tcBorders>
            <w:noWrap/>
            <w:vAlign w:val="center"/>
            <w:hideMark/>
          </w:tcPr>
          <w:p w14:paraId="31A207B8"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7,5</w:t>
            </w:r>
          </w:p>
        </w:tc>
      </w:tr>
      <w:tr w:rsidR="00304FCE" w:rsidRPr="00304FCE" w14:paraId="05B11D5F"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4874AF6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01.01.2022.</w:t>
            </w:r>
          </w:p>
        </w:tc>
        <w:tc>
          <w:tcPr>
            <w:tcW w:w="1562" w:type="dxa"/>
            <w:tcBorders>
              <w:top w:val="nil"/>
              <w:left w:val="nil"/>
              <w:bottom w:val="single" w:sz="4" w:space="0" w:color="auto"/>
              <w:right w:val="single" w:sz="4" w:space="0" w:color="auto"/>
            </w:tcBorders>
            <w:noWrap/>
            <w:vAlign w:val="center"/>
            <w:hideMark/>
          </w:tcPr>
          <w:p w14:paraId="3F7ADA0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23,9</w:t>
            </w:r>
          </w:p>
        </w:tc>
        <w:tc>
          <w:tcPr>
            <w:tcW w:w="2273" w:type="dxa"/>
            <w:tcBorders>
              <w:top w:val="nil"/>
              <w:left w:val="nil"/>
              <w:bottom w:val="single" w:sz="4" w:space="0" w:color="auto"/>
              <w:right w:val="single" w:sz="4" w:space="0" w:color="auto"/>
            </w:tcBorders>
            <w:noWrap/>
            <w:vAlign w:val="center"/>
            <w:hideMark/>
          </w:tcPr>
          <w:p w14:paraId="670B8B9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14,8</w:t>
            </w:r>
          </w:p>
        </w:tc>
        <w:tc>
          <w:tcPr>
            <w:tcW w:w="2446" w:type="dxa"/>
            <w:tcBorders>
              <w:top w:val="nil"/>
              <w:left w:val="nil"/>
              <w:bottom w:val="single" w:sz="4" w:space="0" w:color="auto"/>
              <w:right w:val="single" w:sz="4" w:space="0" w:color="auto"/>
            </w:tcBorders>
            <w:noWrap/>
            <w:vAlign w:val="center"/>
            <w:hideMark/>
          </w:tcPr>
          <w:p w14:paraId="40F8325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w:t>
            </w:r>
          </w:p>
        </w:tc>
        <w:tc>
          <w:tcPr>
            <w:tcW w:w="1654" w:type="dxa"/>
            <w:tcBorders>
              <w:top w:val="nil"/>
              <w:left w:val="nil"/>
              <w:bottom w:val="single" w:sz="4" w:space="0" w:color="auto"/>
              <w:right w:val="single" w:sz="4" w:space="0" w:color="auto"/>
            </w:tcBorders>
            <w:noWrap/>
            <w:vAlign w:val="center"/>
            <w:hideMark/>
          </w:tcPr>
          <w:p w14:paraId="0CB137A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8,0</w:t>
            </w:r>
          </w:p>
        </w:tc>
      </w:tr>
      <w:tr w:rsidR="00304FCE" w:rsidRPr="00304FCE" w14:paraId="2B419F74"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76C08A38"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01.01.2023.</w:t>
            </w:r>
          </w:p>
        </w:tc>
        <w:tc>
          <w:tcPr>
            <w:tcW w:w="1562" w:type="dxa"/>
            <w:tcBorders>
              <w:top w:val="nil"/>
              <w:left w:val="nil"/>
              <w:bottom w:val="single" w:sz="4" w:space="0" w:color="auto"/>
              <w:right w:val="single" w:sz="4" w:space="0" w:color="auto"/>
            </w:tcBorders>
            <w:noWrap/>
            <w:vAlign w:val="center"/>
            <w:hideMark/>
          </w:tcPr>
          <w:p w14:paraId="538375D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22,2</w:t>
            </w:r>
          </w:p>
        </w:tc>
        <w:tc>
          <w:tcPr>
            <w:tcW w:w="2273" w:type="dxa"/>
            <w:tcBorders>
              <w:top w:val="nil"/>
              <w:left w:val="nil"/>
              <w:bottom w:val="single" w:sz="4" w:space="0" w:color="auto"/>
              <w:right w:val="single" w:sz="4" w:space="0" w:color="auto"/>
            </w:tcBorders>
            <w:noWrap/>
            <w:vAlign w:val="center"/>
            <w:hideMark/>
          </w:tcPr>
          <w:p w14:paraId="754C775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14,7</w:t>
            </w:r>
          </w:p>
        </w:tc>
        <w:tc>
          <w:tcPr>
            <w:tcW w:w="2446" w:type="dxa"/>
            <w:tcBorders>
              <w:top w:val="nil"/>
              <w:left w:val="nil"/>
              <w:bottom w:val="single" w:sz="4" w:space="0" w:color="auto"/>
              <w:right w:val="single" w:sz="4" w:space="0" w:color="auto"/>
            </w:tcBorders>
            <w:noWrap/>
            <w:vAlign w:val="center"/>
            <w:hideMark/>
          </w:tcPr>
          <w:p w14:paraId="118C4F2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0,9</w:t>
            </w:r>
          </w:p>
        </w:tc>
        <w:tc>
          <w:tcPr>
            <w:tcW w:w="1654" w:type="dxa"/>
            <w:tcBorders>
              <w:top w:val="nil"/>
              <w:left w:val="nil"/>
              <w:bottom w:val="single" w:sz="4" w:space="0" w:color="auto"/>
              <w:right w:val="single" w:sz="4" w:space="0" w:color="auto"/>
            </w:tcBorders>
            <w:noWrap/>
            <w:vAlign w:val="center"/>
            <w:hideMark/>
          </w:tcPr>
          <w:p w14:paraId="4EC65F4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6,5</w:t>
            </w:r>
          </w:p>
        </w:tc>
      </w:tr>
      <w:tr w:rsidR="00304FCE" w:rsidRPr="00304FCE" w14:paraId="4C1799C6"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0F8EE043"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01.01.2024.</w:t>
            </w:r>
          </w:p>
        </w:tc>
        <w:tc>
          <w:tcPr>
            <w:tcW w:w="1562" w:type="dxa"/>
            <w:tcBorders>
              <w:top w:val="nil"/>
              <w:left w:val="nil"/>
              <w:bottom w:val="single" w:sz="4" w:space="0" w:color="auto"/>
              <w:right w:val="single" w:sz="4" w:space="0" w:color="auto"/>
            </w:tcBorders>
            <w:noWrap/>
            <w:vAlign w:val="center"/>
            <w:hideMark/>
          </w:tcPr>
          <w:p w14:paraId="773E29E0"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24,5</w:t>
            </w:r>
          </w:p>
        </w:tc>
        <w:tc>
          <w:tcPr>
            <w:tcW w:w="2273" w:type="dxa"/>
            <w:tcBorders>
              <w:top w:val="nil"/>
              <w:left w:val="nil"/>
              <w:bottom w:val="single" w:sz="4" w:space="0" w:color="auto"/>
              <w:right w:val="single" w:sz="4" w:space="0" w:color="auto"/>
            </w:tcBorders>
            <w:noWrap/>
            <w:vAlign w:val="center"/>
            <w:hideMark/>
          </w:tcPr>
          <w:p w14:paraId="26D977C7"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17,7</w:t>
            </w:r>
          </w:p>
        </w:tc>
        <w:tc>
          <w:tcPr>
            <w:tcW w:w="2446" w:type="dxa"/>
            <w:tcBorders>
              <w:top w:val="nil"/>
              <w:left w:val="nil"/>
              <w:bottom w:val="single" w:sz="4" w:space="0" w:color="auto"/>
              <w:right w:val="single" w:sz="4" w:space="0" w:color="auto"/>
            </w:tcBorders>
            <w:noWrap/>
            <w:vAlign w:val="center"/>
            <w:hideMark/>
          </w:tcPr>
          <w:p w14:paraId="7FD4DB7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0,7</w:t>
            </w:r>
          </w:p>
        </w:tc>
        <w:tc>
          <w:tcPr>
            <w:tcW w:w="1654" w:type="dxa"/>
            <w:tcBorders>
              <w:top w:val="nil"/>
              <w:left w:val="nil"/>
              <w:bottom w:val="single" w:sz="4" w:space="0" w:color="auto"/>
              <w:right w:val="single" w:sz="4" w:space="0" w:color="auto"/>
            </w:tcBorders>
            <w:noWrap/>
            <w:vAlign w:val="center"/>
            <w:hideMark/>
          </w:tcPr>
          <w:p w14:paraId="23F3693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6,1</w:t>
            </w:r>
          </w:p>
        </w:tc>
      </w:tr>
      <w:tr w:rsidR="00304FCE" w:rsidRPr="00304FCE" w14:paraId="1DED45AD" w14:textId="77777777" w:rsidTr="001F20D9">
        <w:trPr>
          <w:trHeight w:val="53"/>
          <w:jc w:val="center"/>
        </w:trPr>
        <w:tc>
          <w:tcPr>
            <w:tcW w:w="9351" w:type="dxa"/>
            <w:gridSpan w:val="5"/>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40732F60"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Inženierbūvniecība (NACE 2.red. kods 42)</w:t>
            </w:r>
          </w:p>
        </w:tc>
      </w:tr>
      <w:tr w:rsidR="00304FCE" w:rsidRPr="00304FCE" w14:paraId="39FAEC6C"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3296C27C"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01.01.2021.</w:t>
            </w:r>
          </w:p>
        </w:tc>
        <w:tc>
          <w:tcPr>
            <w:tcW w:w="1562" w:type="dxa"/>
            <w:tcBorders>
              <w:top w:val="nil"/>
              <w:left w:val="nil"/>
              <w:bottom w:val="single" w:sz="4" w:space="0" w:color="auto"/>
              <w:right w:val="single" w:sz="4" w:space="0" w:color="auto"/>
            </w:tcBorders>
            <w:noWrap/>
            <w:vAlign w:val="center"/>
            <w:hideMark/>
          </w:tcPr>
          <w:p w14:paraId="5CAFD13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11,1</w:t>
            </w:r>
          </w:p>
        </w:tc>
        <w:tc>
          <w:tcPr>
            <w:tcW w:w="2273" w:type="dxa"/>
            <w:tcBorders>
              <w:top w:val="nil"/>
              <w:left w:val="nil"/>
              <w:bottom w:val="single" w:sz="4" w:space="0" w:color="auto"/>
              <w:right w:val="single" w:sz="4" w:space="0" w:color="auto"/>
            </w:tcBorders>
            <w:noWrap/>
            <w:vAlign w:val="center"/>
            <w:hideMark/>
          </w:tcPr>
          <w:p w14:paraId="5FF9C70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4,9</w:t>
            </w:r>
          </w:p>
        </w:tc>
        <w:tc>
          <w:tcPr>
            <w:tcW w:w="2446" w:type="dxa"/>
            <w:tcBorders>
              <w:top w:val="nil"/>
              <w:left w:val="nil"/>
              <w:bottom w:val="single" w:sz="4" w:space="0" w:color="auto"/>
              <w:right w:val="single" w:sz="4" w:space="0" w:color="auto"/>
            </w:tcBorders>
            <w:noWrap/>
            <w:vAlign w:val="center"/>
            <w:hideMark/>
          </w:tcPr>
          <w:p w14:paraId="0C5448A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3,5</w:t>
            </w:r>
          </w:p>
        </w:tc>
        <w:tc>
          <w:tcPr>
            <w:tcW w:w="1654" w:type="dxa"/>
            <w:tcBorders>
              <w:top w:val="nil"/>
              <w:left w:val="nil"/>
              <w:bottom w:val="single" w:sz="4" w:space="0" w:color="auto"/>
              <w:right w:val="single" w:sz="4" w:space="0" w:color="auto"/>
            </w:tcBorders>
            <w:noWrap/>
            <w:vAlign w:val="center"/>
            <w:hideMark/>
          </w:tcPr>
          <w:p w14:paraId="18741FF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2,7</w:t>
            </w:r>
          </w:p>
        </w:tc>
      </w:tr>
      <w:tr w:rsidR="00304FCE" w:rsidRPr="00304FCE" w14:paraId="033F6B01"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6A4CACB8"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01.01.2022.</w:t>
            </w:r>
          </w:p>
        </w:tc>
        <w:tc>
          <w:tcPr>
            <w:tcW w:w="1562" w:type="dxa"/>
            <w:tcBorders>
              <w:top w:val="nil"/>
              <w:left w:val="nil"/>
              <w:bottom w:val="single" w:sz="4" w:space="0" w:color="auto"/>
              <w:right w:val="single" w:sz="4" w:space="0" w:color="auto"/>
            </w:tcBorders>
            <w:noWrap/>
            <w:vAlign w:val="center"/>
            <w:hideMark/>
          </w:tcPr>
          <w:p w14:paraId="1A8B059C"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12,2</w:t>
            </w:r>
          </w:p>
        </w:tc>
        <w:tc>
          <w:tcPr>
            <w:tcW w:w="2273" w:type="dxa"/>
            <w:tcBorders>
              <w:top w:val="nil"/>
              <w:left w:val="nil"/>
              <w:bottom w:val="single" w:sz="4" w:space="0" w:color="auto"/>
              <w:right w:val="single" w:sz="4" w:space="0" w:color="auto"/>
            </w:tcBorders>
            <w:noWrap/>
            <w:vAlign w:val="center"/>
            <w:hideMark/>
          </w:tcPr>
          <w:p w14:paraId="6262E15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3,1</w:t>
            </w:r>
          </w:p>
        </w:tc>
        <w:tc>
          <w:tcPr>
            <w:tcW w:w="2446" w:type="dxa"/>
            <w:tcBorders>
              <w:top w:val="nil"/>
              <w:left w:val="nil"/>
              <w:bottom w:val="single" w:sz="4" w:space="0" w:color="auto"/>
              <w:right w:val="single" w:sz="4" w:space="0" w:color="auto"/>
            </w:tcBorders>
            <w:noWrap/>
            <w:vAlign w:val="center"/>
            <w:hideMark/>
          </w:tcPr>
          <w:p w14:paraId="066B1B13"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6,2</w:t>
            </w:r>
          </w:p>
        </w:tc>
        <w:tc>
          <w:tcPr>
            <w:tcW w:w="1654" w:type="dxa"/>
            <w:tcBorders>
              <w:top w:val="nil"/>
              <w:left w:val="nil"/>
              <w:bottom w:val="single" w:sz="4" w:space="0" w:color="auto"/>
              <w:right w:val="single" w:sz="4" w:space="0" w:color="auto"/>
            </w:tcBorders>
            <w:noWrap/>
            <w:vAlign w:val="center"/>
            <w:hideMark/>
          </w:tcPr>
          <w:p w14:paraId="55FA6D49"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2,9</w:t>
            </w:r>
          </w:p>
        </w:tc>
      </w:tr>
      <w:tr w:rsidR="00304FCE" w:rsidRPr="00304FCE" w14:paraId="6B533A3B" w14:textId="77777777" w:rsidTr="001F20D9">
        <w:trPr>
          <w:trHeight w:val="58"/>
          <w:jc w:val="center"/>
        </w:trPr>
        <w:tc>
          <w:tcPr>
            <w:tcW w:w="1416" w:type="dxa"/>
            <w:tcBorders>
              <w:top w:val="nil"/>
              <w:left w:val="single" w:sz="4" w:space="0" w:color="auto"/>
              <w:bottom w:val="single" w:sz="4" w:space="0" w:color="auto"/>
              <w:right w:val="single" w:sz="4" w:space="0" w:color="auto"/>
            </w:tcBorders>
            <w:noWrap/>
            <w:vAlign w:val="center"/>
            <w:hideMark/>
          </w:tcPr>
          <w:p w14:paraId="32F8C4E7"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01.01.2023.</w:t>
            </w:r>
          </w:p>
        </w:tc>
        <w:tc>
          <w:tcPr>
            <w:tcW w:w="1562" w:type="dxa"/>
            <w:tcBorders>
              <w:top w:val="nil"/>
              <w:left w:val="nil"/>
              <w:bottom w:val="single" w:sz="4" w:space="0" w:color="auto"/>
              <w:right w:val="single" w:sz="4" w:space="0" w:color="auto"/>
            </w:tcBorders>
            <w:noWrap/>
            <w:vAlign w:val="center"/>
            <w:hideMark/>
          </w:tcPr>
          <w:p w14:paraId="0CA6ACF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7,8</w:t>
            </w:r>
          </w:p>
        </w:tc>
        <w:tc>
          <w:tcPr>
            <w:tcW w:w="2273" w:type="dxa"/>
            <w:tcBorders>
              <w:top w:val="nil"/>
              <w:left w:val="nil"/>
              <w:bottom w:val="single" w:sz="4" w:space="0" w:color="auto"/>
              <w:right w:val="single" w:sz="4" w:space="0" w:color="auto"/>
            </w:tcBorders>
            <w:noWrap/>
            <w:vAlign w:val="center"/>
            <w:hideMark/>
          </w:tcPr>
          <w:p w14:paraId="7146181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3,6</w:t>
            </w:r>
          </w:p>
        </w:tc>
        <w:tc>
          <w:tcPr>
            <w:tcW w:w="2446" w:type="dxa"/>
            <w:tcBorders>
              <w:top w:val="nil"/>
              <w:left w:val="nil"/>
              <w:bottom w:val="single" w:sz="4" w:space="0" w:color="auto"/>
              <w:right w:val="single" w:sz="4" w:space="0" w:color="auto"/>
            </w:tcBorders>
            <w:noWrap/>
            <w:vAlign w:val="center"/>
            <w:hideMark/>
          </w:tcPr>
          <w:p w14:paraId="2916B8B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2,8</w:t>
            </w:r>
          </w:p>
        </w:tc>
        <w:tc>
          <w:tcPr>
            <w:tcW w:w="1654" w:type="dxa"/>
            <w:tcBorders>
              <w:top w:val="nil"/>
              <w:left w:val="nil"/>
              <w:bottom w:val="single" w:sz="4" w:space="0" w:color="auto"/>
              <w:right w:val="single" w:sz="4" w:space="0" w:color="auto"/>
            </w:tcBorders>
            <w:noWrap/>
            <w:vAlign w:val="center"/>
            <w:hideMark/>
          </w:tcPr>
          <w:p w14:paraId="67BA261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1,4</w:t>
            </w:r>
          </w:p>
        </w:tc>
      </w:tr>
      <w:tr w:rsidR="00304FCE" w:rsidRPr="00304FCE" w14:paraId="68F1D107"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72EDE463"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01.01.2024.</w:t>
            </w:r>
          </w:p>
        </w:tc>
        <w:tc>
          <w:tcPr>
            <w:tcW w:w="1562" w:type="dxa"/>
            <w:tcBorders>
              <w:top w:val="nil"/>
              <w:left w:val="nil"/>
              <w:bottom w:val="single" w:sz="4" w:space="0" w:color="auto"/>
              <w:right w:val="single" w:sz="4" w:space="0" w:color="auto"/>
            </w:tcBorders>
            <w:noWrap/>
            <w:vAlign w:val="center"/>
            <w:hideMark/>
          </w:tcPr>
          <w:p w14:paraId="2B5FAD0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11,1</w:t>
            </w:r>
          </w:p>
        </w:tc>
        <w:tc>
          <w:tcPr>
            <w:tcW w:w="2273" w:type="dxa"/>
            <w:tcBorders>
              <w:top w:val="nil"/>
              <w:left w:val="nil"/>
              <w:bottom w:val="single" w:sz="4" w:space="0" w:color="auto"/>
              <w:right w:val="single" w:sz="4" w:space="0" w:color="auto"/>
            </w:tcBorders>
            <w:noWrap/>
            <w:vAlign w:val="center"/>
            <w:hideMark/>
          </w:tcPr>
          <w:p w14:paraId="107D407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5,4</w:t>
            </w:r>
          </w:p>
        </w:tc>
        <w:tc>
          <w:tcPr>
            <w:tcW w:w="2446" w:type="dxa"/>
            <w:tcBorders>
              <w:top w:val="nil"/>
              <w:left w:val="nil"/>
              <w:bottom w:val="single" w:sz="4" w:space="0" w:color="auto"/>
              <w:right w:val="single" w:sz="4" w:space="0" w:color="auto"/>
            </w:tcBorders>
            <w:noWrap/>
            <w:vAlign w:val="center"/>
            <w:hideMark/>
          </w:tcPr>
          <w:p w14:paraId="301E7F5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1,1</w:t>
            </w:r>
          </w:p>
        </w:tc>
        <w:tc>
          <w:tcPr>
            <w:tcW w:w="1654" w:type="dxa"/>
            <w:tcBorders>
              <w:top w:val="nil"/>
              <w:left w:val="nil"/>
              <w:bottom w:val="single" w:sz="4" w:space="0" w:color="auto"/>
              <w:right w:val="single" w:sz="4" w:space="0" w:color="auto"/>
            </w:tcBorders>
            <w:noWrap/>
            <w:vAlign w:val="center"/>
            <w:hideMark/>
          </w:tcPr>
          <w:p w14:paraId="1D08780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4,6</w:t>
            </w:r>
          </w:p>
        </w:tc>
      </w:tr>
      <w:tr w:rsidR="00304FCE" w:rsidRPr="00304FCE" w14:paraId="5C3F5F38" w14:textId="77777777" w:rsidTr="001F20D9">
        <w:trPr>
          <w:trHeight w:val="53"/>
          <w:jc w:val="center"/>
        </w:trPr>
        <w:tc>
          <w:tcPr>
            <w:tcW w:w="9351" w:type="dxa"/>
            <w:gridSpan w:val="5"/>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1FECD8A1"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Specializētie būvdarbi (NACE 2.red. kods 43)</w:t>
            </w:r>
          </w:p>
        </w:tc>
      </w:tr>
      <w:tr w:rsidR="00304FCE" w:rsidRPr="00304FCE" w14:paraId="76E20B0F"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0634D32B"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01.01.2021.</w:t>
            </w:r>
          </w:p>
        </w:tc>
        <w:tc>
          <w:tcPr>
            <w:tcW w:w="1562" w:type="dxa"/>
            <w:tcBorders>
              <w:top w:val="nil"/>
              <w:left w:val="nil"/>
              <w:bottom w:val="single" w:sz="4" w:space="0" w:color="auto"/>
              <w:right w:val="single" w:sz="4" w:space="0" w:color="auto"/>
            </w:tcBorders>
            <w:noWrap/>
            <w:vAlign w:val="center"/>
            <w:hideMark/>
          </w:tcPr>
          <w:p w14:paraId="3395DAB5"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22,8</w:t>
            </w:r>
          </w:p>
        </w:tc>
        <w:tc>
          <w:tcPr>
            <w:tcW w:w="2273" w:type="dxa"/>
            <w:tcBorders>
              <w:top w:val="nil"/>
              <w:left w:val="nil"/>
              <w:bottom w:val="single" w:sz="4" w:space="0" w:color="auto"/>
              <w:right w:val="single" w:sz="4" w:space="0" w:color="auto"/>
            </w:tcBorders>
            <w:noWrap/>
            <w:vAlign w:val="center"/>
            <w:hideMark/>
          </w:tcPr>
          <w:p w14:paraId="16F4338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16,3</w:t>
            </w:r>
          </w:p>
        </w:tc>
        <w:tc>
          <w:tcPr>
            <w:tcW w:w="2446" w:type="dxa"/>
            <w:tcBorders>
              <w:top w:val="nil"/>
              <w:left w:val="nil"/>
              <w:bottom w:val="single" w:sz="4" w:space="0" w:color="auto"/>
              <w:right w:val="single" w:sz="4" w:space="0" w:color="auto"/>
            </w:tcBorders>
            <w:noWrap/>
            <w:vAlign w:val="center"/>
            <w:hideMark/>
          </w:tcPr>
          <w:p w14:paraId="3169EA2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1,4</w:t>
            </w:r>
          </w:p>
        </w:tc>
        <w:tc>
          <w:tcPr>
            <w:tcW w:w="1654" w:type="dxa"/>
            <w:tcBorders>
              <w:top w:val="nil"/>
              <w:left w:val="nil"/>
              <w:bottom w:val="single" w:sz="4" w:space="0" w:color="auto"/>
              <w:right w:val="single" w:sz="4" w:space="0" w:color="auto"/>
            </w:tcBorders>
            <w:noWrap/>
            <w:vAlign w:val="center"/>
            <w:hideMark/>
          </w:tcPr>
          <w:p w14:paraId="4749D7A1"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5,1</w:t>
            </w:r>
          </w:p>
        </w:tc>
      </w:tr>
      <w:tr w:rsidR="00304FCE" w:rsidRPr="00304FCE" w14:paraId="26655FA9"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58CF3AE7"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01.01.2022.</w:t>
            </w:r>
          </w:p>
        </w:tc>
        <w:tc>
          <w:tcPr>
            <w:tcW w:w="1562" w:type="dxa"/>
            <w:tcBorders>
              <w:top w:val="nil"/>
              <w:left w:val="nil"/>
              <w:bottom w:val="single" w:sz="4" w:space="0" w:color="auto"/>
              <w:right w:val="single" w:sz="4" w:space="0" w:color="auto"/>
            </w:tcBorders>
            <w:noWrap/>
            <w:vAlign w:val="center"/>
            <w:hideMark/>
          </w:tcPr>
          <w:p w14:paraId="2113A4E2"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21,9</w:t>
            </w:r>
          </w:p>
        </w:tc>
        <w:tc>
          <w:tcPr>
            <w:tcW w:w="2273" w:type="dxa"/>
            <w:tcBorders>
              <w:top w:val="nil"/>
              <w:left w:val="nil"/>
              <w:bottom w:val="single" w:sz="4" w:space="0" w:color="auto"/>
              <w:right w:val="single" w:sz="4" w:space="0" w:color="auto"/>
            </w:tcBorders>
            <w:noWrap/>
            <w:vAlign w:val="center"/>
            <w:hideMark/>
          </w:tcPr>
          <w:p w14:paraId="09A93A5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17,6</w:t>
            </w:r>
          </w:p>
        </w:tc>
        <w:tc>
          <w:tcPr>
            <w:tcW w:w="2446" w:type="dxa"/>
            <w:tcBorders>
              <w:top w:val="nil"/>
              <w:left w:val="nil"/>
              <w:bottom w:val="single" w:sz="4" w:space="0" w:color="auto"/>
              <w:right w:val="single" w:sz="4" w:space="0" w:color="auto"/>
            </w:tcBorders>
            <w:noWrap/>
            <w:vAlign w:val="center"/>
            <w:hideMark/>
          </w:tcPr>
          <w:p w14:paraId="3C2FAC9D"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1,2</w:t>
            </w:r>
          </w:p>
        </w:tc>
        <w:tc>
          <w:tcPr>
            <w:tcW w:w="1654" w:type="dxa"/>
            <w:tcBorders>
              <w:top w:val="nil"/>
              <w:left w:val="nil"/>
              <w:bottom w:val="single" w:sz="4" w:space="0" w:color="auto"/>
              <w:right w:val="single" w:sz="4" w:space="0" w:color="auto"/>
            </w:tcBorders>
            <w:noWrap/>
            <w:vAlign w:val="center"/>
            <w:hideMark/>
          </w:tcPr>
          <w:p w14:paraId="0BFDE5CB"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3,0</w:t>
            </w:r>
          </w:p>
        </w:tc>
      </w:tr>
      <w:tr w:rsidR="00304FCE" w:rsidRPr="00304FCE" w14:paraId="3DC2A169"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1A1391BE"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01.01.2023.</w:t>
            </w:r>
          </w:p>
        </w:tc>
        <w:tc>
          <w:tcPr>
            <w:tcW w:w="1562" w:type="dxa"/>
            <w:tcBorders>
              <w:top w:val="nil"/>
              <w:left w:val="nil"/>
              <w:bottom w:val="single" w:sz="4" w:space="0" w:color="auto"/>
              <w:right w:val="single" w:sz="4" w:space="0" w:color="auto"/>
            </w:tcBorders>
            <w:noWrap/>
            <w:vAlign w:val="center"/>
            <w:hideMark/>
          </w:tcPr>
          <w:p w14:paraId="7BCAD41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22,0</w:t>
            </w:r>
          </w:p>
        </w:tc>
        <w:tc>
          <w:tcPr>
            <w:tcW w:w="2273" w:type="dxa"/>
            <w:tcBorders>
              <w:top w:val="nil"/>
              <w:left w:val="nil"/>
              <w:bottom w:val="single" w:sz="4" w:space="0" w:color="auto"/>
              <w:right w:val="single" w:sz="4" w:space="0" w:color="auto"/>
            </w:tcBorders>
            <w:noWrap/>
            <w:vAlign w:val="center"/>
            <w:hideMark/>
          </w:tcPr>
          <w:p w14:paraId="2F37DE7C"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18,3</w:t>
            </w:r>
          </w:p>
        </w:tc>
        <w:tc>
          <w:tcPr>
            <w:tcW w:w="2446" w:type="dxa"/>
            <w:tcBorders>
              <w:top w:val="nil"/>
              <w:left w:val="nil"/>
              <w:bottom w:val="single" w:sz="4" w:space="0" w:color="auto"/>
              <w:right w:val="single" w:sz="4" w:space="0" w:color="auto"/>
            </w:tcBorders>
            <w:noWrap/>
            <w:vAlign w:val="center"/>
            <w:hideMark/>
          </w:tcPr>
          <w:p w14:paraId="0D5F0A66"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1,1</w:t>
            </w:r>
          </w:p>
        </w:tc>
        <w:tc>
          <w:tcPr>
            <w:tcW w:w="1654" w:type="dxa"/>
            <w:tcBorders>
              <w:top w:val="nil"/>
              <w:left w:val="nil"/>
              <w:bottom w:val="single" w:sz="4" w:space="0" w:color="auto"/>
              <w:right w:val="single" w:sz="4" w:space="0" w:color="auto"/>
            </w:tcBorders>
            <w:noWrap/>
            <w:vAlign w:val="center"/>
            <w:hideMark/>
          </w:tcPr>
          <w:p w14:paraId="121EAC3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2,6</w:t>
            </w:r>
          </w:p>
        </w:tc>
      </w:tr>
      <w:tr w:rsidR="00304FCE" w:rsidRPr="00304FCE" w14:paraId="04528BFE" w14:textId="77777777" w:rsidTr="001F20D9">
        <w:trPr>
          <w:trHeight w:val="53"/>
          <w:jc w:val="center"/>
        </w:trPr>
        <w:tc>
          <w:tcPr>
            <w:tcW w:w="1416" w:type="dxa"/>
            <w:tcBorders>
              <w:top w:val="nil"/>
              <w:left w:val="single" w:sz="4" w:space="0" w:color="auto"/>
              <w:bottom w:val="single" w:sz="4" w:space="0" w:color="auto"/>
              <w:right w:val="single" w:sz="4" w:space="0" w:color="auto"/>
            </w:tcBorders>
            <w:noWrap/>
            <w:vAlign w:val="center"/>
            <w:hideMark/>
          </w:tcPr>
          <w:p w14:paraId="6EB71FA5" w14:textId="77777777" w:rsidR="00304FCE" w:rsidRPr="00304FCE" w:rsidRDefault="00304FCE" w:rsidP="00304FCE">
            <w:pPr>
              <w:spacing w:after="0" w:line="240" w:lineRule="auto"/>
              <w:jc w:val="center"/>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01.01.2024.</w:t>
            </w:r>
          </w:p>
        </w:tc>
        <w:tc>
          <w:tcPr>
            <w:tcW w:w="1562" w:type="dxa"/>
            <w:tcBorders>
              <w:top w:val="nil"/>
              <w:left w:val="nil"/>
              <w:bottom w:val="single" w:sz="4" w:space="0" w:color="auto"/>
              <w:right w:val="single" w:sz="4" w:space="0" w:color="auto"/>
            </w:tcBorders>
            <w:noWrap/>
            <w:vAlign w:val="center"/>
            <w:hideMark/>
          </w:tcPr>
          <w:p w14:paraId="0245E95E"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23,1</w:t>
            </w:r>
          </w:p>
        </w:tc>
        <w:tc>
          <w:tcPr>
            <w:tcW w:w="2273" w:type="dxa"/>
            <w:tcBorders>
              <w:top w:val="nil"/>
              <w:left w:val="nil"/>
              <w:bottom w:val="single" w:sz="4" w:space="0" w:color="auto"/>
              <w:right w:val="single" w:sz="4" w:space="0" w:color="auto"/>
            </w:tcBorders>
            <w:noWrap/>
            <w:vAlign w:val="center"/>
            <w:hideMark/>
          </w:tcPr>
          <w:p w14:paraId="4F166854"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19,6</w:t>
            </w:r>
          </w:p>
        </w:tc>
        <w:tc>
          <w:tcPr>
            <w:tcW w:w="2446" w:type="dxa"/>
            <w:tcBorders>
              <w:top w:val="nil"/>
              <w:left w:val="nil"/>
              <w:bottom w:val="single" w:sz="4" w:space="0" w:color="auto"/>
              <w:right w:val="single" w:sz="4" w:space="0" w:color="auto"/>
            </w:tcBorders>
            <w:noWrap/>
            <w:vAlign w:val="center"/>
            <w:hideMark/>
          </w:tcPr>
          <w:p w14:paraId="29AD4CAA"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0,5</w:t>
            </w:r>
          </w:p>
        </w:tc>
        <w:tc>
          <w:tcPr>
            <w:tcW w:w="1654" w:type="dxa"/>
            <w:tcBorders>
              <w:top w:val="nil"/>
              <w:left w:val="nil"/>
              <w:bottom w:val="single" w:sz="4" w:space="0" w:color="auto"/>
              <w:right w:val="single" w:sz="4" w:space="0" w:color="auto"/>
            </w:tcBorders>
            <w:noWrap/>
            <w:vAlign w:val="center"/>
            <w:hideMark/>
          </w:tcPr>
          <w:p w14:paraId="7862E0AF" w14:textId="77777777" w:rsidR="00304FCE" w:rsidRPr="00304FCE" w:rsidRDefault="00304FCE" w:rsidP="00304FCE">
            <w:pPr>
              <w:spacing w:after="0" w:line="240" w:lineRule="auto"/>
              <w:jc w:val="right"/>
              <w:rPr>
                <w:rFonts w:ascii="Times New Roman" w:eastAsia="Times New Roman" w:hAnsi="Times New Roman" w:cs="Times New Roman"/>
                <w:color w:val="000000"/>
                <w:kern w:val="0"/>
                <w:sz w:val="16"/>
                <w:szCs w:val="16"/>
                <w14:ligatures w14:val="none"/>
              </w:rPr>
            </w:pPr>
            <w:r w:rsidRPr="00304FCE">
              <w:rPr>
                <w:rFonts w:ascii="Times New Roman" w:eastAsia="Times New Roman" w:hAnsi="Times New Roman" w:cs="Times New Roman"/>
                <w:color w:val="000000"/>
                <w:kern w:val="0"/>
                <w:sz w:val="16"/>
                <w:szCs w:val="16"/>
                <w14:ligatures w14:val="none"/>
              </w:rPr>
              <w:t>3,0</w:t>
            </w:r>
          </w:p>
        </w:tc>
      </w:tr>
      <w:bookmarkEnd w:id="2"/>
    </w:tbl>
    <w:p w14:paraId="6DD150D5" w14:textId="77777777" w:rsidR="00304FCE" w:rsidRPr="00304FCE" w:rsidRDefault="00304FCE" w:rsidP="00304FCE">
      <w:pPr>
        <w:shd w:val="clear" w:color="auto" w:fill="FFFFFF"/>
        <w:spacing w:after="0" w:line="240" w:lineRule="auto"/>
        <w:ind w:firstLine="720"/>
        <w:rPr>
          <w:rFonts w:ascii="Times New Roman" w:eastAsia="Times New Roman" w:hAnsi="Times New Roman" w:cs="Times New Roman"/>
          <w:b/>
          <w:bCs/>
          <w:color w:val="000000"/>
          <w:kern w:val="0"/>
          <w:sz w:val="16"/>
          <w:szCs w:val="16"/>
          <w:lang w:eastAsia="lv-LV"/>
          <w14:ligatures w14:val="none"/>
        </w:rPr>
      </w:pPr>
    </w:p>
    <w:p w14:paraId="1216F91D" w14:textId="77777777" w:rsidR="00304FCE" w:rsidRPr="00304FCE" w:rsidRDefault="00304FCE" w:rsidP="00304FCE">
      <w:pPr>
        <w:spacing w:after="0" w:line="240" w:lineRule="auto"/>
        <w:ind w:firstLine="720"/>
        <w:jc w:val="both"/>
        <w:rPr>
          <w:rFonts w:ascii="Times New Roman" w:eastAsia="Calibri" w:hAnsi="Times New Roman" w:cs="Times New Roman"/>
          <w:color w:val="000000"/>
          <w:kern w:val="0"/>
          <w:sz w:val="24"/>
          <w:szCs w:val="24"/>
          <w14:ligatures w14:val="none"/>
        </w:rPr>
      </w:pPr>
      <w:r w:rsidRPr="00304FCE">
        <w:rPr>
          <w:rFonts w:ascii="Times New Roman" w:eastAsia="Calibri" w:hAnsi="Times New Roman" w:cs="Times New Roman"/>
          <w:color w:val="000000"/>
          <w:kern w:val="0"/>
          <w:sz w:val="24"/>
          <w:szCs w:val="24"/>
          <w14:ligatures w14:val="none"/>
        </w:rPr>
        <w:t>Vēršam uzmanību, ka, neskatoties uz kopēja parāda pieaugumu, parāda attiecībai pret VID administrētajiem kopbudžeta ieņēmumiem no būvniecības nozares nodokļu maksātājiem ir samazinājuma tendence (7. tabula).</w:t>
      </w:r>
    </w:p>
    <w:p w14:paraId="165F7939" w14:textId="77777777" w:rsidR="00304FCE" w:rsidRPr="00304FCE" w:rsidRDefault="00304FCE" w:rsidP="00304FCE">
      <w:pPr>
        <w:spacing w:after="0" w:line="240" w:lineRule="auto"/>
        <w:ind w:firstLine="720"/>
        <w:jc w:val="both"/>
        <w:rPr>
          <w:rFonts w:ascii="Times New Roman" w:eastAsia="Calibri" w:hAnsi="Times New Roman" w:cs="Times New Roman"/>
          <w:color w:val="000000"/>
          <w:kern w:val="0"/>
          <w:sz w:val="24"/>
          <w:szCs w:val="24"/>
          <w14:ligatures w14:val="none"/>
        </w:rPr>
      </w:pPr>
    </w:p>
    <w:p w14:paraId="67BA2F36" w14:textId="77777777" w:rsidR="00304FCE" w:rsidRPr="00304FCE" w:rsidRDefault="00304FCE" w:rsidP="00304FCE">
      <w:pPr>
        <w:spacing w:after="0" w:line="276" w:lineRule="auto"/>
        <w:rPr>
          <w:rFonts w:ascii="Times New Roman" w:eastAsia="Calibri" w:hAnsi="Times New Roman" w:cs="Times New Roman"/>
          <w:i/>
          <w:iCs/>
          <w:color w:val="000000"/>
          <w:kern w:val="0"/>
          <w14:ligatures w14:val="none"/>
        </w:rPr>
      </w:pPr>
      <w:r w:rsidRPr="00304FCE">
        <w:rPr>
          <w:rFonts w:ascii="Times New Roman" w:eastAsia="Calibri" w:hAnsi="Times New Roman" w:cs="Times New Roman"/>
          <w:i/>
          <w:iCs/>
          <w:color w:val="000000"/>
          <w:kern w:val="0"/>
          <w14:ligatures w14:val="none"/>
        </w:rPr>
        <w:t>7. tabula. VID administrētie kopbudžeta ieņēmumi no būvniecības nozares nodokļu maksātājiem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24"/>
        <w:gridCol w:w="2721"/>
        <w:gridCol w:w="2721"/>
        <w:gridCol w:w="2785"/>
      </w:tblGrid>
      <w:tr w:rsidR="00304FCE" w:rsidRPr="00304FCE" w14:paraId="5E1A0179" w14:textId="77777777" w:rsidTr="00304FCE">
        <w:trPr>
          <w:trHeight w:val="411"/>
        </w:trPr>
        <w:tc>
          <w:tcPr>
            <w:tcW w:w="1124" w:type="dxa"/>
            <w:shd w:val="clear" w:color="auto" w:fill="D9D9D9"/>
            <w:noWrap/>
            <w:tcMar>
              <w:top w:w="0" w:type="dxa"/>
              <w:left w:w="108" w:type="dxa"/>
              <w:bottom w:w="0" w:type="dxa"/>
              <w:right w:w="108" w:type="dxa"/>
            </w:tcMar>
            <w:vAlign w:val="center"/>
            <w:hideMark/>
          </w:tcPr>
          <w:p w14:paraId="6CB20A99" w14:textId="77777777" w:rsidR="00304FCE" w:rsidRPr="00304FCE" w:rsidRDefault="00304FCE" w:rsidP="00304FCE">
            <w:pPr>
              <w:spacing w:after="0" w:line="276" w:lineRule="auto"/>
              <w:jc w:val="center"/>
              <w:rPr>
                <w:rFonts w:ascii="Times New Roman" w:eastAsia="Calibri" w:hAnsi="Times New Roman" w:cs="Times New Roman"/>
                <w:b/>
                <w:bCs/>
                <w:color w:val="000000"/>
                <w:kern w:val="0"/>
                <w:sz w:val="16"/>
                <w:szCs w:val="16"/>
                <w:lang w:eastAsia="lv-LV"/>
                <w14:ligatures w14:val="none"/>
              </w:rPr>
            </w:pPr>
            <w:r w:rsidRPr="00304FCE">
              <w:rPr>
                <w:rFonts w:ascii="Times New Roman" w:eastAsia="Calibri" w:hAnsi="Times New Roman" w:cs="Times New Roman"/>
                <w:b/>
                <w:bCs/>
                <w:color w:val="000000"/>
                <w:kern w:val="0"/>
                <w:sz w:val="16"/>
                <w:szCs w:val="16"/>
                <w:lang w:eastAsia="lv-LV"/>
                <w14:ligatures w14:val="none"/>
              </w:rPr>
              <w:t>Gads</w:t>
            </w:r>
          </w:p>
        </w:tc>
        <w:tc>
          <w:tcPr>
            <w:tcW w:w="2721" w:type="dxa"/>
            <w:shd w:val="clear" w:color="auto" w:fill="D9D9D9"/>
            <w:noWrap/>
            <w:tcMar>
              <w:top w:w="0" w:type="dxa"/>
              <w:left w:w="108" w:type="dxa"/>
              <w:bottom w:w="0" w:type="dxa"/>
              <w:right w:w="108" w:type="dxa"/>
            </w:tcMar>
            <w:vAlign w:val="center"/>
            <w:hideMark/>
          </w:tcPr>
          <w:p w14:paraId="054D8393" w14:textId="77777777" w:rsidR="00304FCE" w:rsidRPr="00304FCE" w:rsidRDefault="00304FCE" w:rsidP="00304FCE">
            <w:pPr>
              <w:spacing w:after="0" w:line="276" w:lineRule="auto"/>
              <w:jc w:val="center"/>
              <w:rPr>
                <w:rFonts w:ascii="Times New Roman" w:eastAsia="Calibri" w:hAnsi="Times New Roman" w:cs="Times New Roman"/>
                <w:b/>
                <w:bCs/>
                <w:color w:val="000000"/>
                <w:kern w:val="0"/>
                <w:sz w:val="16"/>
                <w:szCs w:val="16"/>
                <w:lang w:eastAsia="lv-LV"/>
                <w14:ligatures w14:val="none"/>
              </w:rPr>
            </w:pPr>
            <w:r w:rsidRPr="00304FCE">
              <w:rPr>
                <w:rFonts w:ascii="Times New Roman" w:eastAsia="Calibri" w:hAnsi="Times New Roman" w:cs="Times New Roman"/>
                <w:b/>
                <w:bCs/>
                <w:color w:val="000000"/>
                <w:kern w:val="0"/>
                <w:sz w:val="16"/>
                <w:szCs w:val="16"/>
                <w:lang w:eastAsia="lv-LV"/>
                <w14:ligatures w14:val="none"/>
              </w:rPr>
              <w:t>Kopbudžeta ieņēmumi, milj. EUR</w:t>
            </w:r>
          </w:p>
        </w:tc>
        <w:tc>
          <w:tcPr>
            <w:tcW w:w="2721" w:type="dxa"/>
            <w:shd w:val="clear" w:color="auto" w:fill="D9D9D9"/>
            <w:noWrap/>
            <w:tcMar>
              <w:top w:w="0" w:type="dxa"/>
              <w:left w:w="108" w:type="dxa"/>
              <w:bottom w:w="0" w:type="dxa"/>
              <w:right w:w="108" w:type="dxa"/>
            </w:tcMar>
            <w:vAlign w:val="center"/>
            <w:hideMark/>
          </w:tcPr>
          <w:p w14:paraId="09BD58C6" w14:textId="77777777" w:rsidR="00304FCE" w:rsidRPr="00304FCE" w:rsidRDefault="00304FCE" w:rsidP="00304FCE">
            <w:pPr>
              <w:spacing w:after="0" w:line="276" w:lineRule="auto"/>
              <w:jc w:val="center"/>
              <w:rPr>
                <w:rFonts w:ascii="Times New Roman" w:eastAsia="Calibri" w:hAnsi="Times New Roman" w:cs="Times New Roman"/>
                <w:b/>
                <w:bCs/>
                <w:color w:val="000000"/>
                <w:kern w:val="0"/>
                <w:sz w:val="16"/>
                <w:szCs w:val="16"/>
                <w:lang w:eastAsia="lv-LV"/>
                <w14:ligatures w14:val="none"/>
              </w:rPr>
            </w:pPr>
            <w:r w:rsidRPr="00304FCE">
              <w:rPr>
                <w:rFonts w:ascii="Times New Roman" w:eastAsia="Calibri" w:hAnsi="Times New Roman" w:cs="Times New Roman"/>
                <w:b/>
                <w:bCs/>
                <w:color w:val="000000"/>
                <w:kern w:val="0"/>
                <w:sz w:val="16"/>
                <w:szCs w:val="16"/>
                <w:lang w:eastAsia="lv-LV"/>
                <w14:ligatures w14:val="none"/>
              </w:rPr>
              <w:t>Kopējais parāds, milj. EUR</w:t>
            </w:r>
          </w:p>
        </w:tc>
        <w:tc>
          <w:tcPr>
            <w:tcW w:w="2785" w:type="dxa"/>
            <w:shd w:val="clear" w:color="auto" w:fill="D9D9D9"/>
            <w:noWrap/>
            <w:tcMar>
              <w:top w:w="0" w:type="dxa"/>
              <w:left w:w="108" w:type="dxa"/>
              <w:bottom w:w="0" w:type="dxa"/>
              <w:right w:w="108" w:type="dxa"/>
            </w:tcMar>
            <w:vAlign w:val="center"/>
            <w:hideMark/>
          </w:tcPr>
          <w:p w14:paraId="40036A83" w14:textId="77777777" w:rsidR="00304FCE" w:rsidRPr="00304FCE" w:rsidRDefault="00304FCE" w:rsidP="00304FCE">
            <w:pPr>
              <w:spacing w:after="0" w:line="276" w:lineRule="auto"/>
              <w:jc w:val="center"/>
              <w:rPr>
                <w:rFonts w:ascii="Times New Roman" w:eastAsia="Calibri" w:hAnsi="Times New Roman" w:cs="Times New Roman"/>
                <w:b/>
                <w:bCs/>
                <w:color w:val="000000"/>
                <w:kern w:val="0"/>
                <w:sz w:val="16"/>
                <w:szCs w:val="16"/>
                <w:lang w:eastAsia="lv-LV"/>
                <w14:ligatures w14:val="none"/>
              </w:rPr>
            </w:pPr>
            <w:r w:rsidRPr="00304FCE">
              <w:rPr>
                <w:rFonts w:ascii="Times New Roman" w:eastAsia="Calibri" w:hAnsi="Times New Roman" w:cs="Times New Roman"/>
                <w:b/>
                <w:bCs/>
                <w:color w:val="000000"/>
                <w:kern w:val="0"/>
                <w:sz w:val="16"/>
                <w:szCs w:val="16"/>
                <w:lang w:eastAsia="lv-LV"/>
                <w14:ligatures w14:val="none"/>
              </w:rPr>
              <w:t>Parāda attiecība pret kopbudžeta ieņēmumiem, %</w:t>
            </w:r>
          </w:p>
        </w:tc>
      </w:tr>
      <w:tr w:rsidR="00304FCE" w:rsidRPr="00304FCE" w14:paraId="05DE78CB" w14:textId="77777777" w:rsidTr="001F20D9">
        <w:trPr>
          <w:trHeight w:val="60"/>
        </w:trPr>
        <w:tc>
          <w:tcPr>
            <w:tcW w:w="1124" w:type="dxa"/>
            <w:noWrap/>
            <w:tcMar>
              <w:top w:w="0" w:type="dxa"/>
              <w:left w:w="108" w:type="dxa"/>
              <w:bottom w:w="0" w:type="dxa"/>
              <w:right w:w="108" w:type="dxa"/>
            </w:tcMar>
            <w:vAlign w:val="center"/>
            <w:hideMark/>
          </w:tcPr>
          <w:p w14:paraId="26B76FA7" w14:textId="77777777" w:rsidR="00304FCE" w:rsidRPr="00304FCE" w:rsidRDefault="00304FCE" w:rsidP="00304FCE">
            <w:pPr>
              <w:spacing w:after="0" w:line="276" w:lineRule="auto"/>
              <w:jc w:val="center"/>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2023</w:t>
            </w:r>
          </w:p>
        </w:tc>
        <w:tc>
          <w:tcPr>
            <w:tcW w:w="2721" w:type="dxa"/>
            <w:noWrap/>
            <w:tcMar>
              <w:top w:w="0" w:type="dxa"/>
              <w:left w:w="108" w:type="dxa"/>
              <w:bottom w:w="0" w:type="dxa"/>
              <w:right w:w="108" w:type="dxa"/>
            </w:tcMar>
            <w:vAlign w:val="center"/>
            <w:hideMark/>
          </w:tcPr>
          <w:p w14:paraId="66431456"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323,2</w:t>
            </w:r>
          </w:p>
        </w:tc>
        <w:tc>
          <w:tcPr>
            <w:tcW w:w="2721" w:type="dxa"/>
            <w:noWrap/>
            <w:tcMar>
              <w:top w:w="0" w:type="dxa"/>
              <w:left w:w="108" w:type="dxa"/>
              <w:bottom w:w="0" w:type="dxa"/>
              <w:right w:w="108" w:type="dxa"/>
            </w:tcMar>
            <w:vAlign w:val="center"/>
            <w:hideMark/>
          </w:tcPr>
          <w:p w14:paraId="367009B3"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58,7</w:t>
            </w:r>
          </w:p>
        </w:tc>
        <w:tc>
          <w:tcPr>
            <w:tcW w:w="2785" w:type="dxa"/>
            <w:noWrap/>
            <w:tcMar>
              <w:top w:w="0" w:type="dxa"/>
              <w:left w:w="108" w:type="dxa"/>
              <w:bottom w:w="0" w:type="dxa"/>
              <w:right w:w="108" w:type="dxa"/>
            </w:tcMar>
            <w:vAlign w:val="center"/>
            <w:hideMark/>
          </w:tcPr>
          <w:p w14:paraId="0330E56F"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18,2</w:t>
            </w:r>
          </w:p>
        </w:tc>
      </w:tr>
      <w:tr w:rsidR="00304FCE" w:rsidRPr="00304FCE" w14:paraId="7BC0A9CC" w14:textId="77777777" w:rsidTr="001F20D9">
        <w:trPr>
          <w:trHeight w:val="60"/>
        </w:trPr>
        <w:tc>
          <w:tcPr>
            <w:tcW w:w="1124" w:type="dxa"/>
            <w:noWrap/>
            <w:tcMar>
              <w:top w:w="0" w:type="dxa"/>
              <w:left w:w="108" w:type="dxa"/>
              <w:bottom w:w="0" w:type="dxa"/>
              <w:right w:w="108" w:type="dxa"/>
            </w:tcMar>
            <w:vAlign w:val="center"/>
            <w:hideMark/>
          </w:tcPr>
          <w:p w14:paraId="42CCB055" w14:textId="77777777" w:rsidR="00304FCE" w:rsidRPr="00304FCE" w:rsidRDefault="00304FCE" w:rsidP="00304FCE">
            <w:pPr>
              <w:spacing w:after="0" w:line="276" w:lineRule="auto"/>
              <w:jc w:val="center"/>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2022</w:t>
            </w:r>
          </w:p>
        </w:tc>
        <w:tc>
          <w:tcPr>
            <w:tcW w:w="2721" w:type="dxa"/>
            <w:noWrap/>
            <w:tcMar>
              <w:top w:w="0" w:type="dxa"/>
              <w:left w:w="108" w:type="dxa"/>
              <w:bottom w:w="0" w:type="dxa"/>
              <w:right w:w="108" w:type="dxa"/>
            </w:tcMar>
            <w:vAlign w:val="center"/>
            <w:hideMark/>
          </w:tcPr>
          <w:p w14:paraId="41957A45"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269,8</w:t>
            </w:r>
          </w:p>
        </w:tc>
        <w:tc>
          <w:tcPr>
            <w:tcW w:w="2721" w:type="dxa"/>
            <w:noWrap/>
            <w:tcMar>
              <w:top w:w="0" w:type="dxa"/>
              <w:left w:w="108" w:type="dxa"/>
              <w:bottom w:w="0" w:type="dxa"/>
              <w:right w:w="108" w:type="dxa"/>
            </w:tcMar>
            <w:vAlign w:val="center"/>
            <w:hideMark/>
          </w:tcPr>
          <w:p w14:paraId="1E808BF9"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51,9</w:t>
            </w:r>
          </w:p>
        </w:tc>
        <w:tc>
          <w:tcPr>
            <w:tcW w:w="2785" w:type="dxa"/>
            <w:noWrap/>
            <w:tcMar>
              <w:top w:w="0" w:type="dxa"/>
              <w:left w:w="108" w:type="dxa"/>
              <w:bottom w:w="0" w:type="dxa"/>
              <w:right w:w="108" w:type="dxa"/>
            </w:tcMar>
            <w:vAlign w:val="center"/>
            <w:hideMark/>
          </w:tcPr>
          <w:p w14:paraId="4486A04E"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19,2</w:t>
            </w:r>
          </w:p>
        </w:tc>
      </w:tr>
      <w:tr w:rsidR="00304FCE" w:rsidRPr="00304FCE" w14:paraId="1C958E56" w14:textId="77777777" w:rsidTr="001F20D9">
        <w:trPr>
          <w:trHeight w:val="60"/>
        </w:trPr>
        <w:tc>
          <w:tcPr>
            <w:tcW w:w="1124" w:type="dxa"/>
            <w:noWrap/>
            <w:tcMar>
              <w:top w:w="0" w:type="dxa"/>
              <w:left w:w="108" w:type="dxa"/>
              <w:bottom w:w="0" w:type="dxa"/>
              <w:right w:w="108" w:type="dxa"/>
            </w:tcMar>
            <w:vAlign w:val="center"/>
            <w:hideMark/>
          </w:tcPr>
          <w:p w14:paraId="293EF2AB" w14:textId="77777777" w:rsidR="00304FCE" w:rsidRPr="00304FCE" w:rsidRDefault="00304FCE" w:rsidP="00304FCE">
            <w:pPr>
              <w:spacing w:after="0" w:line="276" w:lineRule="auto"/>
              <w:jc w:val="center"/>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2021</w:t>
            </w:r>
          </w:p>
        </w:tc>
        <w:tc>
          <w:tcPr>
            <w:tcW w:w="2721" w:type="dxa"/>
            <w:noWrap/>
            <w:tcMar>
              <w:top w:w="0" w:type="dxa"/>
              <w:left w:w="108" w:type="dxa"/>
              <w:bottom w:w="0" w:type="dxa"/>
              <w:right w:w="108" w:type="dxa"/>
            </w:tcMar>
            <w:vAlign w:val="center"/>
            <w:hideMark/>
          </w:tcPr>
          <w:p w14:paraId="6EF051D3"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234</w:t>
            </w:r>
          </w:p>
        </w:tc>
        <w:tc>
          <w:tcPr>
            <w:tcW w:w="2721" w:type="dxa"/>
            <w:noWrap/>
            <w:tcMar>
              <w:top w:w="0" w:type="dxa"/>
              <w:left w:w="108" w:type="dxa"/>
              <w:bottom w:w="0" w:type="dxa"/>
              <w:right w:w="108" w:type="dxa"/>
            </w:tcMar>
            <w:vAlign w:val="center"/>
            <w:hideMark/>
          </w:tcPr>
          <w:p w14:paraId="14800557"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58,0</w:t>
            </w:r>
          </w:p>
        </w:tc>
        <w:tc>
          <w:tcPr>
            <w:tcW w:w="2785" w:type="dxa"/>
            <w:noWrap/>
            <w:tcMar>
              <w:top w:w="0" w:type="dxa"/>
              <w:left w:w="108" w:type="dxa"/>
              <w:bottom w:w="0" w:type="dxa"/>
              <w:right w:w="108" w:type="dxa"/>
            </w:tcMar>
            <w:vAlign w:val="center"/>
            <w:hideMark/>
          </w:tcPr>
          <w:p w14:paraId="0E598D7C" w14:textId="77777777" w:rsidR="00304FCE" w:rsidRPr="00304FCE" w:rsidRDefault="00304FCE" w:rsidP="00304FCE">
            <w:pPr>
              <w:spacing w:after="0" w:line="276" w:lineRule="auto"/>
              <w:jc w:val="right"/>
              <w:rPr>
                <w:rFonts w:ascii="Times New Roman" w:eastAsia="Calibri" w:hAnsi="Times New Roman" w:cs="Times New Roman"/>
                <w:color w:val="000000"/>
                <w:kern w:val="0"/>
                <w:sz w:val="16"/>
                <w:szCs w:val="16"/>
                <w:lang w:eastAsia="lv-LV"/>
                <w14:ligatures w14:val="none"/>
              </w:rPr>
            </w:pPr>
            <w:r w:rsidRPr="00304FCE">
              <w:rPr>
                <w:rFonts w:ascii="Times New Roman" w:eastAsia="Calibri" w:hAnsi="Times New Roman" w:cs="Times New Roman"/>
                <w:color w:val="000000"/>
                <w:kern w:val="0"/>
                <w:sz w:val="16"/>
                <w:szCs w:val="16"/>
                <w:lang w:eastAsia="lv-LV"/>
                <w14:ligatures w14:val="none"/>
              </w:rPr>
              <w:t>24,8</w:t>
            </w:r>
          </w:p>
        </w:tc>
      </w:tr>
    </w:tbl>
    <w:p w14:paraId="30824D3D" w14:textId="77777777" w:rsidR="00304FCE" w:rsidRPr="00304FCE" w:rsidRDefault="00304FCE" w:rsidP="00304FCE">
      <w:pPr>
        <w:shd w:val="clear" w:color="auto" w:fill="FFFFFF"/>
        <w:spacing w:after="0" w:line="240" w:lineRule="auto"/>
        <w:ind w:firstLine="720"/>
        <w:rPr>
          <w:rFonts w:ascii="Times New Roman" w:eastAsia="Times New Roman" w:hAnsi="Times New Roman" w:cs="Times New Roman"/>
          <w:b/>
          <w:bCs/>
          <w:color w:val="000000"/>
          <w:kern w:val="0"/>
          <w:sz w:val="16"/>
          <w:szCs w:val="16"/>
          <w:lang w:eastAsia="lv-LV"/>
          <w14:ligatures w14:val="none"/>
        </w:rPr>
      </w:pPr>
    </w:p>
    <w:p w14:paraId="11D9E864" w14:textId="77777777" w:rsidR="00304FCE" w:rsidRPr="00304FCE" w:rsidRDefault="00304FCE" w:rsidP="00304FCE">
      <w:pPr>
        <w:shd w:val="clear" w:color="auto" w:fill="FFFFFF"/>
        <w:spacing w:after="0" w:line="240" w:lineRule="auto"/>
        <w:ind w:firstLine="720"/>
        <w:rPr>
          <w:rFonts w:ascii="Times New Roman" w:eastAsia="Times New Roman" w:hAnsi="Times New Roman" w:cs="Times New Roman"/>
          <w:b/>
          <w:bCs/>
          <w:color w:val="000000"/>
          <w:kern w:val="0"/>
          <w:sz w:val="24"/>
          <w:szCs w:val="24"/>
          <w:lang w:eastAsia="lv-LV"/>
          <w14:ligatures w14:val="none"/>
        </w:rPr>
      </w:pPr>
      <w:r w:rsidRPr="00304FCE">
        <w:rPr>
          <w:rFonts w:ascii="Times New Roman" w:eastAsia="Times New Roman" w:hAnsi="Times New Roman" w:cs="Times New Roman"/>
          <w:b/>
          <w:bCs/>
          <w:color w:val="000000"/>
          <w:kern w:val="0"/>
          <w:sz w:val="24"/>
          <w:szCs w:val="24"/>
          <w:lang w:eastAsia="lv-LV"/>
          <w14:ligatures w14:val="none"/>
        </w:rPr>
        <w:t>Informācija par darba samaksu darba vietās</w:t>
      </w:r>
      <w:r w:rsidRPr="00304FCE">
        <w:rPr>
          <w:rFonts w:ascii="Times New Roman" w:eastAsia="Times New Roman" w:hAnsi="Times New Roman" w:cs="Times New Roman"/>
          <w:b/>
          <w:bCs/>
          <w:color w:val="000000"/>
          <w:kern w:val="0"/>
          <w:sz w:val="24"/>
          <w:szCs w:val="24"/>
          <w:vertAlign w:val="superscript"/>
          <w:lang w:eastAsia="lv-LV"/>
          <w14:ligatures w14:val="none"/>
        </w:rPr>
        <w:footnoteReference w:id="5"/>
      </w:r>
    </w:p>
    <w:p w14:paraId="6FB505E3" w14:textId="77777777" w:rsidR="00304FCE" w:rsidRPr="00304FCE" w:rsidRDefault="00304FCE" w:rsidP="00304FCE">
      <w:pPr>
        <w:shd w:val="clear" w:color="auto" w:fill="FFFFFF"/>
        <w:spacing w:after="0" w:line="240" w:lineRule="auto"/>
        <w:ind w:firstLine="720"/>
        <w:jc w:val="both"/>
        <w:rPr>
          <w:rFonts w:ascii="Times New Roman" w:eastAsia="Times New Roman" w:hAnsi="Times New Roman" w:cs="Times New Roman"/>
          <w:color w:val="0D0D0D"/>
          <w:kern w:val="0"/>
          <w:sz w:val="24"/>
          <w:szCs w:val="24"/>
          <w:lang w:eastAsia="lv-LV"/>
          <w14:ligatures w14:val="none"/>
        </w:rPr>
      </w:pPr>
      <w:r w:rsidRPr="00304FCE">
        <w:rPr>
          <w:rFonts w:ascii="Times New Roman" w:eastAsia="Times New Roman" w:hAnsi="Times New Roman" w:cs="Times New Roman"/>
          <w:color w:val="0D0D0D"/>
          <w:kern w:val="0"/>
          <w:sz w:val="24"/>
          <w:szCs w:val="24"/>
          <w:lang w:eastAsia="lv-LV"/>
          <w14:ligatures w14:val="none"/>
        </w:rPr>
        <w:t>2023. gadā būvniecības nozarē vidēji darbojās 7 490 darba devēju, kas nodarbināja vidēji 59 540 darba ņēmējus. Pie būvniecības nozares nodokļu maksātājiem 2023. gadā vidējie darba ienākumi darba vietā mēnesī ir 1 241 EUR un, salīdzinot ar 2022. gadu, tie ir palielinājušies par 10,3 %. Lielākie vidējie darba ienākumi mēnesī ir darba vietās pie darba devējiem, kuru pamatdarbības veids ir inženierbūvniecība (8. tabula).</w:t>
      </w:r>
    </w:p>
    <w:p w14:paraId="0EAFD333" w14:textId="77777777" w:rsidR="00304FCE" w:rsidRPr="00304FCE" w:rsidRDefault="00304FCE" w:rsidP="00304FCE">
      <w:pPr>
        <w:shd w:val="clear" w:color="auto" w:fill="FFFFFF"/>
        <w:spacing w:after="0" w:line="240" w:lineRule="auto"/>
        <w:rPr>
          <w:rFonts w:ascii="Times New Roman" w:eastAsia="Times New Roman" w:hAnsi="Times New Roman" w:cs="Times New Roman"/>
          <w:i/>
          <w:iCs/>
          <w:color w:val="000000"/>
          <w:kern w:val="0"/>
          <w:sz w:val="12"/>
          <w:szCs w:val="12"/>
          <w14:ligatures w14:val="none"/>
        </w:rPr>
      </w:pPr>
    </w:p>
    <w:p w14:paraId="0A45F737" w14:textId="77777777" w:rsidR="00304FCE" w:rsidRPr="00304FCE" w:rsidRDefault="00304FCE" w:rsidP="00304FCE">
      <w:pPr>
        <w:shd w:val="clear" w:color="auto" w:fill="FFFFFF"/>
        <w:spacing w:after="0" w:line="240" w:lineRule="auto"/>
        <w:rPr>
          <w:rFonts w:ascii="Times New Roman" w:eastAsia="Times New Roman" w:hAnsi="Times New Roman" w:cs="Times New Roman"/>
          <w:color w:val="002060"/>
          <w:kern w:val="0"/>
          <w:sz w:val="24"/>
          <w:szCs w:val="24"/>
          <w:lang w:eastAsia="lv-LV"/>
          <w14:ligatures w14:val="none"/>
        </w:rPr>
      </w:pPr>
      <w:r w:rsidRPr="00304FCE">
        <w:rPr>
          <w:rFonts w:ascii="Times New Roman" w:eastAsia="Times New Roman" w:hAnsi="Times New Roman" w:cs="Times New Roman"/>
          <w:i/>
          <w:iCs/>
          <w:color w:val="000000"/>
          <w:kern w:val="0"/>
          <w14:ligatures w14:val="none"/>
        </w:rPr>
        <w:t>8. tabula. Vidējie darba ienākumi mēnesī pie būvniecības nozares nodokļu maksātājiem, EUR</w:t>
      </w:r>
    </w:p>
    <w:tbl>
      <w:tblPr>
        <w:tblStyle w:val="TableGrid"/>
        <w:tblW w:w="9292" w:type="dxa"/>
        <w:jc w:val="center"/>
        <w:tblLook w:val="04A0" w:firstRow="1" w:lastRow="0" w:firstColumn="1" w:lastColumn="0" w:noHBand="0" w:noVBand="1"/>
      </w:tblPr>
      <w:tblGrid>
        <w:gridCol w:w="5368"/>
        <w:gridCol w:w="1327"/>
        <w:gridCol w:w="1327"/>
        <w:gridCol w:w="1270"/>
      </w:tblGrid>
      <w:tr w:rsidR="00304FCE" w:rsidRPr="00304FCE" w14:paraId="719096A8" w14:textId="77777777" w:rsidTr="00304FCE">
        <w:trPr>
          <w:trHeight w:val="150"/>
          <w:jc w:val="center"/>
        </w:trPr>
        <w:tc>
          <w:tcPr>
            <w:tcW w:w="5368" w:type="dxa"/>
            <w:shd w:val="clear" w:color="auto" w:fill="BFBFBF"/>
            <w:vAlign w:val="center"/>
          </w:tcPr>
          <w:p w14:paraId="3929A87C" w14:textId="77777777" w:rsidR="00304FCE" w:rsidRPr="00304FCE" w:rsidRDefault="00304FCE" w:rsidP="00304FCE">
            <w:pPr>
              <w:jc w:val="center"/>
              <w:rPr>
                <w:rFonts w:ascii="Times New Roman" w:eastAsia="Times New Roman" w:hAnsi="Times New Roman" w:cs="Times New Roman"/>
                <w:b/>
                <w:bCs/>
                <w:color w:val="000000"/>
                <w:sz w:val="16"/>
                <w:szCs w:val="16"/>
              </w:rPr>
            </w:pPr>
            <w:r w:rsidRPr="00304FCE">
              <w:rPr>
                <w:rFonts w:ascii="Times New Roman" w:eastAsia="Times New Roman" w:hAnsi="Times New Roman" w:cs="Times New Roman"/>
                <w:b/>
                <w:bCs/>
                <w:color w:val="000000"/>
                <w:sz w:val="16"/>
                <w:szCs w:val="16"/>
              </w:rPr>
              <w:t>Nozare</w:t>
            </w:r>
          </w:p>
        </w:tc>
        <w:tc>
          <w:tcPr>
            <w:tcW w:w="1327" w:type="dxa"/>
            <w:shd w:val="clear" w:color="auto" w:fill="BFBFBF"/>
            <w:vAlign w:val="center"/>
          </w:tcPr>
          <w:p w14:paraId="0E317D09" w14:textId="77777777" w:rsidR="00304FCE" w:rsidRPr="00304FCE" w:rsidRDefault="00304FCE" w:rsidP="00304FCE">
            <w:pPr>
              <w:jc w:val="center"/>
              <w:rPr>
                <w:rFonts w:ascii="Times New Roman" w:eastAsia="Times New Roman" w:hAnsi="Times New Roman" w:cs="Times New Roman"/>
                <w:b/>
                <w:bCs/>
                <w:color w:val="000000"/>
                <w:sz w:val="16"/>
                <w:szCs w:val="16"/>
              </w:rPr>
            </w:pPr>
            <w:r w:rsidRPr="00304FCE">
              <w:rPr>
                <w:rFonts w:ascii="Times New Roman" w:eastAsia="Times New Roman" w:hAnsi="Times New Roman" w:cs="Times New Roman"/>
                <w:b/>
                <w:bCs/>
                <w:color w:val="000000"/>
                <w:sz w:val="16"/>
                <w:szCs w:val="16"/>
              </w:rPr>
              <w:t>2021. gads</w:t>
            </w:r>
          </w:p>
        </w:tc>
        <w:tc>
          <w:tcPr>
            <w:tcW w:w="1327" w:type="dxa"/>
            <w:shd w:val="clear" w:color="auto" w:fill="BFBFBF"/>
            <w:vAlign w:val="center"/>
          </w:tcPr>
          <w:p w14:paraId="1B966989" w14:textId="77777777" w:rsidR="00304FCE" w:rsidRPr="00304FCE" w:rsidRDefault="00304FCE" w:rsidP="00304FCE">
            <w:pPr>
              <w:jc w:val="center"/>
              <w:rPr>
                <w:rFonts w:ascii="Times New Roman" w:eastAsia="Times New Roman" w:hAnsi="Times New Roman" w:cs="Times New Roman"/>
                <w:b/>
                <w:bCs/>
                <w:color w:val="000000"/>
                <w:sz w:val="16"/>
                <w:szCs w:val="16"/>
              </w:rPr>
            </w:pPr>
            <w:r w:rsidRPr="00304FCE">
              <w:rPr>
                <w:rFonts w:ascii="Times New Roman" w:eastAsia="Times New Roman" w:hAnsi="Times New Roman" w:cs="Times New Roman"/>
                <w:b/>
                <w:bCs/>
                <w:color w:val="000000"/>
                <w:sz w:val="16"/>
                <w:szCs w:val="16"/>
              </w:rPr>
              <w:t>2022. gads</w:t>
            </w:r>
          </w:p>
        </w:tc>
        <w:tc>
          <w:tcPr>
            <w:tcW w:w="1270" w:type="dxa"/>
            <w:shd w:val="clear" w:color="auto" w:fill="BFBFBF"/>
            <w:vAlign w:val="center"/>
          </w:tcPr>
          <w:p w14:paraId="745B6723" w14:textId="77777777" w:rsidR="00304FCE" w:rsidRPr="00304FCE" w:rsidRDefault="00304FCE" w:rsidP="00304FCE">
            <w:pPr>
              <w:jc w:val="center"/>
              <w:rPr>
                <w:rFonts w:ascii="Times New Roman" w:eastAsia="Times New Roman" w:hAnsi="Times New Roman" w:cs="Times New Roman"/>
                <w:b/>
                <w:bCs/>
                <w:color w:val="000000"/>
                <w:sz w:val="16"/>
                <w:szCs w:val="16"/>
              </w:rPr>
            </w:pPr>
            <w:r w:rsidRPr="00304FCE">
              <w:rPr>
                <w:rFonts w:ascii="Times New Roman" w:eastAsia="Times New Roman" w:hAnsi="Times New Roman" w:cs="Times New Roman"/>
                <w:b/>
                <w:bCs/>
                <w:color w:val="000000"/>
                <w:sz w:val="16"/>
                <w:szCs w:val="16"/>
              </w:rPr>
              <w:t>2023. gads</w:t>
            </w:r>
          </w:p>
        </w:tc>
      </w:tr>
      <w:tr w:rsidR="00304FCE" w:rsidRPr="00304FCE" w14:paraId="47B66B4A" w14:textId="77777777" w:rsidTr="001F20D9">
        <w:trPr>
          <w:trHeight w:val="53"/>
          <w:jc w:val="center"/>
        </w:trPr>
        <w:tc>
          <w:tcPr>
            <w:tcW w:w="5368" w:type="dxa"/>
            <w:vAlign w:val="center"/>
          </w:tcPr>
          <w:p w14:paraId="52F0AF6E" w14:textId="77777777" w:rsidR="00304FCE" w:rsidRPr="00304FCE" w:rsidRDefault="00304FCE" w:rsidP="00304FCE">
            <w:pPr>
              <w:jc w:val="both"/>
              <w:rPr>
                <w:rFonts w:ascii="Times New Roman" w:eastAsia="Times New Roman" w:hAnsi="Times New Roman" w:cs="Times New Roman"/>
                <w:color w:val="002060"/>
                <w:sz w:val="16"/>
                <w:szCs w:val="16"/>
                <w:lang w:eastAsia="lv-LV"/>
              </w:rPr>
            </w:pPr>
            <w:r w:rsidRPr="00304FCE">
              <w:rPr>
                <w:rFonts w:ascii="Times New Roman" w:eastAsia="Times New Roman" w:hAnsi="Times New Roman" w:cs="Times New Roman"/>
                <w:color w:val="000000"/>
                <w:sz w:val="16"/>
                <w:szCs w:val="16"/>
              </w:rPr>
              <w:t>Būvniecības nozare kopā, t. sk.:</w:t>
            </w:r>
          </w:p>
        </w:tc>
        <w:tc>
          <w:tcPr>
            <w:tcW w:w="1327" w:type="dxa"/>
            <w:vAlign w:val="center"/>
          </w:tcPr>
          <w:p w14:paraId="7686E74C"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Times New Roman" w:hAnsi="Times New Roman" w:cs="Times New Roman"/>
                <w:color w:val="000000"/>
                <w:sz w:val="16"/>
                <w:szCs w:val="16"/>
                <w:lang w:eastAsia="lv-LV"/>
              </w:rPr>
              <w:t>1 026</w:t>
            </w:r>
          </w:p>
        </w:tc>
        <w:tc>
          <w:tcPr>
            <w:tcW w:w="1327" w:type="dxa"/>
            <w:vAlign w:val="center"/>
          </w:tcPr>
          <w:p w14:paraId="306454BB"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Times New Roman" w:hAnsi="Times New Roman" w:cs="Times New Roman"/>
                <w:color w:val="000000"/>
                <w:sz w:val="16"/>
                <w:szCs w:val="16"/>
                <w:lang w:eastAsia="lv-LV"/>
              </w:rPr>
              <w:t>1 125</w:t>
            </w:r>
          </w:p>
        </w:tc>
        <w:tc>
          <w:tcPr>
            <w:tcW w:w="1270" w:type="dxa"/>
            <w:vAlign w:val="center"/>
          </w:tcPr>
          <w:p w14:paraId="1413692C"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Times New Roman" w:hAnsi="Times New Roman" w:cs="Times New Roman"/>
                <w:color w:val="000000"/>
                <w:sz w:val="16"/>
                <w:szCs w:val="16"/>
                <w:lang w:eastAsia="lv-LV"/>
              </w:rPr>
              <w:t>1 241</w:t>
            </w:r>
          </w:p>
        </w:tc>
      </w:tr>
      <w:tr w:rsidR="00304FCE" w:rsidRPr="00304FCE" w14:paraId="1E7CB1B4" w14:textId="77777777" w:rsidTr="001F20D9">
        <w:trPr>
          <w:trHeight w:val="58"/>
          <w:jc w:val="center"/>
        </w:trPr>
        <w:tc>
          <w:tcPr>
            <w:tcW w:w="5368" w:type="dxa"/>
            <w:vAlign w:val="center"/>
          </w:tcPr>
          <w:p w14:paraId="3C3ED977" w14:textId="77777777" w:rsidR="00304FCE" w:rsidRPr="00304FCE" w:rsidRDefault="00304FCE" w:rsidP="00304FCE">
            <w:pPr>
              <w:jc w:val="both"/>
              <w:rPr>
                <w:rFonts w:ascii="Times New Roman" w:eastAsia="Times New Roman" w:hAnsi="Times New Roman" w:cs="Times New Roman"/>
                <w:color w:val="002060"/>
                <w:sz w:val="16"/>
                <w:szCs w:val="16"/>
                <w:lang w:eastAsia="lv-LV"/>
              </w:rPr>
            </w:pPr>
            <w:r w:rsidRPr="00304FCE">
              <w:rPr>
                <w:rFonts w:ascii="Times New Roman" w:eastAsia="Times New Roman" w:hAnsi="Times New Roman" w:cs="Times New Roman"/>
                <w:color w:val="000000"/>
                <w:sz w:val="16"/>
                <w:szCs w:val="16"/>
              </w:rPr>
              <w:t>Ēku būvniecība (</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41)</w:t>
            </w:r>
          </w:p>
        </w:tc>
        <w:tc>
          <w:tcPr>
            <w:tcW w:w="1327" w:type="dxa"/>
            <w:shd w:val="clear" w:color="auto" w:fill="auto"/>
            <w:vAlign w:val="center"/>
          </w:tcPr>
          <w:p w14:paraId="52296D11"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 xml:space="preserve"> 1 006</w:t>
            </w:r>
          </w:p>
        </w:tc>
        <w:tc>
          <w:tcPr>
            <w:tcW w:w="1327" w:type="dxa"/>
            <w:shd w:val="clear" w:color="auto" w:fill="auto"/>
            <w:vAlign w:val="center"/>
          </w:tcPr>
          <w:p w14:paraId="1A49FFEB"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1 108</w:t>
            </w:r>
          </w:p>
        </w:tc>
        <w:tc>
          <w:tcPr>
            <w:tcW w:w="1270" w:type="dxa"/>
            <w:shd w:val="clear" w:color="auto" w:fill="auto"/>
            <w:vAlign w:val="center"/>
          </w:tcPr>
          <w:p w14:paraId="23EB8C93"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1 212</w:t>
            </w:r>
          </w:p>
        </w:tc>
      </w:tr>
      <w:tr w:rsidR="00304FCE" w:rsidRPr="00304FCE" w14:paraId="02762F8E" w14:textId="77777777" w:rsidTr="001F20D9">
        <w:trPr>
          <w:trHeight w:val="58"/>
          <w:jc w:val="center"/>
        </w:trPr>
        <w:tc>
          <w:tcPr>
            <w:tcW w:w="5368" w:type="dxa"/>
            <w:vAlign w:val="center"/>
          </w:tcPr>
          <w:p w14:paraId="30BA191D" w14:textId="77777777" w:rsidR="00304FCE" w:rsidRPr="00304FCE" w:rsidRDefault="00304FCE" w:rsidP="00304FCE">
            <w:pPr>
              <w:jc w:val="both"/>
              <w:rPr>
                <w:rFonts w:ascii="Times New Roman" w:eastAsia="Times New Roman" w:hAnsi="Times New Roman" w:cs="Times New Roman"/>
                <w:color w:val="002060"/>
                <w:sz w:val="16"/>
                <w:szCs w:val="16"/>
                <w:lang w:eastAsia="lv-LV"/>
              </w:rPr>
            </w:pPr>
            <w:r w:rsidRPr="00304FCE">
              <w:rPr>
                <w:rFonts w:ascii="Times New Roman" w:eastAsia="Times New Roman" w:hAnsi="Times New Roman" w:cs="Times New Roman"/>
                <w:color w:val="000000"/>
                <w:sz w:val="16"/>
                <w:szCs w:val="16"/>
              </w:rPr>
              <w:t>Inženierbūvniecība (</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42)</w:t>
            </w:r>
          </w:p>
        </w:tc>
        <w:tc>
          <w:tcPr>
            <w:tcW w:w="1327" w:type="dxa"/>
            <w:shd w:val="clear" w:color="auto" w:fill="auto"/>
            <w:vAlign w:val="center"/>
          </w:tcPr>
          <w:p w14:paraId="6E623564"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1 327</w:t>
            </w:r>
          </w:p>
        </w:tc>
        <w:tc>
          <w:tcPr>
            <w:tcW w:w="1327" w:type="dxa"/>
            <w:shd w:val="clear" w:color="auto" w:fill="auto"/>
            <w:vAlign w:val="center"/>
          </w:tcPr>
          <w:p w14:paraId="48A71E96"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1 424</w:t>
            </w:r>
          </w:p>
        </w:tc>
        <w:tc>
          <w:tcPr>
            <w:tcW w:w="1270" w:type="dxa"/>
            <w:shd w:val="clear" w:color="auto" w:fill="auto"/>
            <w:vAlign w:val="center"/>
          </w:tcPr>
          <w:p w14:paraId="4E4D31A4"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1 553</w:t>
            </w:r>
          </w:p>
        </w:tc>
      </w:tr>
      <w:tr w:rsidR="00304FCE" w:rsidRPr="00304FCE" w14:paraId="062BD3E1" w14:textId="77777777" w:rsidTr="001F20D9">
        <w:trPr>
          <w:trHeight w:val="56"/>
          <w:jc w:val="center"/>
        </w:trPr>
        <w:tc>
          <w:tcPr>
            <w:tcW w:w="5368" w:type="dxa"/>
            <w:vAlign w:val="center"/>
          </w:tcPr>
          <w:p w14:paraId="0B0B1F4C" w14:textId="77777777" w:rsidR="00304FCE" w:rsidRPr="00304FCE" w:rsidRDefault="00304FCE" w:rsidP="00304FCE">
            <w:pPr>
              <w:jc w:val="both"/>
              <w:rPr>
                <w:rFonts w:ascii="Times New Roman" w:eastAsia="Times New Roman" w:hAnsi="Times New Roman" w:cs="Times New Roman"/>
                <w:color w:val="002060"/>
                <w:sz w:val="16"/>
                <w:szCs w:val="16"/>
                <w:lang w:eastAsia="lv-LV"/>
              </w:rPr>
            </w:pPr>
            <w:r w:rsidRPr="00304FCE">
              <w:rPr>
                <w:rFonts w:ascii="Times New Roman" w:eastAsia="Times New Roman" w:hAnsi="Times New Roman" w:cs="Times New Roman"/>
                <w:color w:val="000000"/>
                <w:sz w:val="16"/>
                <w:szCs w:val="16"/>
              </w:rPr>
              <w:t>Specializētie būvdarbi (</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43)</w:t>
            </w:r>
          </w:p>
        </w:tc>
        <w:tc>
          <w:tcPr>
            <w:tcW w:w="1327" w:type="dxa"/>
            <w:shd w:val="clear" w:color="auto" w:fill="auto"/>
            <w:vAlign w:val="center"/>
          </w:tcPr>
          <w:p w14:paraId="44BC6FBE"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822</w:t>
            </w:r>
          </w:p>
        </w:tc>
        <w:tc>
          <w:tcPr>
            <w:tcW w:w="1327" w:type="dxa"/>
            <w:shd w:val="clear" w:color="auto" w:fill="auto"/>
            <w:vAlign w:val="center"/>
          </w:tcPr>
          <w:p w14:paraId="0C17A149"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931</w:t>
            </w:r>
          </w:p>
        </w:tc>
        <w:tc>
          <w:tcPr>
            <w:tcW w:w="1270" w:type="dxa"/>
            <w:shd w:val="clear" w:color="auto" w:fill="auto"/>
            <w:vAlign w:val="center"/>
          </w:tcPr>
          <w:p w14:paraId="01932CD7" w14:textId="77777777" w:rsidR="00304FCE" w:rsidRPr="00304FCE" w:rsidRDefault="00304FCE" w:rsidP="00304FCE">
            <w:pPr>
              <w:jc w:val="right"/>
              <w:rPr>
                <w:rFonts w:ascii="Times New Roman" w:eastAsia="Times New Roman" w:hAnsi="Times New Roman" w:cs="Times New Roman"/>
                <w:color w:val="000000"/>
                <w:sz w:val="16"/>
                <w:szCs w:val="16"/>
                <w:lang w:eastAsia="lv-LV"/>
              </w:rPr>
            </w:pPr>
            <w:r w:rsidRPr="00304FCE">
              <w:rPr>
                <w:rFonts w:ascii="Times New Roman" w:eastAsia="Calibri" w:hAnsi="Times New Roman" w:cs="Times New Roman"/>
                <w:color w:val="000000"/>
                <w:sz w:val="16"/>
                <w:szCs w:val="16"/>
              </w:rPr>
              <w:t>1 054</w:t>
            </w:r>
          </w:p>
        </w:tc>
      </w:tr>
    </w:tbl>
    <w:p w14:paraId="5A6C12D0" w14:textId="77777777" w:rsidR="00304FCE" w:rsidRPr="00304FCE" w:rsidRDefault="00304FCE" w:rsidP="00304FCE">
      <w:pPr>
        <w:shd w:val="clear" w:color="auto" w:fill="FFFFFF"/>
        <w:spacing w:after="0" w:line="240" w:lineRule="auto"/>
        <w:ind w:firstLine="709"/>
        <w:jc w:val="both"/>
        <w:rPr>
          <w:rFonts w:ascii="Times New Roman" w:eastAsia="Times New Roman" w:hAnsi="Times New Roman" w:cs="Times New Roman"/>
          <w:color w:val="0D0D0D"/>
          <w:kern w:val="0"/>
          <w:sz w:val="12"/>
          <w:szCs w:val="12"/>
          <w:lang w:eastAsia="lv-LV"/>
          <w14:ligatures w14:val="none"/>
        </w:rPr>
      </w:pPr>
    </w:p>
    <w:p w14:paraId="7F1AA41C" w14:textId="77777777" w:rsidR="00304FCE" w:rsidRPr="00304FCE" w:rsidRDefault="00304FCE" w:rsidP="00304FCE">
      <w:pPr>
        <w:shd w:val="clear" w:color="auto" w:fill="FFFFFF"/>
        <w:spacing w:after="0" w:line="240" w:lineRule="auto"/>
        <w:ind w:firstLine="709"/>
        <w:jc w:val="both"/>
        <w:rPr>
          <w:rFonts w:ascii="Times New Roman" w:eastAsia="Times New Roman" w:hAnsi="Times New Roman" w:cs="Times New Roman"/>
          <w:color w:val="0D0D0D"/>
          <w:kern w:val="0"/>
          <w:sz w:val="24"/>
          <w:szCs w:val="24"/>
          <w:lang w:eastAsia="lv-LV"/>
          <w14:ligatures w14:val="none"/>
        </w:rPr>
      </w:pPr>
      <w:r w:rsidRPr="00304FCE">
        <w:rPr>
          <w:rFonts w:ascii="Times New Roman" w:eastAsia="Times New Roman" w:hAnsi="Times New Roman" w:cs="Times New Roman"/>
          <w:color w:val="0D0D0D"/>
          <w:kern w:val="0"/>
          <w:sz w:val="24"/>
          <w:szCs w:val="24"/>
          <w:lang w:eastAsia="lv-LV"/>
          <w14:ligatures w14:val="none"/>
        </w:rPr>
        <w:t>Aplūkojot darba ienākumu sadalījumu pēc apmēra, redzams, ka ievērojamā daļā darba vietu aprēķinātie darba ienākumi ir mazāki par</w:t>
      </w:r>
      <w:r w:rsidRPr="00304FCE">
        <w:rPr>
          <w:rFonts w:ascii="Calibri" w:eastAsia="Calibri" w:hAnsi="Calibri" w:cs="Arial"/>
          <w:color w:val="0D0D0D"/>
          <w:kern w:val="0"/>
          <w:sz w:val="20"/>
          <w:szCs w:val="20"/>
          <w14:ligatures w14:val="none"/>
        </w:rPr>
        <w:t xml:space="preserve"> </w:t>
      </w:r>
      <w:r w:rsidRPr="00304FCE">
        <w:rPr>
          <w:rFonts w:ascii="Times New Roman" w:eastAsia="Times New Roman" w:hAnsi="Times New Roman" w:cs="Times New Roman"/>
          <w:color w:val="0D0D0D"/>
          <w:kern w:val="0"/>
          <w:sz w:val="24"/>
          <w:szCs w:val="24"/>
          <w:lang w:eastAsia="lv-LV"/>
          <w14:ligatures w14:val="none"/>
        </w:rPr>
        <w:t xml:space="preserve">minimālo mēneša darba algu normālā darba laika ietvaros saskaņā ar Būvniecības nozares ģenerālvienošanos (9. tabula). Pozitīvi vērtējams minēto </w:t>
      </w:r>
      <w:r w:rsidRPr="00304FCE">
        <w:rPr>
          <w:rFonts w:ascii="Times New Roman" w:eastAsia="Times New Roman" w:hAnsi="Times New Roman" w:cs="Times New Roman"/>
          <w:color w:val="0D0D0D"/>
          <w:kern w:val="0"/>
          <w:sz w:val="24"/>
          <w:szCs w:val="24"/>
          <w:lang w:eastAsia="lv-LV"/>
          <w14:ligatures w14:val="none"/>
        </w:rPr>
        <w:lastRenderedPageBreak/>
        <w:t>darba vietu īpatsvara samazinājums visā analizētajā periodā. Vērtējot pēc nostrādāto stundu skaita, tikai tās darba vietas, kurās norādītais nostrādāto stundu skaits ir lielāks par nulli, darba vietās, kurās aprēķinātie ienākumi ir mazāki par 780 EUR, 2023. gadā nostrādāto stundu skaits vidēji ir 65 stundas mēnesī, ar ko var izskaidrot attiecīgi arī zemos aprēķinātos ienākumus.</w:t>
      </w:r>
    </w:p>
    <w:p w14:paraId="3C16D25D" w14:textId="77777777" w:rsidR="00304FCE" w:rsidRPr="00304FCE" w:rsidRDefault="00304FCE" w:rsidP="00304FCE">
      <w:pPr>
        <w:shd w:val="clear" w:color="auto" w:fill="FFFFFF"/>
        <w:spacing w:after="0" w:line="240" w:lineRule="auto"/>
        <w:ind w:firstLine="426"/>
        <w:jc w:val="both"/>
        <w:rPr>
          <w:rFonts w:ascii="Times New Roman" w:eastAsia="Times New Roman" w:hAnsi="Times New Roman" w:cs="Times New Roman"/>
          <w:color w:val="0D0D0D"/>
          <w:kern w:val="0"/>
          <w:sz w:val="16"/>
          <w:szCs w:val="16"/>
          <w:lang w:eastAsia="lv-LV"/>
          <w14:ligatures w14:val="none"/>
        </w:rPr>
      </w:pPr>
    </w:p>
    <w:p w14:paraId="52910DEE" w14:textId="77777777" w:rsidR="00304FCE" w:rsidRPr="00304FCE" w:rsidRDefault="00304FCE" w:rsidP="00304FCE">
      <w:pPr>
        <w:shd w:val="clear" w:color="auto" w:fill="FFFFFF"/>
        <w:spacing w:after="0" w:line="240" w:lineRule="auto"/>
        <w:rPr>
          <w:rFonts w:ascii="Times New Roman" w:eastAsia="Times New Roman" w:hAnsi="Times New Roman" w:cs="Times New Roman"/>
          <w:color w:val="002060"/>
          <w:kern w:val="0"/>
          <w:sz w:val="24"/>
          <w:szCs w:val="24"/>
          <w:lang w:eastAsia="lv-LV"/>
          <w14:ligatures w14:val="none"/>
        </w:rPr>
      </w:pPr>
      <w:r w:rsidRPr="00304FCE">
        <w:rPr>
          <w:rFonts w:ascii="Times New Roman" w:eastAsia="Times New Roman" w:hAnsi="Times New Roman" w:cs="Times New Roman"/>
          <w:i/>
          <w:iCs/>
          <w:color w:val="000000"/>
          <w:kern w:val="0"/>
          <w14:ligatures w14:val="none"/>
        </w:rPr>
        <w:t>9. tabula. Darba vietu skaita sadalījums pēc vidējiem aprēķinātajiem darba ienākumiem mēnesī, %</w:t>
      </w:r>
    </w:p>
    <w:tbl>
      <w:tblPr>
        <w:tblStyle w:val="TableGrid"/>
        <w:tblW w:w="0" w:type="auto"/>
        <w:tblInd w:w="-5" w:type="dxa"/>
        <w:tblLook w:val="04A0" w:firstRow="1" w:lastRow="0" w:firstColumn="1" w:lastColumn="0" w:noHBand="0" w:noVBand="1"/>
      </w:tblPr>
      <w:tblGrid>
        <w:gridCol w:w="1263"/>
        <w:gridCol w:w="1005"/>
        <w:gridCol w:w="1276"/>
        <w:gridCol w:w="1418"/>
        <w:gridCol w:w="1559"/>
        <w:gridCol w:w="1417"/>
        <w:gridCol w:w="1306"/>
      </w:tblGrid>
      <w:tr w:rsidR="00304FCE" w:rsidRPr="00304FCE" w14:paraId="7C8FCE50" w14:textId="77777777" w:rsidTr="00304FCE">
        <w:trPr>
          <w:trHeight w:val="102"/>
          <w:tblHeader/>
        </w:trPr>
        <w:tc>
          <w:tcPr>
            <w:tcW w:w="1263" w:type="dxa"/>
            <w:vMerge w:val="restart"/>
            <w:shd w:val="clear" w:color="auto" w:fill="BFBFBF"/>
            <w:vAlign w:val="center"/>
          </w:tcPr>
          <w:p w14:paraId="21D03CA1"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lang w:eastAsia="lv-LV"/>
              </w:rPr>
              <w:t>Periods</w:t>
            </w:r>
          </w:p>
        </w:tc>
        <w:tc>
          <w:tcPr>
            <w:tcW w:w="7981" w:type="dxa"/>
            <w:gridSpan w:val="6"/>
            <w:tcBorders>
              <w:bottom w:val="single" w:sz="4" w:space="0" w:color="auto"/>
            </w:tcBorders>
            <w:shd w:val="clear" w:color="auto" w:fill="BFBFBF"/>
            <w:vAlign w:val="center"/>
          </w:tcPr>
          <w:p w14:paraId="4CB2A5CF"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lang w:eastAsia="lv-LV"/>
              </w:rPr>
              <w:t>Darba vietai aprēķinātie darba ienākumi mēnesī</w:t>
            </w:r>
          </w:p>
        </w:tc>
      </w:tr>
      <w:tr w:rsidR="00304FCE" w:rsidRPr="00304FCE" w14:paraId="703B2584" w14:textId="77777777" w:rsidTr="00304FCE">
        <w:trPr>
          <w:trHeight w:val="300"/>
          <w:tblHeader/>
        </w:trPr>
        <w:tc>
          <w:tcPr>
            <w:tcW w:w="1263" w:type="dxa"/>
            <w:vMerge/>
            <w:shd w:val="clear" w:color="auto" w:fill="BFBFBF"/>
          </w:tcPr>
          <w:p w14:paraId="33EAC448" w14:textId="77777777" w:rsidR="00304FCE" w:rsidRPr="00304FCE" w:rsidRDefault="00304FCE" w:rsidP="00304FCE">
            <w:pPr>
              <w:jc w:val="both"/>
              <w:rPr>
                <w:rFonts w:ascii="Times New Roman" w:eastAsia="Times New Roman" w:hAnsi="Times New Roman" w:cs="Times New Roman"/>
                <w:b/>
                <w:bCs/>
                <w:color w:val="0D0D0D"/>
                <w:sz w:val="16"/>
                <w:szCs w:val="16"/>
                <w:lang w:eastAsia="lv-LV"/>
              </w:rPr>
            </w:pPr>
          </w:p>
        </w:tc>
        <w:tc>
          <w:tcPr>
            <w:tcW w:w="1005" w:type="dxa"/>
            <w:tcBorders>
              <w:top w:val="single" w:sz="4" w:space="0" w:color="auto"/>
              <w:left w:val="nil"/>
              <w:bottom w:val="single" w:sz="4" w:space="0" w:color="auto"/>
              <w:right w:val="single" w:sz="4" w:space="0" w:color="auto"/>
            </w:tcBorders>
            <w:shd w:val="clear" w:color="auto" w:fill="BFBFBF"/>
            <w:vAlign w:val="center"/>
          </w:tcPr>
          <w:p w14:paraId="5078C350"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Nav norādīti</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43E9C701"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Mazāki par 780,00 EUR</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7A843D43"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No 780,00 EUR līdz 929,99 EUR</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14:paraId="3E2F339E"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No 930,00 EUR līdz 1600,00 EUR</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tcPr>
          <w:p w14:paraId="33DC0D0A"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No 1600,01 līdz 2500,00 EUR</w:t>
            </w:r>
          </w:p>
        </w:tc>
        <w:tc>
          <w:tcPr>
            <w:tcW w:w="1306" w:type="dxa"/>
            <w:tcBorders>
              <w:top w:val="single" w:sz="4" w:space="0" w:color="auto"/>
              <w:left w:val="single" w:sz="4" w:space="0" w:color="auto"/>
              <w:bottom w:val="single" w:sz="4" w:space="0" w:color="auto"/>
              <w:right w:val="single" w:sz="4" w:space="0" w:color="auto"/>
            </w:tcBorders>
            <w:shd w:val="clear" w:color="auto" w:fill="BFBFBF"/>
            <w:vAlign w:val="center"/>
          </w:tcPr>
          <w:p w14:paraId="1BED0DE7"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Virs 2500,00 EUR</w:t>
            </w:r>
          </w:p>
        </w:tc>
      </w:tr>
      <w:tr w:rsidR="00304FCE" w:rsidRPr="00304FCE" w14:paraId="34C90398" w14:textId="77777777" w:rsidTr="00304FCE">
        <w:trPr>
          <w:trHeight w:val="120"/>
        </w:trPr>
        <w:tc>
          <w:tcPr>
            <w:tcW w:w="9244" w:type="dxa"/>
            <w:gridSpan w:val="7"/>
            <w:shd w:val="clear" w:color="auto" w:fill="F2F2F2"/>
            <w:vAlign w:val="center"/>
          </w:tcPr>
          <w:p w14:paraId="281B278D"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lang w:eastAsia="lv-LV"/>
              </w:rPr>
              <w:t>Būvniecības nozare</w:t>
            </w:r>
          </w:p>
        </w:tc>
      </w:tr>
      <w:tr w:rsidR="00304FCE" w:rsidRPr="00304FCE" w14:paraId="3D4C497C"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1E9BC0FA"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bottom"/>
          </w:tcPr>
          <w:p w14:paraId="5846F9B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5E75CA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38,9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7D9D407"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AA7B8D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F6B78C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7904841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4,7</w:t>
            </w:r>
          </w:p>
        </w:tc>
      </w:tr>
      <w:tr w:rsidR="00304FCE" w:rsidRPr="00304FCE" w14:paraId="489A4FB9"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32ABFFE0"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bottom"/>
          </w:tcPr>
          <w:p w14:paraId="0B84087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6344CF9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34,7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1DD777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83D5B1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4DB433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12,4</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5AAD622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5,8</w:t>
            </w:r>
          </w:p>
        </w:tc>
      </w:tr>
      <w:tr w:rsidR="00304FCE" w:rsidRPr="00304FCE" w14:paraId="5CB6E064"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62F14DD6"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bottom"/>
          </w:tcPr>
          <w:p w14:paraId="5E43FE9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18A6CE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6818EE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54D0E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7DDCC6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15,2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52F6AF7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7,5</w:t>
            </w:r>
          </w:p>
        </w:tc>
      </w:tr>
      <w:tr w:rsidR="00304FCE" w:rsidRPr="00304FCE" w14:paraId="0853B9FB" w14:textId="77777777" w:rsidTr="00304FCE">
        <w:trPr>
          <w:trHeight w:val="136"/>
        </w:trPr>
        <w:tc>
          <w:tcPr>
            <w:tcW w:w="9244" w:type="dxa"/>
            <w:gridSpan w:val="7"/>
            <w:shd w:val="clear" w:color="auto" w:fill="F2F2F2"/>
            <w:vAlign w:val="center"/>
          </w:tcPr>
          <w:p w14:paraId="6ECB4CF1"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rPr>
              <w:t xml:space="preserve">Ēku būvniecība </w:t>
            </w:r>
            <w:r w:rsidRPr="00304FCE">
              <w:rPr>
                <w:rFonts w:ascii="Times New Roman" w:eastAsia="Times New Roman" w:hAnsi="Times New Roman" w:cs="Times New Roman"/>
                <w:color w:val="000000"/>
                <w:sz w:val="16"/>
                <w:szCs w:val="16"/>
              </w:rPr>
              <w:t>(</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41)</w:t>
            </w:r>
          </w:p>
        </w:tc>
      </w:tr>
      <w:tr w:rsidR="00304FCE" w:rsidRPr="00304FCE" w14:paraId="21BC7A0C"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0F12928D"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568CDFD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57368C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41,3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786C2C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7EB202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19,9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23CC25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8,7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7FF9805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5,4</w:t>
            </w:r>
          </w:p>
        </w:tc>
      </w:tr>
      <w:tr w:rsidR="00304FCE" w:rsidRPr="00304FCE" w14:paraId="605052E2"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56A2D0EF"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3F3651F7"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21F3553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36,3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F18C25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E49FF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22,7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4DA3D3F"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336C644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6,7</w:t>
            </w:r>
          </w:p>
        </w:tc>
      </w:tr>
      <w:tr w:rsidR="00304FCE" w:rsidRPr="00304FCE" w14:paraId="0268BC91"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04888671"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049A4478"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2D41518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DE1D97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C60D598"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25,3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9EEEB8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12,7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6DCD920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8,0</w:t>
            </w:r>
          </w:p>
        </w:tc>
      </w:tr>
      <w:tr w:rsidR="00304FCE" w:rsidRPr="00304FCE" w14:paraId="0C8BCBE2" w14:textId="77777777" w:rsidTr="00304FCE">
        <w:trPr>
          <w:trHeight w:val="70"/>
        </w:trPr>
        <w:tc>
          <w:tcPr>
            <w:tcW w:w="9244" w:type="dxa"/>
            <w:gridSpan w:val="7"/>
            <w:shd w:val="clear" w:color="auto" w:fill="F2F2F2"/>
            <w:vAlign w:val="center"/>
          </w:tcPr>
          <w:p w14:paraId="0716B0DD"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rPr>
              <w:t xml:space="preserve">Inženierbūvniecība </w:t>
            </w:r>
            <w:r w:rsidRPr="00304FCE">
              <w:rPr>
                <w:rFonts w:ascii="Times New Roman" w:eastAsia="Times New Roman" w:hAnsi="Times New Roman" w:cs="Times New Roman"/>
                <w:color w:val="000000"/>
                <w:sz w:val="16"/>
                <w:szCs w:val="16"/>
              </w:rPr>
              <w:t>(</w:t>
            </w:r>
            <w:r w:rsidRPr="00304FCE">
              <w:rPr>
                <w:rFonts w:ascii="Times New Roman" w:eastAsia="Times New Roman" w:hAnsi="Times New Roman" w:cs="Times New Roman"/>
                <w:i/>
                <w:iCs/>
                <w:color w:val="000000"/>
                <w:sz w:val="16"/>
                <w:szCs w:val="16"/>
              </w:rPr>
              <w:t xml:space="preserve">NACE </w:t>
            </w:r>
            <w:r w:rsidRPr="00304FCE">
              <w:rPr>
                <w:rFonts w:ascii="Times New Roman" w:eastAsia="Times New Roman" w:hAnsi="Times New Roman" w:cs="Times New Roman"/>
                <w:color w:val="000000"/>
                <w:sz w:val="16"/>
                <w:szCs w:val="16"/>
              </w:rPr>
              <w:t>2.red. kods 42)</w:t>
            </w:r>
          </w:p>
        </w:tc>
      </w:tr>
      <w:tr w:rsidR="00304FCE" w:rsidRPr="00304FCE" w14:paraId="43AB88E9"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6A194D0B"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67AD9988"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9E7D6F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25,3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E2F86E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057CB8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33,1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326B71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17,8</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5F4A6257"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7,5</w:t>
            </w:r>
          </w:p>
        </w:tc>
      </w:tr>
      <w:tr w:rsidR="00304FCE" w:rsidRPr="00304FCE" w14:paraId="172D79F4" w14:textId="77777777" w:rsidTr="001F20D9">
        <w:trPr>
          <w:trHeight w:val="110"/>
        </w:trPr>
        <w:tc>
          <w:tcPr>
            <w:tcW w:w="1263" w:type="dxa"/>
            <w:tcBorders>
              <w:top w:val="nil"/>
              <w:left w:val="single" w:sz="4" w:space="0" w:color="auto"/>
              <w:bottom w:val="single" w:sz="4" w:space="0" w:color="auto"/>
              <w:right w:val="single" w:sz="4" w:space="0" w:color="auto"/>
            </w:tcBorders>
            <w:vAlign w:val="center"/>
          </w:tcPr>
          <w:p w14:paraId="26B01C4D"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4D3A7EA7"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5819ADD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C2F4E3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DD8CC3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32,7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11FC01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21</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2A18DEF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8,8</w:t>
            </w:r>
          </w:p>
        </w:tc>
      </w:tr>
      <w:tr w:rsidR="00304FCE" w:rsidRPr="00304FCE" w14:paraId="4EA689F1" w14:textId="77777777" w:rsidTr="001F20D9">
        <w:trPr>
          <w:trHeight w:val="110"/>
        </w:trPr>
        <w:tc>
          <w:tcPr>
            <w:tcW w:w="1263" w:type="dxa"/>
            <w:tcBorders>
              <w:top w:val="nil"/>
              <w:left w:val="single" w:sz="4" w:space="0" w:color="auto"/>
              <w:bottom w:val="single" w:sz="4" w:space="0" w:color="auto"/>
              <w:right w:val="single" w:sz="4" w:space="0" w:color="auto"/>
            </w:tcBorders>
            <w:vAlign w:val="center"/>
          </w:tcPr>
          <w:p w14:paraId="46AC342C"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575A4E1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E733EA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6371BCD"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5,4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B327BD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29,7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AC59DF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25,0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5A4971F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11,4</w:t>
            </w:r>
          </w:p>
        </w:tc>
      </w:tr>
      <w:tr w:rsidR="00304FCE" w:rsidRPr="00304FCE" w14:paraId="2C3F50F3" w14:textId="77777777" w:rsidTr="00304FCE">
        <w:trPr>
          <w:trHeight w:val="70"/>
        </w:trPr>
        <w:tc>
          <w:tcPr>
            <w:tcW w:w="9244" w:type="dxa"/>
            <w:gridSpan w:val="7"/>
            <w:shd w:val="clear" w:color="auto" w:fill="F2F2F2"/>
            <w:vAlign w:val="center"/>
          </w:tcPr>
          <w:p w14:paraId="6606C1A2"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rPr>
              <w:t xml:space="preserve">Specializētie būvdarbi </w:t>
            </w:r>
            <w:r w:rsidRPr="00304FCE">
              <w:rPr>
                <w:rFonts w:ascii="Times New Roman" w:eastAsia="Times New Roman" w:hAnsi="Times New Roman" w:cs="Times New Roman"/>
                <w:color w:val="000000"/>
                <w:sz w:val="16"/>
                <w:szCs w:val="16"/>
              </w:rPr>
              <w:t>(</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43)</w:t>
            </w:r>
          </w:p>
        </w:tc>
      </w:tr>
      <w:tr w:rsidR="00304FCE" w:rsidRPr="00304FCE" w14:paraId="7B4A724C"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14113FBD"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74C6F7B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101B3C2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46,0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FE0191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33018B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30301D"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6,0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0EB2C55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2,0</w:t>
            </w:r>
          </w:p>
        </w:tc>
      </w:tr>
      <w:tr w:rsidR="00304FCE" w:rsidRPr="00304FCE" w14:paraId="67202E60"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720FD4ED"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64688A1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1986C09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41,0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198379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98FBDD"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303119F"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8,2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17C7CD6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3,0</w:t>
            </w:r>
          </w:p>
        </w:tc>
      </w:tr>
      <w:tr w:rsidR="00304FCE" w:rsidRPr="00304FCE" w14:paraId="76198E9A" w14:textId="77777777" w:rsidTr="001F20D9">
        <w:trPr>
          <w:trHeight w:val="53"/>
        </w:trPr>
        <w:tc>
          <w:tcPr>
            <w:tcW w:w="1263" w:type="dxa"/>
            <w:tcBorders>
              <w:top w:val="nil"/>
              <w:left w:val="single" w:sz="4" w:space="0" w:color="auto"/>
              <w:bottom w:val="single" w:sz="4" w:space="0" w:color="auto"/>
              <w:right w:val="single" w:sz="4" w:space="0" w:color="auto"/>
            </w:tcBorders>
            <w:vAlign w:val="center"/>
          </w:tcPr>
          <w:p w14:paraId="58A01508"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05" w:type="dxa"/>
            <w:tcBorders>
              <w:top w:val="single" w:sz="4" w:space="0" w:color="auto"/>
              <w:left w:val="nil"/>
              <w:bottom w:val="single" w:sz="4" w:space="0" w:color="auto"/>
              <w:right w:val="single" w:sz="4" w:space="0" w:color="auto"/>
            </w:tcBorders>
            <w:shd w:val="clear" w:color="auto" w:fill="auto"/>
            <w:vAlign w:val="bottom"/>
          </w:tcPr>
          <w:p w14:paraId="1053ACED"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51DAB7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36,6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E486E0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BB2664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25,6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6097F5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11,0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14:paraId="456606A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lang w:eastAsia="lv-LV"/>
              </w:rPr>
              <w:t>4,5</w:t>
            </w:r>
          </w:p>
        </w:tc>
      </w:tr>
    </w:tbl>
    <w:p w14:paraId="4D809FA8" w14:textId="77777777" w:rsidR="00304FCE" w:rsidRPr="00304FCE" w:rsidRDefault="00304FCE" w:rsidP="00304FCE">
      <w:pPr>
        <w:shd w:val="clear" w:color="auto" w:fill="FFFFFF"/>
        <w:spacing w:after="0" w:line="240" w:lineRule="auto"/>
        <w:jc w:val="both"/>
        <w:rPr>
          <w:rFonts w:ascii="Times New Roman" w:eastAsia="Times New Roman" w:hAnsi="Times New Roman" w:cs="Times New Roman"/>
          <w:color w:val="0D0D0D"/>
          <w:kern w:val="0"/>
          <w:sz w:val="8"/>
          <w:szCs w:val="8"/>
          <w:lang w:eastAsia="lv-LV"/>
          <w14:ligatures w14:val="none"/>
        </w:rPr>
      </w:pPr>
    </w:p>
    <w:p w14:paraId="5A79D7A8" w14:textId="77777777" w:rsidR="00304FCE" w:rsidRPr="00304FCE" w:rsidRDefault="00304FCE" w:rsidP="00304FCE">
      <w:pPr>
        <w:shd w:val="clear" w:color="auto" w:fill="FFFFFF"/>
        <w:spacing w:after="0" w:line="240" w:lineRule="auto"/>
        <w:ind w:firstLine="709"/>
        <w:jc w:val="both"/>
        <w:rPr>
          <w:rFonts w:ascii="Times New Roman" w:eastAsia="Times New Roman" w:hAnsi="Times New Roman" w:cs="Times New Roman"/>
          <w:color w:val="0D0D0D"/>
          <w:kern w:val="0"/>
          <w:sz w:val="24"/>
          <w:szCs w:val="24"/>
          <w:lang w:eastAsia="lv-LV"/>
          <w14:ligatures w14:val="none"/>
        </w:rPr>
      </w:pPr>
      <w:r w:rsidRPr="00304FCE">
        <w:rPr>
          <w:rFonts w:ascii="Times New Roman" w:eastAsia="Times New Roman" w:hAnsi="Times New Roman" w:cs="Times New Roman"/>
          <w:color w:val="0D0D0D"/>
          <w:kern w:val="0"/>
          <w:sz w:val="24"/>
          <w:szCs w:val="24"/>
          <w:lang w:eastAsia="lv-LV"/>
          <w14:ligatures w14:val="none"/>
        </w:rPr>
        <w:t xml:space="preserve">Analizējot darba devējus sadalījumā pēc nodarbinātajiem aprēķinātajiem vidējiem darba ienākumiem mēnesī, 2023. gadā vairāk nekā puse no visiem būvniecības nozares darba devējiem aprēķinājuši vidējos darba ienākumus saviem darbiniekiem mazākus par 780 EUR </w:t>
      </w:r>
      <w:r w:rsidRPr="00304FCE">
        <w:rPr>
          <w:rFonts w:ascii="Times New Roman" w:eastAsia="Times New Roman" w:hAnsi="Times New Roman" w:cs="Times New Roman"/>
          <w:color w:val="0D0D0D"/>
          <w:kern w:val="0"/>
          <w:sz w:val="24"/>
          <w:szCs w:val="24"/>
          <w:lang w:eastAsia="lv-LV"/>
          <w14:ligatures w14:val="none"/>
        </w:rPr>
        <w:br/>
        <w:t>(10. tabula). Jāatzīmē, ka šādu darba devēju īpatsvars lēnām samazinās, palielinoties to darba devēju īpatsvaram, kuru aprēķinātie vidējie darba ienākumi darbiniekiem mēnesī ir lielāki.</w:t>
      </w:r>
    </w:p>
    <w:p w14:paraId="0F5329E4" w14:textId="77777777" w:rsidR="00304FCE" w:rsidRPr="00304FCE" w:rsidRDefault="00304FCE" w:rsidP="00304FCE">
      <w:pPr>
        <w:shd w:val="clear" w:color="auto" w:fill="FFFFFF"/>
        <w:spacing w:after="0" w:line="240" w:lineRule="auto"/>
        <w:jc w:val="both"/>
        <w:rPr>
          <w:rFonts w:ascii="Times New Roman" w:eastAsia="Times New Roman" w:hAnsi="Times New Roman" w:cs="Times New Roman"/>
          <w:color w:val="0D0D0D"/>
          <w:kern w:val="0"/>
          <w:sz w:val="12"/>
          <w:szCs w:val="12"/>
          <w:lang w:eastAsia="lv-LV"/>
          <w14:ligatures w14:val="none"/>
        </w:rPr>
      </w:pPr>
    </w:p>
    <w:p w14:paraId="047ACBDA" w14:textId="77777777" w:rsidR="00304FCE" w:rsidRPr="00304FCE" w:rsidRDefault="00304FCE" w:rsidP="00304FCE">
      <w:pPr>
        <w:shd w:val="clear" w:color="auto" w:fill="FFFFFF"/>
        <w:spacing w:after="0" w:line="240" w:lineRule="auto"/>
        <w:rPr>
          <w:rFonts w:ascii="Times New Roman" w:eastAsia="Times New Roman" w:hAnsi="Times New Roman" w:cs="Times New Roman"/>
          <w:i/>
          <w:iCs/>
          <w:color w:val="0D0D0D"/>
          <w:kern w:val="0"/>
          <w:lang w:eastAsia="lv-LV"/>
          <w14:ligatures w14:val="none"/>
        </w:rPr>
      </w:pPr>
      <w:r w:rsidRPr="00304FCE">
        <w:rPr>
          <w:rFonts w:ascii="Times New Roman" w:eastAsia="Times New Roman" w:hAnsi="Times New Roman" w:cs="Times New Roman"/>
          <w:i/>
          <w:iCs/>
          <w:color w:val="0D0D0D"/>
          <w:kern w:val="0"/>
          <w:lang w:eastAsia="lv-LV"/>
          <w14:ligatures w14:val="none"/>
        </w:rPr>
        <w:t>10. tabula. Darba devēju skaita sadalījums pēc darbiniekiem vidējiem aprēķinātajiem darba ienākumiem mēnesī</w:t>
      </w:r>
    </w:p>
    <w:tbl>
      <w:tblPr>
        <w:tblStyle w:val="TableGrid"/>
        <w:tblW w:w="9351" w:type="dxa"/>
        <w:tblLook w:val="04A0" w:firstRow="1" w:lastRow="0" w:firstColumn="1" w:lastColumn="0" w:noHBand="0" w:noVBand="1"/>
      </w:tblPr>
      <w:tblGrid>
        <w:gridCol w:w="1151"/>
        <w:gridCol w:w="1075"/>
        <w:gridCol w:w="1255"/>
        <w:gridCol w:w="1395"/>
        <w:gridCol w:w="1533"/>
        <w:gridCol w:w="1524"/>
        <w:gridCol w:w="1418"/>
      </w:tblGrid>
      <w:tr w:rsidR="00304FCE" w:rsidRPr="00304FCE" w14:paraId="6E6DB350" w14:textId="77777777" w:rsidTr="00304FCE">
        <w:trPr>
          <w:trHeight w:val="226"/>
          <w:tblHeader/>
        </w:trPr>
        <w:tc>
          <w:tcPr>
            <w:tcW w:w="1151" w:type="dxa"/>
            <w:vMerge w:val="restart"/>
            <w:shd w:val="clear" w:color="auto" w:fill="BFBFBF"/>
            <w:vAlign w:val="center"/>
          </w:tcPr>
          <w:p w14:paraId="75EB0A43"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lang w:eastAsia="lv-LV"/>
              </w:rPr>
              <w:t>Periods</w:t>
            </w:r>
          </w:p>
        </w:tc>
        <w:tc>
          <w:tcPr>
            <w:tcW w:w="8200" w:type="dxa"/>
            <w:gridSpan w:val="6"/>
            <w:tcBorders>
              <w:bottom w:val="single" w:sz="4" w:space="0" w:color="auto"/>
            </w:tcBorders>
            <w:shd w:val="clear" w:color="auto" w:fill="BFBFBF"/>
            <w:vAlign w:val="center"/>
          </w:tcPr>
          <w:p w14:paraId="54F5A2A7"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lang w:eastAsia="lv-LV"/>
              </w:rPr>
              <w:t>Darba devēju aprēķinātie vidējie darba ienākumi darbiniekiem mēnesī</w:t>
            </w:r>
          </w:p>
        </w:tc>
      </w:tr>
      <w:tr w:rsidR="00304FCE" w:rsidRPr="00304FCE" w14:paraId="5510CB5B" w14:textId="77777777" w:rsidTr="00304FCE">
        <w:trPr>
          <w:trHeight w:val="129"/>
          <w:tblHeader/>
        </w:trPr>
        <w:tc>
          <w:tcPr>
            <w:tcW w:w="1151" w:type="dxa"/>
            <w:vMerge/>
            <w:shd w:val="clear" w:color="auto" w:fill="BFBFBF"/>
          </w:tcPr>
          <w:p w14:paraId="0184EB51" w14:textId="77777777" w:rsidR="00304FCE" w:rsidRPr="00304FCE" w:rsidRDefault="00304FCE" w:rsidP="00304FCE">
            <w:pPr>
              <w:jc w:val="both"/>
              <w:rPr>
                <w:rFonts w:ascii="Times New Roman" w:eastAsia="Times New Roman" w:hAnsi="Times New Roman" w:cs="Times New Roman"/>
                <w:b/>
                <w:bCs/>
                <w:color w:val="0D0D0D"/>
                <w:sz w:val="16"/>
                <w:szCs w:val="16"/>
                <w:lang w:eastAsia="lv-LV"/>
              </w:rPr>
            </w:pPr>
          </w:p>
        </w:tc>
        <w:tc>
          <w:tcPr>
            <w:tcW w:w="1075" w:type="dxa"/>
            <w:tcBorders>
              <w:top w:val="single" w:sz="4" w:space="0" w:color="auto"/>
              <w:left w:val="nil"/>
              <w:bottom w:val="single" w:sz="4" w:space="0" w:color="auto"/>
              <w:right w:val="single" w:sz="4" w:space="0" w:color="auto"/>
            </w:tcBorders>
            <w:shd w:val="clear" w:color="auto" w:fill="BFBFBF"/>
            <w:vAlign w:val="center"/>
          </w:tcPr>
          <w:p w14:paraId="63444197"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Nav norādīti</w:t>
            </w:r>
          </w:p>
        </w:tc>
        <w:tc>
          <w:tcPr>
            <w:tcW w:w="1255" w:type="dxa"/>
            <w:tcBorders>
              <w:top w:val="single" w:sz="4" w:space="0" w:color="auto"/>
              <w:left w:val="single" w:sz="4" w:space="0" w:color="auto"/>
              <w:bottom w:val="single" w:sz="4" w:space="0" w:color="auto"/>
              <w:right w:val="single" w:sz="4" w:space="0" w:color="auto"/>
            </w:tcBorders>
            <w:shd w:val="clear" w:color="auto" w:fill="BFBFBF"/>
            <w:vAlign w:val="center"/>
          </w:tcPr>
          <w:p w14:paraId="4C951C6A"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Mazāki par 780,00 EUR</w:t>
            </w:r>
          </w:p>
        </w:tc>
        <w:tc>
          <w:tcPr>
            <w:tcW w:w="1395" w:type="dxa"/>
            <w:tcBorders>
              <w:top w:val="single" w:sz="4" w:space="0" w:color="auto"/>
              <w:left w:val="single" w:sz="4" w:space="0" w:color="auto"/>
              <w:bottom w:val="single" w:sz="4" w:space="0" w:color="auto"/>
              <w:right w:val="single" w:sz="4" w:space="0" w:color="auto"/>
            </w:tcBorders>
            <w:shd w:val="clear" w:color="auto" w:fill="BFBFBF"/>
            <w:vAlign w:val="center"/>
          </w:tcPr>
          <w:p w14:paraId="0F6FFCA8"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No 780,00 EUR līdz 929,99 EUR</w:t>
            </w:r>
          </w:p>
        </w:tc>
        <w:tc>
          <w:tcPr>
            <w:tcW w:w="1533" w:type="dxa"/>
            <w:tcBorders>
              <w:top w:val="single" w:sz="4" w:space="0" w:color="auto"/>
              <w:left w:val="single" w:sz="4" w:space="0" w:color="auto"/>
              <w:bottom w:val="single" w:sz="4" w:space="0" w:color="auto"/>
              <w:right w:val="single" w:sz="4" w:space="0" w:color="auto"/>
            </w:tcBorders>
            <w:shd w:val="clear" w:color="auto" w:fill="BFBFBF"/>
            <w:vAlign w:val="center"/>
          </w:tcPr>
          <w:p w14:paraId="563C6CF5"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No 930,00 EUR līdz 1600,00 EUR</w:t>
            </w:r>
          </w:p>
        </w:tc>
        <w:tc>
          <w:tcPr>
            <w:tcW w:w="1524" w:type="dxa"/>
            <w:tcBorders>
              <w:top w:val="single" w:sz="4" w:space="0" w:color="auto"/>
              <w:left w:val="single" w:sz="4" w:space="0" w:color="auto"/>
              <w:bottom w:val="single" w:sz="4" w:space="0" w:color="auto"/>
              <w:right w:val="single" w:sz="4" w:space="0" w:color="auto"/>
            </w:tcBorders>
            <w:shd w:val="clear" w:color="auto" w:fill="BFBFBF"/>
            <w:vAlign w:val="center"/>
          </w:tcPr>
          <w:p w14:paraId="672CC81F"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No 1600,01 līdz 2500,00 EUR</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3C06344A"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Calibri" w:hAnsi="Times New Roman" w:cs="Times New Roman"/>
                <w:b/>
                <w:bCs/>
                <w:color w:val="0D0D0D"/>
                <w:sz w:val="16"/>
                <w:szCs w:val="16"/>
              </w:rPr>
              <w:t>Virs 2500,00 EUR</w:t>
            </w:r>
          </w:p>
        </w:tc>
      </w:tr>
      <w:tr w:rsidR="00304FCE" w:rsidRPr="00304FCE" w14:paraId="07BD72CC" w14:textId="77777777" w:rsidTr="00304FCE">
        <w:trPr>
          <w:trHeight w:val="226"/>
        </w:trPr>
        <w:tc>
          <w:tcPr>
            <w:tcW w:w="9351" w:type="dxa"/>
            <w:gridSpan w:val="7"/>
            <w:shd w:val="clear" w:color="auto" w:fill="F2F2F2"/>
            <w:vAlign w:val="center"/>
          </w:tcPr>
          <w:p w14:paraId="00563F0C"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lang w:eastAsia="lv-LV"/>
              </w:rPr>
              <w:t>Būvniecības nozare</w:t>
            </w:r>
          </w:p>
        </w:tc>
      </w:tr>
      <w:tr w:rsidR="00304FCE" w:rsidRPr="00304FCE" w14:paraId="043D5082"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09E9C1DF"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67BF4DF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15,6</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1FA028"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65,5</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254FE8C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6,8</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05A2411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9,7</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3CA7A93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713234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0,5</w:t>
            </w:r>
          </w:p>
        </w:tc>
      </w:tr>
      <w:tr w:rsidR="00304FCE" w:rsidRPr="00304FCE" w14:paraId="649D2E42"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3F464C6A"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06EE5966"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13,4</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0E85E33"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62,6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6D726A38"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7,9</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5961E02D"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12,5</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1AE21111"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DB5702C"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0,7</w:t>
            </w:r>
          </w:p>
        </w:tc>
      </w:tr>
      <w:tr w:rsidR="00304FCE" w:rsidRPr="00304FCE" w14:paraId="300EC190"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7D0497ED"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34456C4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12,4</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657284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57,5</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38B0C86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8,8</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7105732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16,2</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7920A26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02F21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1,0</w:t>
            </w:r>
          </w:p>
        </w:tc>
      </w:tr>
      <w:tr w:rsidR="00304FCE" w:rsidRPr="00304FCE" w14:paraId="2FEA40A3" w14:textId="77777777" w:rsidTr="00304FCE">
        <w:trPr>
          <w:trHeight w:val="226"/>
        </w:trPr>
        <w:tc>
          <w:tcPr>
            <w:tcW w:w="9351" w:type="dxa"/>
            <w:gridSpan w:val="7"/>
            <w:shd w:val="clear" w:color="auto" w:fill="F2F2F2"/>
            <w:vAlign w:val="center"/>
          </w:tcPr>
          <w:p w14:paraId="41247D5D"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rPr>
              <w:t xml:space="preserve">Ēku būvniecība </w:t>
            </w:r>
            <w:r w:rsidRPr="00304FCE">
              <w:rPr>
                <w:rFonts w:ascii="Times New Roman" w:eastAsia="Times New Roman" w:hAnsi="Times New Roman" w:cs="Times New Roman"/>
                <w:color w:val="000000"/>
                <w:sz w:val="16"/>
                <w:szCs w:val="16"/>
              </w:rPr>
              <w:t>(</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41)</w:t>
            </w:r>
          </w:p>
        </w:tc>
      </w:tr>
      <w:tr w:rsidR="00304FCE" w:rsidRPr="00304FCE" w14:paraId="5ECDE122"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48BE7D9D"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4EE5C60D"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16,2</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EBCEA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65,5</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7463555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6,7</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21CD32A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8,7</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581C56D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23BE50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0,7</w:t>
            </w:r>
          </w:p>
        </w:tc>
      </w:tr>
      <w:tr w:rsidR="00304FCE" w:rsidRPr="00304FCE" w14:paraId="0BE1AC20"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1B42B9E8"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69E2C9FA"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14,5</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C6B6DB6"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61,8</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005CBC8F"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7,8</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00BA5A79"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11,5</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082D80FE"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4BA587E"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0,9</w:t>
            </w:r>
          </w:p>
        </w:tc>
      </w:tr>
      <w:tr w:rsidR="00304FCE" w:rsidRPr="00304FCE" w14:paraId="3FE33C78"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6B94ECA3"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4B471F14"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13,5</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801178"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57,1</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062ADBD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8,8</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3540D09A"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15,3</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128F7A5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554C3A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1,2</w:t>
            </w:r>
          </w:p>
        </w:tc>
      </w:tr>
      <w:tr w:rsidR="00304FCE" w:rsidRPr="00304FCE" w14:paraId="37649AF7" w14:textId="77777777" w:rsidTr="00304FCE">
        <w:trPr>
          <w:trHeight w:val="226"/>
        </w:trPr>
        <w:tc>
          <w:tcPr>
            <w:tcW w:w="9351" w:type="dxa"/>
            <w:gridSpan w:val="7"/>
            <w:shd w:val="clear" w:color="auto" w:fill="F2F2F2"/>
            <w:vAlign w:val="center"/>
          </w:tcPr>
          <w:p w14:paraId="0B93926A"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rPr>
              <w:t xml:space="preserve">Inženierbūvniecība </w:t>
            </w:r>
            <w:r w:rsidRPr="00304FCE">
              <w:rPr>
                <w:rFonts w:ascii="Times New Roman" w:eastAsia="Times New Roman" w:hAnsi="Times New Roman" w:cs="Times New Roman"/>
                <w:color w:val="000000"/>
                <w:sz w:val="16"/>
                <w:szCs w:val="16"/>
              </w:rPr>
              <w:t>(</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42)</w:t>
            </w:r>
          </w:p>
        </w:tc>
      </w:tr>
      <w:tr w:rsidR="00304FCE" w:rsidRPr="00304FCE" w14:paraId="6D9BDD74"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2999C0E3"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0A897F10"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10,0</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DC3DEF"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58,0</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3740F1B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8,0</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51859E9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18,3</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0E211D8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4,3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775CF3B"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1,4</w:t>
            </w:r>
          </w:p>
        </w:tc>
      </w:tr>
      <w:tr w:rsidR="00304FCE" w:rsidRPr="00304FCE" w14:paraId="1B5723BE"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0F8B8EE0"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77F4D1DB"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8,8</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623BE64"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54,7</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244BB14F"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8,5</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06DDF945"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20,4</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0CB0902E"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C97EC75"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1,6</w:t>
            </w:r>
          </w:p>
        </w:tc>
      </w:tr>
      <w:tr w:rsidR="00304FCE" w:rsidRPr="00304FCE" w14:paraId="15F11586"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7902DE67"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7E1AFFF6"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8,5</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CDA8BF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49,7</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17381F2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8,2</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5F0F08D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22,9</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5ED2B708"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4C49E1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2,1</w:t>
            </w:r>
          </w:p>
        </w:tc>
      </w:tr>
      <w:tr w:rsidR="00304FCE" w:rsidRPr="00304FCE" w14:paraId="355376C2" w14:textId="77777777" w:rsidTr="00304FCE">
        <w:trPr>
          <w:trHeight w:val="226"/>
        </w:trPr>
        <w:tc>
          <w:tcPr>
            <w:tcW w:w="9351" w:type="dxa"/>
            <w:gridSpan w:val="7"/>
            <w:shd w:val="clear" w:color="auto" w:fill="F2F2F2"/>
            <w:vAlign w:val="center"/>
          </w:tcPr>
          <w:p w14:paraId="5CD36841" w14:textId="77777777" w:rsidR="00304FCE" w:rsidRPr="00304FCE" w:rsidRDefault="00304FCE" w:rsidP="00304FCE">
            <w:pPr>
              <w:jc w:val="center"/>
              <w:rPr>
                <w:rFonts w:ascii="Times New Roman" w:eastAsia="Times New Roman" w:hAnsi="Times New Roman" w:cs="Times New Roman"/>
                <w:b/>
                <w:bCs/>
                <w:color w:val="0D0D0D"/>
                <w:sz w:val="16"/>
                <w:szCs w:val="16"/>
                <w:lang w:eastAsia="lv-LV"/>
              </w:rPr>
            </w:pPr>
            <w:r w:rsidRPr="00304FCE">
              <w:rPr>
                <w:rFonts w:ascii="Times New Roman" w:eastAsia="Times New Roman" w:hAnsi="Times New Roman" w:cs="Times New Roman"/>
                <w:b/>
                <w:bCs/>
                <w:color w:val="0D0D0D"/>
                <w:sz w:val="16"/>
                <w:szCs w:val="16"/>
              </w:rPr>
              <w:t xml:space="preserve">Specializētie būvdarbi </w:t>
            </w:r>
            <w:r w:rsidRPr="00304FCE">
              <w:rPr>
                <w:rFonts w:ascii="Times New Roman" w:eastAsia="Times New Roman" w:hAnsi="Times New Roman" w:cs="Times New Roman"/>
                <w:color w:val="000000"/>
                <w:sz w:val="16"/>
                <w:szCs w:val="16"/>
              </w:rPr>
              <w:t>(</w:t>
            </w:r>
            <w:r w:rsidRPr="00304FCE">
              <w:rPr>
                <w:rFonts w:ascii="Times New Roman" w:eastAsia="Times New Roman" w:hAnsi="Times New Roman" w:cs="Times New Roman"/>
                <w:i/>
                <w:iCs/>
                <w:color w:val="000000"/>
                <w:sz w:val="16"/>
                <w:szCs w:val="16"/>
              </w:rPr>
              <w:t>NACE</w:t>
            </w:r>
            <w:r w:rsidRPr="00304FCE">
              <w:rPr>
                <w:rFonts w:ascii="Times New Roman" w:eastAsia="Times New Roman" w:hAnsi="Times New Roman" w:cs="Times New Roman"/>
                <w:color w:val="000000"/>
                <w:sz w:val="16"/>
                <w:szCs w:val="16"/>
              </w:rPr>
              <w:t xml:space="preserve"> 2.red. kods 43)</w:t>
            </w:r>
          </w:p>
        </w:tc>
      </w:tr>
      <w:tr w:rsidR="00304FCE" w:rsidRPr="00304FCE" w14:paraId="2432D781"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5DFFAE97"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2021.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34D9C6F3"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16,5</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1B227E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67,2</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4AB28C2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6,5</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3EB7CB4C"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8,4</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2BFF0A9D"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246E10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0,2</w:t>
            </w:r>
          </w:p>
        </w:tc>
      </w:tr>
      <w:tr w:rsidR="00304FCE" w:rsidRPr="00304FCE" w14:paraId="122A0F17"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4D823852"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2022.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17B76E12"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13,7</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3065891"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64,8</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55809D13"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7,9</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4216B90B"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11,5</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7CC5BE59"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92456FD" w14:textId="77777777" w:rsidR="00304FCE" w:rsidRPr="00304FCE" w:rsidRDefault="00304FCE" w:rsidP="00304FCE">
            <w:pPr>
              <w:jc w:val="right"/>
              <w:rPr>
                <w:rFonts w:ascii="Times New Roman" w:eastAsia="Calibri" w:hAnsi="Times New Roman" w:cs="Times New Roman"/>
                <w:color w:val="0D0D0D"/>
                <w:sz w:val="16"/>
                <w:szCs w:val="16"/>
              </w:rPr>
            </w:pPr>
            <w:r w:rsidRPr="00304FCE">
              <w:rPr>
                <w:rFonts w:ascii="Times New Roman" w:eastAsia="Calibri" w:hAnsi="Times New Roman" w:cs="Times New Roman"/>
                <w:color w:val="0D0D0D"/>
                <w:sz w:val="16"/>
                <w:szCs w:val="16"/>
              </w:rPr>
              <w:t>0,3</w:t>
            </w:r>
          </w:p>
        </w:tc>
      </w:tr>
      <w:tr w:rsidR="00304FCE" w:rsidRPr="00304FCE" w14:paraId="60ADE918" w14:textId="77777777" w:rsidTr="001F20D9">
        <w:trPr>
          <w:trHeight w:val="53"/>
        </w:trPr>
        <w:tc>
          <w:tcPr>
            <w:tcW w:w="1151" w:type="dxa"/>
            <w:tcBorders>
              <w:top w:val="nil"/>
              <w:left w:val="single" w:sz="4" w:space="0" w:color="auto"/>
              <w:bottom w:val="single" w:sz="4" w:space="0" w:color="auto"/>
              <w:right w:val="single" w:sz="4" w:space="0" w:color="auto"/>
            </w:tcBorders>
            <w:vAlign w:val="center"/>
          </w:tcPr>
          <w:p w14:paraId="72919D66" w14:textId="77777777" w:rsidR="00304FCE" w:rsidRPr="00304FCE" w:rsidRDefault="00304FCE" w:rsidP="00304FCE">
            <w:pPr>
              <w:jc w:val="both"/>
              <w:rPr>
                <w:rFonts w:ascii="Times New Roman" w:eastAsia="Times New Roman" w:hAnsi="Times New Roman" w:cs="Times New Roman"/>
                <w:color w:val="0D0D0D"/>
                <w:sz w:val="16"/>
                <w:szCs w:val="16"/>
                <w:lang w:eastAsia="lv-LV"/>
              </w:rPr>
            </w:pPr>
            <w:r w:rsidRPr="00304FCE">
              <w:rPr>
                <w:rFonts w:ascii="Times New Roman" w:eastAsia="Times New Roman" w:hAnsi="Times New Roman" w:cs="Times New Roman"/>
                <w:color w:val="0D0D0D"/>
                <w:sz w:val="16"/>
                <w:szCs w:val="16"/>
              </w:rPr>
              <w:t>2023. gads</w:t>
            </w:r>
          </w:p>
        </w:tc>
        <w:tc>
          <w:tcPr>
            <w:tcW w:w="1075" w:type="dxa"/>
            <w:tcBorders>
              <w:top w:val="single" w:sz="4" w:space="0" w:color="auto"/>
              <w:left w:val="nil"/>
              <w:bottom w:val="single" w:sz="4" w:space="0" w:color="auto"/>
              <w:right w:val="single" w:sz="4" w:space="0" w:color="auto"/>
            </w:tcBorders>
            <w:shd w:val="clear" w:color="auto" w:fill="auto"/>
            <w:vAlign w:val="bottom"/>
          </w:tcPr>
          <w:p w14:paraId="57504D29"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12,6</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AD0885"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59,6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bottom"/>
          </w:tcPr>
          <w:p w14:paraId="0F2C9C01"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9,0</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bottom"/>
          </w:tcPr>
          <w:p w14:paraId="3D6982FE"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15,2</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bottom"/>
          </w:tcPr>
          <w:p w14:paraId="13D31FB2"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573A5D7" w14:textId="77777777" w:rsidR="00304FCE" w:rsidRPr="00304FCE" w:rsidRDefault="00304FCE" w:rsidP="00304FCE">
            <w:pPr>
              <w:jc w:val="right"/>
              <w:rPr>
                <w:rFonts w:ascii="Times New Roman" w:eastAsia="Times New Roman" w:hAnsi="Times New Roman" w:cs="Times New Roman"/>
                <w:color w:val="0D0D0D"/>
                <w:sz w:val="16"/>
                <w:szCs w:val="16"/>
                <w:lang w:eastAsia="lv-LV"/>
              </w:rPr>
            </w:pPr>
            <w:r w:rsidRPr="00304FCE">
              <w:rPr>
                <w:rFonts w:ascii="Times New Roman" w:eastAsia="Calibri" w:hAnsi="Times New Roman" w:cs="Times New Roman"/>
                <w:color w:val="0D0D0D"/>
                <w:sz w:val="16"/>
                <w:szCs w:val="16"/>
              </w:rPr>
              <w:t>0,6</w:t>
            </w:r>
          </w:p>
        </w:tc>
      </w:tr>
    </w:tbl>
    <w:p w14:paraId="0AD41C35" w14:textId="77777777" w:rsidR="00304FCE" w:rsidRPr="00304FCE" w:rsidRDefault="00304FCE" w:rsidP="00304FCE">
      <w:pPr>
        <w:shd w:val="clear" w:color="auto" w:fill="FFFFFF"/>
        <w:spacing w:after="0" w:line="240" w:lineRule="auto"/>
        <w:ind w:firstLine="709"/>
        <w:jc w:val="both"/>
        <w:rPr>
          <w:rFonts w:ascii="Times New Roman" w:eastAsia="Calibri" w:hAnsi="Times New Roman" w:cs="Times New Roman"/>
          <w:kern w:val="0"/>
          <w:sz w:val="24"/>
          <w:szCs w:val="24"/>
          <w14:ligatures w14:val="none"/>
        </w:rPr>
      </w:pPr>
    </w:p>
    <w:p w14:paraId="064AD29B" w14:textId="77777777" w:rsidR="00304FCE" w:rsidRPr="00304FCE" w:rsidRDefault="00304FCE" w:rsidP="00304FCE">
      <w:pPr>
        <w:spacing w:after="0" w:line="240" w:lineRule="auto"/>
        <w:ind w:firstLine="720"/>
        <w:jc w:val="both"/>
        <w:rPr>
          <w:rFonts w:ascii="Times New Roman" w:eastAsia="Century Gothic" w:hAnsi="Times New Roman" w:cs="Times New Roman"/>
          <w:b/>
          <w:bCs/>
          <w:color w:val="000000"/>
          <w:kern w:val="0"/>
          <w:sz w:val="24"/>
          <w:szCs w:val="24"/>
          <w14:ligatures w14:val="none"/>
        </w:rPr>
      </w:pPr>
      <w:r w:rsidRPr="00304FCE">
        <w:rPr>
          <w:rFonts w:ascii="Times New Roman" w:eastAsia="Calibri" w:hAnsi="Times New Roman" w:cs="Times New Roman"/>
          <w:b/>
          <w:bCs/>
          <w:kern w:val="0"/>
          <w:sz w:val="24"/>
          <w:szCs w:val="24"/>
          <w14:ligatures w14:val="none"/>
        </w:rPr>
        <w:t>EDLUS un VEDLUDB datu kvalitāte un ticamība</w:t>
      </w:r>
    </w:p>
    <w:p w14:paraId="7F7E445E" w14:textId="77777777" w:rsidR="00304FCE" w:rsidRPr="00304FCE" w:rsidRDefault="00304FCE" w:rsidP="00304FCE">
      <w:pPr>
        <w:tabs>
          <w:tab w:val="left" w:pos="1134"/>
        </w:tabs>
        <w:spacing w:after="0" w:line="240" w:lineRule="auto"/>
        <w:ind w:firstLine="709"/>
        <w:contextualSpacing/>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Līdzīgi iepriekšējiem gadiem konstatēts, ka apakšuzņēmēji izmanto iespēju veikt normatīvajos aktos pieļaujamos labojumus (papildus reģistrējot EDLUS piereģistrēšanās vai izreģistrēšanās laiku)</w:t>
      </w:r>
      <w:r w:rsidRPr="00304FCE">
        <w:rPr>
          <w:rFonts w:ascii="Times New Roman" w:eastAsia="Times New Roman" w:hAnsi="Times New Roman" w:cs="Times New Roman"/>
          <w:color w:val="000000"/>
          <w:kern w:val="0"/>
          <w:sz w:val="24"/>
          <w:szCs w:val="24"/>
          <w:vertAlign w:val="superscript"/>
          <w14:ligatures w14:val="none"/>
        </w:rPr>
        <w:footnoteReference w:id="6"/>
      </w:r>
      <w:r w:rsidRPr="00304FCE">
        <w:rPr>
          <w:rFonts w:ascii="Times New Roman" w:eastAsia="Times New Roman" w:hAnsi="Times New Roman" w:cs="Times New Roman"/>
          <w:color w:val="000000"/>
          <w:kern w:val="0"/>
          <w:sz w:val="24"/>
          <w:szCs w:val="24"/>
          <w14:ligatures w14:val="none"/>
        </w:rPr>
        <w:t xml:space="preserve"> un ne vienmēr papildu labojumi ir pamatoti, kad samazināts faktiski nostrādātais laiks, kas ietekmē VEDLUDB reģistrēto nodarbināto summārā darba laika apmēru kalendāra mēnesī.</w:t>
      </w:r>
    </w:p>
    <w:p w14:paraId="2A11D5F7" w14:textId="77777777" w:rsidR="00304FCE" w:rsidRPr="00304FCE" w:rsidRDefault="00304FCE" w:rsidP="00304FCE">
      <w:pPr>
        <w:tabs>
          <w:tab w:val="left" w:pos="1134"/>
        </w:tabs>
        <w:spacing w:after="0" w:line="240" w:lineRule="auto"/>
        <w:ind w:firstLine="709"/>
        <w:contextualSpacing/>
        <w:jc w:val="both"/>
        <w:rPr>
          <w:rFonts w:ascii="Times New Roman" w:eastAsia="Times New Roman" w:hAnsi="Times New Roman" w:cs="Times New Roman"/>
          <w:strike/>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Konstatēti divi gadījumi, kad EDLUS dod iespēju </w:t>
      </w:r>
      <w:r w:rsidRPr="00304FCE">
        <w:rPr>
          <w:rFonts w:ascii="Times New Roman" w:eastAsia="Times New Roman" w:hAnsi="Times New Roman" w:cs="Times New Roman"/>
          <w:b/>
          <w:bCs/>
          <w:color w:val="000000"/>
          <w:kern w:val="0"/>
          <w:sz w:val="24"/>
          <w:szCs w:val="24"/>
          <w14:ligatures w14:val="none"/>
        </w:rPr>
        <w:t>veikt labojumus reģistrētajā darba laikā</w:t>
      </w:r>
      <w:r w:rsidRPr="00304FCE">
        <w:rPr>
          <w:rFonts w:ascii="Times New Roman" w:eastAsia="Times New Roman" w:hAnsi="Times New Roman" w:cs="Times New Roman"/>
          <w:color w:val="000000"/>
          <w:kern w:val="0"/>
          <w:sz w:val="24"/>
          <w:szCs w:val="24"/>
          <w14:ligatures w14:val="none"/>
        </w:rPr>
        <w:t xml:space="preserve">, lai norādītu laiku, kas ir mazāks par sākotnējo piereģistrēšanās laiku, kā arī darbiniekam </w:t>
      </w:r>
      <w:r w:rsidRPr="00304FCE">
        <w:rPr>
          <w:rFonts w:ascii="Times New Roman" w:eastAsia="Times New Roman" w:hAnsi="Times New Roman" w:cs="Times New Roman"/>
          <w:color w:val="000000"/>
          <w:kern w:val="0"/>
          <w:sz w:val="24"/>
          <w:szCs w:val="24"/>
          <w14:ligatures w14:val="none"/>
        </w:rPr>
        <w:lastRenderedPageBreak/>
        <w:t xml:space="preserve">EDLUS vispār neveido diennakts summāro laiku par būvlaukumā pavadīto laiku diennaktī, ja darbiniekam EDLUS netiek reģistrētas visas darbības – ieiešanas/iziešanas laiks (piemēram, darbinieks ir iegājis būvlaukumā, bet nav izgājis, un tamlīdzīgi). </w:t>
      </w:r>
    </w:p>
    <w:p w14:paraId="094A3C7A" w14:textId="77777777" w:rsidR="00304FCE" w:rsidRPr="00304FCE" w:rsidRDefault="00304FCE" w:rsidP="00304FCE">
      <w:pPr>
        <w:tabs>
          <w:tab w:val="left" w:pos="1134"/>
        </w:tabs>
        <w:spacing w:after="0" w:line="240" w:lineRule="auto"/>
        <w:ind w:firstLine="709"/>
        <w:contextualSpacing/>
        <w:jc w:val="both"/>
        <w:rPr>
          <w:rFonts w:ascii="Times New Roman" w:eastAsia="Times New Roman"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Veicot pārbaudes būvniecības nozarē strādājošiem uzņēmējiem, konstatētas nodarbinātības formas, kuras, iespējams, </w:t>
      </w:r>
      <w:r w:rsidRPr="00304FCE">
        <w:rPr>
          <w:rFonts w:ascii="Times New Roman" w:eastAsia="Times New Roman" w:hAnsi="Times New Roman" w:cs="Times New Roman"/>
          <w:b/>
          <w:bCs/>
          <w:color w:val="000000"/>
          <w:kern w:val="0"/>
          <w:sz w:val="24"/>
          <w:szCs w:val="24"/>
          <w14:ligatures w14:val="none"/>
        </w:rPr>
        <w:t>tiek izmantotas nodokļu optimizēšanas nolūkā</w:t>
      </w:r>
      <w:r w:rsidRPr="00304FCE">
        <w:rPr>
          <w:rFonts w:ascii="Times New Roman" w:eastAsia="Times New Roman" w:hAnsi="Times New Roman" w:cs="Times New Roman"/>
          <w:color w:val="000000"/>
          <w:kern w:val="0"/>
          <w:sz w:val="24"/>
          <w:szCs w:val="24"/>
          <w14:ligatures w14:val="none"/>
        </w:rPr>
        <w:t>, lai samazinātu algas nodokļus, tai skaitā slēptu vai legalizētu nereģistrēto nodarbinātību, piemēram, izmantojot pašnodarbinātas personas pakalpojumus (pārsvarā nelielos objektos) un ārvalstu komersantus, kuri nav reģistrējuši pastāvīgo pārstāvniecību Latvijā. Ņemot vērā, ka pašnodarbinātām personām nostrādātais darba laiks VID nav jādeklarē, savukārt ārvalstu komersanti un to piesaistītie nodarbinātie nav reģistrējušies Latvijā kā nodokļu maksātāji, EDLUS informācijas izmantošana darba laika uzskaites un citu datu salīdzināšanai par šiem būvuzņēmējiem un nodokļu nenomaksas riska identificēšana ir ierobežota.</w:t>
      </w:r>
    </w:p>
    <w:p w14:paraId="7FFEBC54" w14:textId="77777777" w:rsidR="00304FCE" w:rsidRPr="00304FCE" w:rsidRDefault="00304FCE" w:rsidP="00304FCE">
      <w:pPr>
        <w:tabs>
          <w:tab w:val="left" w:pos="1134"/>
        </w:tabs>
        <w:spacing w:after="0" w:line="240" w:lineRule="auto"/>
        <w:ind w:firstLine="709"/>
        <w:contextualSpacing/>
        <w:jc w:val="both"/>
        <w:rPr>
          <w:rFonts w:ascii="Times New Roman" w:eastAsia="Times New Roman" w:hAnsi="Times New Roman" w:cs="Times New Roman"/>
          <w:strike/>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Izmantojot VEDLUDB datus algas nodokļu administrēšanai, konstatēts, ka būvobjektos nodarbinātie Latvijas būvuzņēmēju darba ņēmēji – </w:t>
      </w:r>
      <w:r w:rsidRPr="00304FCE">
        <w:rPr>
          <w:rFonts w:ascii="Times New Roman" w:eastAsia="Times New Roman" w:hAnsi="Times New Roman" w:cs="Times New Roman"/>
          <w:b/>
          <w:bCs/>
          <w:color w:val="000000"/>
          <w:kern w:val="0"/>
          <w:sz w:val="24"/>
          <w:szCs w:val="24"/>
          <w14:ligatures w14:val="none"/>
        </w:rPr>
        <w:t>ārvalstnieki – VEDLUDB iekļauti bez personas koda</w:t>
      </w:r>
      <w:r w:rsidRPr="00304FCE">
        <w:rPr>
          <w:rFonts w:ascii="Times New Roman" w:eastAsia="Times New Roman" w:hAnsi="Times New Roman" w:cs="Times New Roman"/>
          <w:color w:val="000000"/>
          <w:kern w:val="0"/>
          <w:sz w:val="24"/>
          <w:szCs w:val="24"/>
          <w14:ligatures w14:val="none"/>
        </w:rPr>
        <w:t xml:space="preserve">, ko piešķir Pilsonības un migrācijas lietu pārvalde, vai nodokļu maksātāja reģistrācijas koda, ko piešķir VID. </w:t>
      </w:r>
    </w:p>
    <w:p w14:paraId="6A8BE291" w14:textId="77777777" w:rsidR="00304FCE" w:rsidRPr="00304FCE" w:rsidRDefault="00304FCE" w:rsidP="00304FCE">
      <w:pPr>
        <w:tabs>
          <w:tab w:val="left" w:pos="1134"/>
        </w:tabs>
        <w:spacing w:after="0" w:line="240" w:lineRule="auto"/>
        <w:ind w:firstLine="709"/>
        <w:contextualSpacing/>
        <w:jc w:val="both"/>
        <w:rPr>
          <w:rFonts w:ascii="Times New Roman" w:eastAsia="Times New Roman" w:hAnsi="Times New Roman" w:cs="Times New Roman"/>
          <w:strike/>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Konstatēti atsevišķi gadījumi, kad EDLUS </w:t>
      </w:r>
      <w:r w:rsidRPr="00304FCE">
        <w:rPr>
          <w:rFonts w:ascii="Times New Roman" w:eastAsia="Times New Roman" w:hAnsi="Times New Roman" w:cs="Times New Roman"/>
          <w:b/>
          <w:bCs/>
          <w:color w:val="000000"/>
          <w:kern w:val="0"/>
          <w:sz w:val="24"/>
          <w:szCs w:val="24"/>
          <w14:ligatures w14:val="none"/>
        </w:rPr>
        <w:t>dati nav nodoti VEDLUDB un nodokļu maksātāji lietu nav reģistrējuši BIS</w:t>
      </w:r>
      <w:r w:rsidRPr="00304FCE">
        <w:rPr>
          <w:rFonts w:ascii="Times New Roman" w:eastAsia="Times New Roman" w:hAnsi="Times New Roman" w:cs="Times New Roman"/>
          <w:color w:val="000000"/>
          <w:kern w:val="0"/>
          <w:sz w:val="24"/>
          <w:szCs w:val="24"/>
          <w14:ligatures w14:val="none"/>
        </w:rPr>
        <w:t xml:space="preserve">. </w:t>
      </w:r>
    </w:p>
    <w:p w14:paraId="137FBEDA" w14:textId="77777777" w:rsidR="00304FCE" w:rsidRPr="00304FCE" w:rsidRDefault="00304FCE" w:rsidP="00304FCE">
      <w:pPr>
        <w:tabs>
          <w:tab w:val="left" w:pos="1134"/>
        </w:tabs>
        <w:spacing w:after="0" w:line="240" w:lineRule="auto"/>
        <w:ind w:firstLine="709"/>
        <w:jc w:val="both"/>
        <w:rPr>
          <w:rFonts w:ascii="Times New Roman" w:eastAsia="Times New Roman" w:hAnsi="Times New Roman" w:cs="Arial"/>
          <w:kern w:val="0"/>
          <w:sz w:val="28"/>
          <w:szCs w:val="20"/>
          <w:lang w:eastAsia="lv-LV"/>
          <w14:ligatures w14:val="none"/>
        </w:rPr>
      </w:pPr>
      <w:r w:rsidRPr="00304FCE">
        <w:rPr>
          <w:rFonts w:ascii="Times New Roman" w:eastAsia="Times New Roman" w:hAnsi="Times New Roman" w:cs="Times New Roman"/>
          <w:color w:val="000000"/>
          <w:kern w:val="0"/>
          <w:sz w:val="24"/>
          <w:szCs w:val="24"/>
          <w14:ligatures w14:val="none"/>
        </w:rPr>
        <w:t xml:space="preserve">Izvērtējot EDLUS pārziņu iesniegto informāciju, konstatēts, ka atsevišķos gadījumos galvenie būvdarbu veicēji, uzsākot būvdarbus, </w:t>
      </w:r>
      <w:r w:rsidRPr="00304FCE">
        <w:rPr>
          <w:rFonts w:ascii="Times New Roman" w:eastAsia="Times New Roman" w:hAnsi="Times New Roman" w:cs="Times New Roman"/>
          <w:b/>
          <w:bCs/>
          <w:color w:val="000000"/>
          <w:kern w:val="0"/>
          <w:sz w:val="24"/>
          <w:szCs w:val="24"/>
          <w14:ligatures w14:val="none"/>
        </w:rPr>
        <w:t>neiesniedz korektu informāciju VEDLUDB par būvlaukumā izmantotās EDLUS nosaukumu un sistēmas pārzini</w:t>
      </w:r>
      <w:r w:rsidRPr="00304FCE">
        <w:rPr>
          <w:rFonts w:ascii="Times New Roman" w:eastAsia="Times New Roman" w:hAnsi="Times New Roman" w:cs="Times New Roman"/>
          <w:color w:val="000000"/>
          <w:kern w:val="0"/>
          <w:sz w:val="24"/>
          <w:szCs w:val="24"/>
          <w14:ligatures w14:val="none"/>
        </w:rPr>
        <w:t xml:space="preserve">, kas organizē un vada šīs sistēmas darbību. </w:t>
      </w:r>
      <w:r w:rsidRPr="00304FCE">
        <w:rPr>
          <w:rFonts w:ascii="Times New Roman" w:eastAsia="Times New Roman" w:hAnsi="Times New Roman" w:cs="Arial"/>
          <w:color w:val="000000"/>
          <w:kern w:val="0"/>
          <w:sz w:val="24"/>
          <w:szCs w:val="24"/>
          <w:lang w:eastAsia="lv-LV"/>
          <w14:ligatures w14:val="none"/>
        </w:rPr>
        <w:t xml:space="preserve">Pēc 2023. gada augusta datiem, izvērtējot informāciju par 611 VEDLUDB reģistrētiem būvlaukumiem, 95 gadījumos kā EDLUS nosaukums norādīts būvobjekta nosaukums un 116 gadījumos kā EDLUS pārzinis norādītas fiziskās personas, tostarp EDLUS pārziņa vai būvdarbu veicēja darba ņēmēji. </w:t>
      </w:r>
      <w:r w:rsidRPr="00304FCE">
        <w:rPr>
          <w:rFonts w:ascii="Times New Roman" w:eastAsia="Times New Roman" w:hAnsi="Times New Roman" w:cs="Times New Roman"/>
          <w:color w:val="000000"/>
          <w:kern w:val="0"/>
          <w:sz w:val="24"/>
          <w:szCs w:val="24"/>
          <w14:ligatures w14:val="none"/>
        </w:rPr>
        <w:t xml:space="preserve">Par neatbilstībām ir informēts BVKB. </w:t>
      </w:r>
    </w:p>
    <w:p w14:paraId="26C9736F" w14:textId="77777777" w:rsidR="00304FCE" w:rsidRPr="00304FCE" w:rsidRDefault="00304FCE" w:rsidP="00304FCE">
      <w:pPr>
        <w:tabs>
          <w:tab w:val="left" w:pos="1134"/>
        </w:tabs>
        <w:spacing w:after="0" w:line="240" w:lineRule="auto"/>
        <w:ind w:firstLine="709"/>
        <w:contextualSpacing/>
        <w:jc w:val="both"/>
        <w:rPr>
          <w:rFonts w:ascii="Times New Roman" w:eastAsia="Times New Roman" w:hAnsi="Times New Roman" w:cs="Times New Roman"/>
          <w:strike/>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2022. un 2023. gadā kopumā tika iegūti dati no 14 VEDLUDB identificētajiem EDLUS pārziņiem par veikto EDLUS ārējās drošības pārbaudi. </w:t>
      </w:r>
    </w:p>
    <w:p w14:paraId="195E32AF" w14:textId="77777777" w:rsidR="00304FCE" w:rsidRPr="00304FCE" w:rsidRDefault="00304FCE" w:rsidP="00304FCE">
      <w:pPr>
        <w:tabs>
          <w:tab w:val="left" w:pos="1134"/>
        </w:tabs>
        <w:spacing w:before="120" w:after="120" w:line="240" w:lineRule="auto"/>
        <w:ind w:firstLine="709"/>
        <w:contextualSpacing/>
        <w:jc w:val="both"/>
        <w:rPr>
          <w:rFonts w:ascii="Times New Roman" w:eastAsia="Century Gothic" w:hAnsi="Times New Roman" w:cs="Times New Roman"/>
          <w:color w:val="000000"/>
          <w:kern w:val="0"/>
          <w:sz w:val="24"/>
          <w:szCs w:val="24"/>
          <w14:ligatures w14:val="none"/>
        </w:rPr>
      </w:pPr>
      <w:r w:rsidRPr="00304FCE">
        <w:rPr>
          <w:rFonts w:ascii="Times New Roman" w:eastAsia="Times New Roman" w:hAnsi="Times New Roman" w:cs="Times New Roman"/>
          <w:color w:val="000000"/>
          <w:kern w:val="0"/>
          <w:sz w:val="24"/>
          <w:szCs w:val="24"/>
          <w14:ligatures w14:val="none"/>
        </w:rPr>
        <w:t xml:space="preserve">2022. un 2023. gadā VID veica divu EDLUS datubāzes (loģiskās datu kopijas) analīzi. Abos gadījumos konstatēts, ka </w:t>
      </w:r>
      <w:r w:rsidRPr="00304FCE">
        <w:rPr>
          <w:rFonts w:ascii="Times New Roman" w:eastAsia="Times New Roman" w:hAnsi="Times New Roman" w:cs="Times New Roman"/>
          <w:b/>
          <w:bCs/>
          <w:color w:val="000000"/>
          <w:kern w:val="0"/>
          <w:sz w:val="24"/>
          <w:szCs w:val="24"/>
          <w14:ligatures w14:val="none"/>
        </w:rPr>
        <w:t>nav ievērotas normatīvo aktu prasības par datubāzes datu integritātes nodrošināšanu</w:t>
      </w:r>
      <w:r w:rsidRPr="00304FCE">
        <w:rPr>
          <w:rFonts w:ascii="Times New Roman" w:eastAsia="Times New Roman" w:hAnsi="Times New Roman" w:cs="Times New Roman"/>
          <w:color w:val="000000"/>
          <w:kern w:val="0"/>
          <w:sz w:val="24"/>
          <w:szCs w:val="24"/>
          <w14:ligatures w14:val="none"/>
        </w:rPr>
        <w:t>.</w:t>
      </w:r>
    </w:p>
    <w:p w14:paraId="4DCB1061" w14:textId="77777777" w:rsidR="00304FCE" w:rsidRPr="00304FCE" w:rsidRDefault="00304FCE" w:rsidP="00304FCE">
      <w:pPr>
        <w:tabs>
          <w:tab w:val="left" w:pos="1134"/>
        </w:tabs>
        <w:spacing w:before="120" w:after="120" w:line="240" w:lineRule="auto"/>
        <w:ind w:firstLine="709"/>
        <w:contextualSpacing/>
        <w:jc w:val="both"/>
        <w:rPr>
          <w:rFonts w:ascii="Times New Roman" w:eastAsia="Century Gothic" w:hAnsi="Times New Roman" w:cs="Times New Roman"/>
          <w:color w:val="000000"/>
          <w:kern w:val="0"/>
          <w:sz w:val="24"/>
          <w:szCs w:val="24"/>
          <w14:ligatures w14:val="none"/>
        </w:rPr>
      </w:pPr>
    </w:p>
    <w:p w14:paraId="7878D507" w14:textId="77777777" w:rsidR="00245A01" w:rsidRDefault="00245A01"/>
    <w:sectPr w:rsidR="00245A01" w:rsidSect="00304FCE">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1BA1F" w14:textId="77777777" w:rsidR="00001FB9" w:rsidRDefault="00001FB9" w:rsidP="00304FCE">
      <w:pPr>
        <w:spacing w:after="0" w:line="240" w:lineRule="auto"/>
      </w:pPr>
      <w:r>
        <w:separator/>
      </w:r>
    </w:p>
  </w:endnote>
  <w:endnote w:type="continuationSeparator" w:id="0">
    <w:p w14:paraId="4B73984F" w14:textId="77777777" w:rsidR="00001FB9" w:rsidRDefault="00001FB9" w:rsidP="00304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370713"/>
      <w:docPartObj>
        <w:docPartGallery w:val="Page Numbers (Bottom of Page)"/>
        <w:docPartUnique/>
      </w:docPartObj>
    </w:sdtPr>
    <w:sdtEndPr>
      <w:rPr>
        <w:rFonts w:ascii="Times New Roman" w:hAnsi="Times New Roman" w:cs="Times New Roman"/>
      </w:rPr>
    </w:sdtEndPr>
    <w:sdtContent>
      <w:p w14:paraId="5AD59549" w14:textId="15023EAA" w:rsidR="009F607B" w:rsidRPr="009F607B" w:rsidRDefault="009F607B">
        <w:pPr>
          <w:pStyle w:val="Footer"/>
          <w:jc w:val="center"/>
          <w:rPr>
            <w:rFonts w:ascii="Times New Roman" w:hAnsi="Times New Roman" w:cs="Times New Roman"/>
          </w:rPr>
        </w:pPr>
        <w:r w:rsidRPr="009F607B">
          <w:rPr>
            <w:rFonts w:ascii="Times New Roman" w:hAnsi="Times New Roman" w:cs="Times New Roman"/>
          </w:rPr>
          <w:fldChar w:fldCharType="begin"/>
        </w:r>
        <w:r w:rsidRPr="009F607B">
          <w:rPr>
            <w:rFonts w:ascii="Times New Roman" w:hAnsi="Times New Roman" w:cs="Times New Roman"/>
          </w:rPr>
          <w:instrText xml:space="preserve"> PAGE   \* MERGEFORMAT </w:instrText>
        </w:r>
        <w:r w:rsidRPr="009F607B">
          <w:rPr>
            <w:rFonts w:ascii="Times New Roman" w:hAnsi="Times New Roman" w:cs="Times New Roman"/>
          </w:rPr>
          <w:fldChar w:fldCharType="separate"/>
        </w:r>
        <w:r w:rsidRPr="009F607B">
          <w:rPr>
            <w:rFonts w:ascii="Times New Roman" w:hAnsi="Times New Roman" w:cs="Times New Roman"/>
            <w:noProof/>
          </w:rPr>
          <w:t>2</w:t>
        </w:r>
        <w:r w:rsidRPr="009F607B">
          <w:rPr>
            <w:rFonts w:ascii="Times New Roman" w:hAnsi="Times New Roman" w:cs="Times New Roman"/>
            <w:noProof/>
          </w:rPr>
          <w:fldChar w:fldCharType="end"/>
        </w:r>
      </w:p>
    </w:sdtContent>
  </w:sdt>
  <w:p w14:paraId="2C1CD11E" w14:textId="77777777" w:rsidR="009F607B" w:rsidRDefault="009F6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6B6C7" w14:textId="77777777" w:rsidR="00001FB9" w:rsidRDefault="00001FB9" w:rsidP="00304FCE">
      <w:pPr>
        <w:spacing w:after="0" w:line="240" w:lineRule="auto"/>
      </w:pPr>
      <w:r>
        <w:separator/>
      </w:r>
    </w:p>
  </w:footnote>
  <w:footnote w:type="continuationSeparator" w:id="0">
    <w:p w14:paraId="286461B2" w14:textId="77777777" w:rsidR="00001FB9" w:rsidRDefault="00001FB9" w:rsidP="00304FCE">
      <w:pPr>
        <w:spacing w:after="0" w:line="240" w:lineRule="auto"/>
      </w:pPr>
      <w:r>
        <w:continuationSeparator/>
      </w:r>
    </w:p>
  </w:footnote>
  <w:footnote w:id="1">
    <w:p w14:paraId="66BDF3C0" w14:textId="77777777" w:rsidR="00304FCE" w:rsidRPr="00594855" w:rsidRDefault="00304FCE" w:rsidP="00304FCE">
      <w:pPr>
        <w:pStyle w:val="FootnoteText"/>
        <w:rPr>
          <w:rFonts w:ascii="Times New Roman" w:hAnsi="Times New Roman" w:cs="Times New Roman"/>
          <w:sz w:val="16"/>
          <w:szCs w:val="16"/>
        </w:rPr>
      </w:pPr>
      <w:r w:rsidRPr="00594855">
        <w:rPr>
          <w:rStyle w:val="FootnoteReference"/>
          <w:rFonts w:ascii="Times New Roman" w:hAnsi="Times New Roman" w:cs="Times New Roman"/>
          <w:sz w:val="16"/>
          <w:szCs w:val="16"/>
        </w:rPr>
        <w:footnoteRef/>
      </w:r>
      <w:r w:rsidRPr="00594855">
        <w:rPr>
          <w:rFonts w:ascii="Times New Roman" w:hAnsi="Times New Roman" w:cs="Times New Roman"/>
          <w:sz w:val="16"/>
          <w:szCs w:val="16"/>
        </w:rPr>
        <w:t xml:space="preserve"> Centrālās statistikas pārvaldes dati </w:t>
      </w:r>
      <w:hyperlink r:id="rId1" w:history="1">
        <w:r w:rsidRPr="00594855">
          <w:rPr>
            <w:rStyle w:val="Hyperlink1"/>
            <w:rFonts w:ascii="Times New Roman" w:hAnsi="Times New Roman" w:cs="Times New Roman"/>
            <w:sz w:val="16"/>
            <w:szCs w:val="16"/>
          </w:rPr>
          <w:t>https://stat.gov.lv/lv/statistikas-temas/valsts-ekonomika/ikp-istermina/preses-relizes/20753-iekszemes-kopprodukts-2023?themeCode=IK</w:t>
        </w:r>
      </w:hyperlink>
      <w:r w:rsidRPr="00594855">
        <w:rPr>
          <w:rFonts w:ascii="Times New Roman" w:hAnsi="Times New Roman" w:cs="Times New Roman"/>
          <w:sz w:val="16"/>
          <w:szCs w:val="16"/>
        </w:rPr>
        <w:t xml:space="preserve"> </w:t>
      </w:r>
    </w:p>
  </w:footnote>
  <w:footnote w:id="2">
    <w:p w14:paraId="203D0A08" w14:textId="77777777" w:rsidR="00304FCE" w:rsidRPr="00594855" w:rsidRDefault="00304FCE" w:rsidP="00304FCE">
      <w:pPr>
        <w:pStyle w:val="FootnoteText"/>
        <w:jc w:val="both"/>
        <w:rPr>
          <w:rFonts w:ascii="Times New Roman" w:hAnsi="Times New Roman" w:cs="Times New Roman"/>
          <w:sz w:val="16"/>
          <w:szCs w:val="16"/>
        </w:rPr>
      </w:pPr>
      <w:r w:rsidRPr="00594855">
        <w:rPr>
          <w:rStyle w:val="FootnoteReference"/>
          <w:rFonts w:ascii="Times New Roman" w:hAnsi="Times New Roman" w:cs="Times New Roman"/>
          <w:sz w:val="16"/>
          <w:szCs w:val="16"/>
        </w:rPr>
        <w:footnoteRef/>
      </w:r>
      <w:r w:rsidRPr="00594855">
        <w:rPr>
          <w:rFonts w:ascii="Times New Roman" w:hAnsi="Times New Roman" w:cs="Times New Roman"/>
          <w:sz w:val="16"/>
          <w:szCs w:val="16"/>
        </w:rPr>
        <w:t xml:space="preserve"> NACE: Saimniecisko darbību statistiskā klasifikācija Eiropas Kopienā, 2. redakcija:</w:t>
      </w:r>
      <w:r w:rsidRPr="00594855">
        <w:rPr>
          <w:rStyle w:val="Hyperlink1"/>
          <w:rFonts w:ascii="Times New Roman" w:hAnsi="Times New Roman" w:cs="Times New Roman"/>
          <w:sz w:val="16"/>
          <w:szCs w:val="16"/>
        </w:rPr>
        <w:t xml:space="preserve"> </w:t>
      </w:r>
      <w:hyperlink r:id="rId2">
        <w:r w:rsidRPr="00594855">
          <w:rPr>
            <w:rStyle w:val="Hyperlink1"/>
            <w:rFonts w:ascii="Times New Roman" w:hAnsi="Times New Roman" w:cs="Times New Roman"/>
            <w:sz w:val="16"/>
            <w:szCs w:val="16"/>
          </w:rPr>
          <w:t>https://www.csp.gov.lv/lv/klasifikacija/nace-2-red/nace-saimniecisko-darbibu-statistiska-klasifikacija-eiropas-kopiena-2-redakcija</w:t>
        </w:r>
      </w:hyperlink>
    </w:p>
  </w:footnote>
  <w:footnote w:id="3">
    <w:p w14:paraId="60B6A35B" w14:textId="77777777" w:rsidR="00304FCE" w:rsidRPr="00594855" w:rsidRDefault="00304FCE" w:rsidP="00304FCE">
      <w:pPr>
        <w:pStyle w:val="FootnoteText"/>
        <w:jc w:val="both"/>
        <w:rPr>
          <w:rFonts w:ascii="Times New Roman" w:hAnsi="Times New Roman" w:cs="Times New Roman"/>
          <w:sz w:val="16"/>
          <w:szCs w:val="16"/>
        </w:rPr>
      </w:pPr>
      <w:r w:rsidRPr="00594855">
        <w:rPr>
          <w:rStyle w:val="FootnoteReference"/>
          <w:rFonts w:ascii="Times New Roman" w:hAnsi="Times New Roman" w:cs="Times New Roman"/>
          <w:sz w:val="16"/>
          <w:szCs w:val="16"/>
        </w:rPr>
        <w:footnoteRef/>
      </w:r>
      <w:r w:rsidRPr="00594855">
        <w:rPr>
          <w:rFonts w:ascii="Times New Roman" w:hAnsi="Times New Roman" w:cs="Times New Roman"/>
          <w:sz w:val="16"/>
          <w:szCs w:val="16"/>
        </w:rPr>
        <w:t xml:space="preserve"> </w:t>
      </w:r>
      <w:hyperlink r:id="rId3" w:history="1">
        <w:r w:rsidRPr="00594855">
          <w:rPr>
            <w:rStyle w:val="Hyperlink1"/>
            <w:rFonts w:ascii="Times New Roman" w:hAnsi="Times New Roman" w:cs="Times New Roman"/>
            <w:sz w:val="16"/>
            <w:szCs w:val="16"/>
          </w:rPr>
          <w:t>Nodokļu maksātāju skaits 2024. gada 1. janvārī | Valsts ieņēmumu dienests (vid.gov.lv)</w:t>
        </w:r>
      </w:hyperlink>
    </w:p>
  </w:footnote>
  <w:footnote w:id="4">
    <w:p w14:paraId="59A5BAB7" w14:textId="77777777" w:rsidR="00304FCE" w:rsidRPr="00594855" w:rsidRDefault="00304FCE" w:rsidP="00304FCE">
      <w:pPr>
        <w:pStyle w:val="FootnoteText"/>
        <w:jc w:val="both"/>
        <w:rPr>
          <w:rFonts w:ascii="Times New Roman" w:hAnsi="Times New Roman" w:cs="Times New Roman"/>
          <w:sz w:val="16"/>
          <w:szCs w:val="16"/>
        </w:rPr>
      </w:pPr>
      <w:r w:rsidRPr="00594855">
        <w:rPr>
          <w:rStyle w:val="FootnoteReference"/>
          <w:rFonts w:ascii="Times New Roman" w:hAnsi="Times New Roman" w:cs="Times New Roman"/>
          <w:sz w:val="16"/>
          <w:szCs w:val="16"/>
        </w:rPr>
        <w:footnoteRef/>
      </w:r>
      <w:r w:rsidRPr="00594855">
        <w:rPr>
          <w:rFonts w:ascii="Times New Roman" w:hAnsi="Times New Roman" w:cs="Times New Roman"/>
          <w:sz w:val="16"/>
          <w:szCs w:val="16"/>
        </w:rPr>
        <w:t xml:space="preserve"> NACE: Saimniecisko darbību statistiskā klasifikācija Eiropas Kopienā, 2. redakcija:</w:t>
      </w:r>
      <w:r w:rsidRPr="00594855">
        <w:rPr>
          <w:rStyle w:val="Hyperlink1"/>
          <w:rFonts w:ascii="Times New Roman" w:hAnsi="Times New Roman" w:cs="Times New Roman"/>
          <w:sz w:val="16"/>
          <w:szCs w:val="16"/>
        </w:rPr>
        <w:t xml:space="preserve"> </w:t>
      </w:r>
      <w:hyperlink r:id="rId4">
        <w:r w:rsidRPr="00594855">
          <w:rPr>
            <w:rStyle w:val="Hyperlink1"/>
            <w:rFonts w:ascii="Times New Roman" w:hAnsi="Times New Roman" w:cs="Times New Roman"/>
            <w:sz w:val="16"/>
            <w:szCs w:val="16"/>
          </w:rPr>
          <w:t>https://www.csp.gov.lv/lv/klasifikacija/nace-2-red/nace-saimniecisko-darbibu-statistiska-klasifikacija-eiropas-kopiena-2-redakcija</w:t>
        </w:r>
      </w:hyperlink>
    </w:p>
  </w:footnote>
  <w:footnote w:id="5">
    <w:p w14:paraId="45F8E475" w14:textId="77777777" w:rsidR="00304FCE" w:rsidRPr="00594855" w:rsidRDefault="00304FCE" w:rsidP="00304FCE">
      <w:pPr>
        <w:pStyle w:val="FootnoteText"/>
        <w:jc w:val="both"/>
        <w:rPr>
          <w:rFonts w:ascii="Times New Roman" w:hAnsi="Times New Roman" w:cs="Times New Roman"/>
          <w:sz w:val="16"/>
          <w:szCs w:val="16"/>
        </w:rPr>
      </w:pPr>
      <w:r w:rsidRPr="00304FCE">
        <w:rPr>
          <w:rStyle w:val="FootnoteReference"/>
          <w:rFonts w:ascii="Times New Roman" w:hAnsi="Times New Roman" w:cs="Times New Roman"/>
          <w:color w:val="0D0D0D"/>
          <w:sz w:val="16"/>
          <w:szCs w:val="16"/>
        </w:rPr>
        <w:footnoteRef/>
      </w:r>
      <w:r w:rsidRPr="00304FCE">
        <w:rPr>
          <w:rFonts w:ascii="Times New Roman" w:hAnsi="Times New Roman" w:cs="Times New Roman"/>
          <w:color w:val="0D0D0D"/>
          <w:sz w:val="16"/>
          <w:szCs w:val="16"/>
        </w:rPr>
        <w:t xml:space="preserve"> </w:t>
      </w:r>
      <w:r w:rsidRPr="00304FCE">
        <w:rPr>
          <w:rFonts w:ascii="Times New Roman" w:eastAsia="Times New Roman" w:hAnsi="Times New Roman" w:cs="Times New Roman"/>
          <w:color w:val="0D0D0D"/>
          <w:sz w:val="16"/>
          <w:szCs w:val="16"/>
          <w:lang w:eastAsia="lv-LV"/>
        </w:rPr>
        <w:t>Ja darba ņēmējs nodarbināts pie vairākiem darba devējiem, darba ienākumi tiek uzskaitīti katrā darba vietā atsevišķi.</w:t>
      </w:r>
    </w:p>
  </w:footnote>
  <w:footnote w:id="6">
    <w:p w14:paraId="78613E82" w14:textId="77777777" w:rsidR="00304FCE" w:rsidRPr="00CC43A0" w:rsidRDefault="00304FCE" w:rsidP="00304FCE">
      <w:pPr>
        <w:pStyle w:val="FootnoteText"/>
        <w:rPr>
          <w:rFonts w:ascii="Times New Roman" w:hAnsi="Times New Roman" w:cs="Times New Roman"/>
          <w:sz w:val="16"/>
          <w:szCs w:val="16"/>
        </w:rPr>
      </w:pPr>
      <w:r w:rsidRPr="00CC43A0">
        <w:rPr>
          <w:rStyle w:val="FootnoteReference"/>
          <w:rFonts w:ascii="Times New Roman" w:hAnsi="Times New Roman" w:cs="Times New Roman"/>
          <w:sz w:val="16"/>
          <w:szCs w:val="16"/>
        </w:rPr>
        <w:footnoteRef/>
      </w:r>
      <w:r w:rsidRPr="00CC43A0">
        <w:rPr>
          <w:rFonts w:ascii="Times New Roman" w:hAnsi="Times New Roman" w:cs="Times New Roman"/>
          <w:sz w:val="16"/>
          <w:szCs w:val="16"/>
        </w:rPr>
        <w:t xml:space="preserve"> </w:t>
      </w:r>
      <w:hyperlink r:id="rId5" w:history="1">
        <w:r w:rsidRPr="00CC43A0">
          <w:rPr>
            <w:rStyle w:val="Hyperlink1"/>
            <w:rFonts w:ascii="Times New Roman" w:hAnsi="Times New Roman" w:cs="Times New Roman"/>
            <w:sz w:val="16"/>
            <w:szCs w:val="16"/>
          </w:rPr>
          <w:t>https://likumi.lv/ta/id/33946-par-nodokliem-un-nodevam</w:t>
        </w:r>
      </w:hyperlink>
      <w:r w:rsidRPr="00CC43A0">
        <w:rPr>
          <w:rFonts w:ascii="Times New Roman" w:hAnsi="Times New Roman" w:cs="Times New Roman"/>
          <w:sz w:val="16"/>
          <w:szCs w:val="16"/>
        </w:rPr>
        <w:t xml:space="preserve"> Likums par nodokļiem un nodevām XIV nodaļa. Elektroniskās informācijas uzskaite būvlaukumā un tās izmantošana</w:t>
      </w:r>
      <w:r>
        <w:rPr>
          <w:rFonts w:ascii="Times New Roman" w:hAnsi="Times New Roman" w:cs="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73D59"/>
    <w:multiLevelType w:val="hybridMultilevel"/>
    <w:tmpl w:val="AFD654BA"/>
    <w:lvl w:ilvl="0" w:tplc="FADECD1E">
      <w:start w:val="1"/>
      <w:numFmt w:val="decimal"/>
      <w:lvlText w:val="%1)"/>
      <w:lvlJc w:val="left"/>
      <w:pPr>
        <w:ind w:left="1440" w:hanging="360"/>
      </w:pPr>
      <w:rPr>
        <w:rFonts w:ascii="Times New Roman" w:eastAsia="Century Gothic" w:hAnsi="Times New Roman" w:cs="Times New Roman"/>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8880886"/>
    <w:multiLevelType w:val="hybridMultilevel"/>
    <w:tmpl w:val="634610C2"/>
    <w:lvl w:ilvl="0" w:tplc="231C43E2">
      <w:start w:val="1"/>
      <w:numFmt w:val="bullet"/>
      <w:lvlRestart w:val="0"/>
      <w:lvlText w:val=""/>
      <w:lvlJc w:val="left"/>
      <w:pPr>
        <w:ind w:left="0" w:firstLine="705"/>
      </w:pPr>
      <w:rPr>
        <w:u w:val="none"/>
      </w:rPr>
    </w:lvl>
    <w:lvl w:ilvl="1" w:tplc="934A0FD0">
      <w:numFmt w:val="decimal"/>
      <w:lvlText w:val=""/>
      <w:lvlJc w:val="left"/>
    </w:lvl>
    <w:lvl w:ilvl="2" w:tplc="01F0B04A">
      <w:numFmt w:val="decimal"/>
      <w:lvlText w:val=""/>
      <w:lvlJc w:val="left"/>
    </w:lvl>
    <w:lvl w:ilvl="3" w:tplc="AF4C6A16">
      <w:numFmt w:val="decimal"/>
      <w:lvlText w:val=""/>
      <w:lvlJc w:val="left"/>
    </w:lvl>
    <w:lvl w:ilvl="4" w:tplc="5B6E0292">
      <w:numFmt w:val="decimal"/>
      <w:lvlText w:val=""/>
      <w:lvlJc w:val="left"/>
    </w:lvl>
    <w:lvl w:ilvl="5" w:tplc="1CE61804">
      <w:numFmt w:val="decimal"/>
      <w:lvlText w:val=""/>
      <w:lvlJc w:val="left"/>
    </w:lvl>
    <w:lvl w:ilvl="6" w:tplc="BFD04124">
      <w:numFmt w:val="decimal"/>
      <w:lvlText w:val=""/>
      <w:lvlJc w:val="left"/>
    </w:lvl>
    <w:lvl w:ilvl="7" w:tplc="5D3AD16A">
      <w:numFmt w:val="decimal"/>
      <w:lvlText w:val=""/>
      <w:lvlJc w:val="left"/>
    </w:lvl>
    <w:lvl w:ilvl="8" w:tplc="7E10C51C">
      <w:numFmt w:val="decimal"/>
      <w:lvlText w:val=""/>
      <w:lvlJc w:val="left"/>
    </w:lvl>
  </w:abstractNum>
  <w:abstractNum w:abstractNumId="2" w15:restartNumberingAfterBreak="0">
    <w:nsid w:val="08A132B1"/>
    <w:multiLevelType w:val="hybridMultilevel"/>
    <w:tmpl w:val="F4003A3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B810415"/>
    <w:multiLevelType w:val="hybridMultilevel"/>
    <w:tmpl w:val="BBE86AD6"/>
    <w:lvl w:ilvl="0" w:tplc="061A8228">
      <w:start w:val="7"/>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4" w15:restartNumberingAfterBreak="0">
    <w:nsid w:val="0CBA7F75"/>
    <w:multiLevelType w:val="hybridMultilevel"/>
    <w:tmpl w:val="04580078"/>
    <w:lvl w:ilvl="0" w:tplc="4288D772">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8F66C7"/>
    <w:multiLevelType w:val="hybridMultilevel"/>
    <w:tmpl w:val="409E6CAC"/>
    <w:lvl w:ilvl="0" w:tplc="7004BE1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0A4C72"/>
    <w:multiLevelType w:val="hybridMultilevel"/>
    <w:tmpl w:val="0A9416F2"/>
    <w:lvl w:ilvl="0" w:tplc="F76C9F8A">
      <w:numFmt w:val="bullet"/>
      <w:lvlText w:val="-"/>
      <w:lvlJc w:val="left"/>
      <w:pPr>
        <w:ind w:left="666" w:hanging="360"/>
      </w:pPr>
      <w:rPr>
        <w:rFonts w:ascii="Times New Roman" w:eastAsia="Times New Roman" w:hAnsi="Times New Roman" w:cs="Times New Roman" w:hint="default"/>
      </w:rPr>
    </w:lvl>
    <w:lvl w:ilvl="1" w:tplc="04260003" w:tentative="1">
      <w:start w:val="1"/>
      <w:numFmt w:val="bullet"/>
      <w:lvlText w:val="o"/>
      <w:lvlJc w:val="left"/>
      <w:pPr>
        <w:ind w:left="1386" w:hanging="360"/>
      </w:pPr>
      <w:rPr>
        <w:rFonts w:ascii="Courier New" w:hAnsi="Courier New" w:cs="Courier New" w:hint="default"/>
      </w:rPr>
    </w:lvl>
    <w:lvl w:ilvl="2" w:tplc="04260005" w:tentative="1">
      <w:start w:val="1"/>
      <w:numFmt w:val="bullet"/>
      <w:lvlText w:val=""/>
      <w:lvlJc w:val="left"/>
      <w:pPr>
        <w:ind w:left="2106" w:hanging="360"/>
      </w:pPr>
      <w:rPr>
        <w:rFonts w:ascii="Wingdings" w:hAnsi="Wingdings" w:hint="default"/>
      </w:rPr>
    </w:lvl>
    <w:lvl w:ilvl="3" w:tplc="04260001" w:tentative="1">
      <w:start w:val="1"/>
      <w:numFmt w:val="bullet"/>
      <w:lvlText w:val=""/>
      <w:lvlJc w:val="left"/>
      <w:pPr>
        <w:ind w:left="2826" w:hanging="360"/>
      </w:pPr>
      <w:rPr>
        <w:rFonts w:ascii="Symbol" w:hAnsi="Symbol" w:hint="default"/>
      </w:rPr>
    </w:lvl>
    <w:lvl w:ilvl="4" w:tplc="04260003" w:tentative="1">
      <w:start w:val="1"/>
      <w:numFmt w:val="bullet"/>
      <w:lvlText w:val="o"/>
      <w:lvlJc w:val="left"/>
      <w:pPr>
        <w:ind w:left="3546" w:hanging="360"/>
      </w:pPr>
      <w:rPr>
        <w:rFonts w:ascii="Courier New" w:hAnsi="Courier New" w:cs="Courier New" w:hint="default"/>
      </w:rPr>
    </w:lvl>
    <w:lvl w:ilvl="5" w:tplc="04260005" w:tentative="1">
      <w:start w:val="1"/>
      <w:numFmt w:val="bullet"/>
      <w:lvlText w:val=""/>
      <w:lvlJc w:val="left"/>
      <w:pPr>
        <w:ind w:left="4266" w:hanging="360"/>
      </w:pPr>
      <w:rPr>
        <w:rFonts w:ascii="Wingdings" w:hAnsi="Wingdings" w:hint="default"/>
      </w:rPr>
    </w:lvl>
    <w:lvl w:ilvl="6" w:tplc="04260001" w:tentative="1">
      <w:start w:val="1"/>
      <w:numFmt w:val="bullet"/>
      <w:lvlText w:val=""/>
      <w:lvlJc w:val="left"/>
      <w:pPr>
        <w:ind w:left="4986" w:hanging="360"/>
      </w:pPr>
      <w:rPr>
        <w:rFonts w:ascii="Symbol" w:hAnsi="Symbol" w:hint="default"/>
      </w:rPr>
    </w:lvl>
    <w:lvl w:ilvl="7" w:tplc="04260003" w:tentative="1">
      <w:start w:val="1"/>
      <w:numFmt w:val="bullet"/>
      <w:lvlText w:val="o"/>
      <w:lvlJc w:val="left"/>
      <w:pPr>
        <w:ind w:left="5706" w:hanging="360"/>
      </w:pPr>
      <w:rPr>
        <w:rFonts w:ascii="Courier New" w:hAnsi="Courier New" w:cs="Courier New" w:hint="default"/>
      </w:rPr>
    </w:lvl>
    <w:lvl w:ilvl="8" w:tplc="04260005" w:tentative="1">
      <w:start w:val="1"/>
      <w:numFmt w:val="bullet"/>
      <w:lvlText w:val=""/>
      <w:lvlJc w:val="left"/>
      <w:pPr>
        <w:ind w:left="6426" w:hanging="360"/>
      </w:pPr>
      <w:rPr>
        <w:rFonts w:ascii="Wingdings" w:hAnsi="Wingdings" w:hint="default"/>
      </w:rPr>
    </w:lvl>
  </w:abstractNum>
  <w:abstractNum w:abstractNumId="7" w15:restartNumberingAfterBreak="0">
    <w:nsid w:val="10F702AF"/>
    <w:multiLevelType w:val="hybridMultilevel"/>
    <w:tmpl w:val="8312BA7C"/>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9544FDC"/>
    <w:multiLevelType w:val="hybridMultilevel"/>
    <w:tmpl w:val="FE20B832"/>
    <w:lvl w:ilvl="0" w:tplc="4288D772">
      <w:start w:val="1"/>
      <w:numFmt w:val="decimal"/>
      <w:lvlText w:val="%1."/>
      <w:lvlJc w:val="left"/>
      <w:pPr>
        <w:ind w:left="177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9" w15:restartNumberingAfterBreak="0">
    <w:nsid w:val="215C0F93"/>
    <w:multiLevelType w:val="hybridMultilevel"/>
    <w:tmpl w:val="438258E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2463137F"/>
    <w:multiLevelType w:val="hybridMultilevel"/>
    <w:tmpl w:val="773A6CBE"/>
    <w:lvl w:ilvl="0" w:tplc="E696ACFA">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1" w15:restartNumberingAfterBreak="0">
    <w:nsid w:val="250B6418"/>
    <w:multiLevelType w:val="hybridMultilevel"/>
    <w:tmpl w:val="046887AA"/>
    <w:lvl w:ilvl="0" w:tplc="2F543000">
      <w:start w:val="1"/>
      <w:numFmt w:val="bullet"/>
      <w:lvlText w:val="-"/>
      <w:lvlJc w:val="left"/>
      <w:pPr>
        <w:ind w:left="720" w:hanging="360"/>
      </w:pPr>
      <w:rPr>
        <w:rFonts w:ascii="Calibri" w:hAnsi="Calibri" w:hint="default"/>
      </w:rPr>
    </w:lvl>
    <w:lvl w:ilvl="1" w:tplc="E9B430A6">
      <w:start w:val="1"/>
      <w:numFmt w:val="bullet"/>
      <w:lvlText w:val="o"/>
      <w:lvlJc w:val="left"/>
      <w:pPr>
        <w:ind w:left="1440" w:hanging="360"/>
      </w:pPr>
      <w:rPr>
        <w:rFonts w:ascii="Courier New" w:hAnsi="Courier New" w:hint="default"/>
      </w:rPr>
    </w:lvl>
    <w:lvl w:ilvl="2" w:tplc="ACEED202">
      <w:start w:val="1"/>
      <w:numFmt w:val="bullet"/>
      <w:lvlText w:val=""/>
      <w:lvlJc w:val="left"/>
      <w:pPr>
        <w:ind w:left="2160" w:hanging="360"/>
      </w:pPr>
      <w:rPr>
        <w:rFonts w:ascii="Wingdings" w:hAnsi="Wingdings" w:hint="default"/>
      </w:rPr>
    </w:lvl>
    <w:lvl w:ilvl="3" w:tplc="46A48CD4">
      <w:start w:val="1"/>
      <w:numFmt w:val="bullet"/>
      <w:lvlText w:val=""/>
      <w:lvlJc w:val="left"/>
      <w:pPr>
        <w:ind w:left="2880" w:hanging="360"/>
      </w:pPr>
      <w:rPr>
        <w:rFonts w:ascii="Symbol" w:hAnsi="Symbol" w:hint="default"/>
      </w:rPr>
    </w:lvl>
    <w:lvl w:ilvl="4" w:tplc="355A2CF4">
      <w:start w:val="1"/>
      <w:numFmt w:val="bullet"/>
      <w:lvlText w:val="o"/>
      <w:lvlJc w:val="left"/>
      <w:pPr>
        <w:ind w:left="3600" w:hanging="360"/>
      </w:pPr>
      <w:rPr>
        <w:rFonts w:ascii="Courier New" w:hAnsi="Courier New" w:hint="default"/>
      </w:rPr>
    </w:lvl>
    <w:lvl w:ilvl="5" w:tplc="DF3EE0D2">
      <w:start w:val="1"/>
      <w:numFmt w:val="bullet"/>
      <w:lvlText w:val=""/>
      <w:lvlJc w:val="left"/>
      <w:pPr>
        <w:ind w:left="4320" w:hanging="360"/>
      </w:pPr>
      <w:rPr>
        <w:rFonts w:ascii="Wingdings" w:hAnsi="Wingdings" w:hint="default"/>
      </w:rPr>
    </w:lvl>
    <w:lvl w:ilvl="6" w:tplc="9B3023A8">
      <w:start w:val="1"/>
      <w:numFmt w:val="bullet"/>
      <w:lvlText w:val=""/>
      <w:lvlJc w:val="left"/>
      <w:pPr>
        <w:ind w:left="5040" w:hanging="360"/>
      </w:pPr>
      <w:rPr>
        <w:rFonts w:ascii="Symbol" w:hAnsi="Symbol" w:hint="default"/>
      </w:rPr>
    </w:lvl>
    <w:lvl w:ilvl="7" w:tplc="5544ABFE">
      <w:start w:val="1"/>
      <w:numFmt w:val="bullet"/>
      <w:lvlText w:val="o"/>
      <w:lvlJc w:val="left"/>
      <w:pPr>
        <w:ind w:left="5760" w:hanging="360"/>
      </w:pPr>
      <w:rPr>
        <w:rFonts w:ascii="Courier New" w:hAnsi="Courier New" w:hint="default"/>
      </w:rPr>
    </w:lvl>
    <w:lvl w:ilvl="8" w:tplc="AC5E4322">
      <w:start w:val="1"/>
      <w:numFmt w:val="bullet"/>
      <w:lvlText w:val=""/>
      <w:lvlJc w:val="left"/>
      <w:pPr>
        <w:ind w:left="6480" w:hanging="360"/>
      </w:pPr>
      <w:rPr>
        <w:rFonts w:ascii="Wingdings" w:hAnsi="Wingdings" w:hint="default"/>
      </w:rPr>
    </w:lvl>
  </w:abstractNum>
  <w:abstractNum w:abstractNumId="12" w15:restartNumberingAfterBreak="0">
    <w:nsid w:val="277C061E"/>
    <w:multiLevelType w:val="hybridMultilevel"/>
    <w:tmpl w:val="2C5E7652"/>
    <w:lvl w:ilvl="0" w:tplc="E696ACFA">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9F84193"/>
    <w:multiLevelType w:val="hybridMultilevel"/>
    <w:tmpl w:val="0402207A"/>
    <w:lvl w:ilvl="0" w:tplc="792C1E3A">
      <w:start w:val="1"/>
      <w:numFmt w:val="decimal"/>
      <w:lvlText w:val="%1."/>
      <w:lvlJc w:val="left"/>
      <w:pPr>
        <w:ind w:left="1356" w:hanging="360"/>
      </w:pPr>
      <w:rPr>
        <w:rFonts w:hint="default"/>
        <w:b w:val="0"/>
      </w:rPr>
    </w:lvl>
    <w:lvl w:ilvl="1" w:tplc="04260019" w:tentative="1">
      <w:start w:val="1"/>
      <w:numFmt w:val="lowerLetter"/>
      <w:lvlText w:val="%2."/>
      <w:lvlJc w:val="left"/>
      <w:pPr>
        <w:ind w:left="2076" w:hanging="360"/>
      </w:pPr>
    </w:lvl>
    <w:lvl w:ilvl="2" w:tplc="0426001B" w:tentative="1">
      <w:start w:val="1"/>
      <w:numFmt w:val="lowerRoman"/>
      <w:lvlText w:val="%3."/>
      <w:lvlJc w:val="right"/>
      <w:pPr>
        <w:ind w:left="2796" w:hanging="180"/>
      </w:pPr>
    </w:lvl>
    <w:lvl w:ilvl="3" w:tplc="0426000F" w:tentative="1">
      <w:start w:val="1"/>
      <w:numFmt w:val="decimal"/>
      <w:lvlText w:val="%4."/>
      <w:lvlJc w:val="left"/>
      <w:pPr>
        <w:ind w:left="3516" w:hanging="360"/>
      </w:pPr>
    </w:lvl>
    <w:lvl w:ilvl="4" w:tplc="04260019" w:tentative="1">
      <w:start w:val="1"/>
      <w:numFmt w:val="lowerLetter"/>
      <w:lvlText w:val="%5."/>
      <w:lvlJc w:val="left"/>
      <w:pPr>
        <w:ind w:left="4236" w:hanging="360"/>
      </w:pPr>
    </w:lvl>
    <w:lvl w:ilvl="5" w:tplc="0426001B" w:tentative="1">
      <w:start w:val="1"/>
      <w:numFmt w:val="lowerRoman"/>
      <w:lvlText w:val="%6."/>
      <w:lvlJc w:val="right"/>
      <w:pPr>
        <w:ind w:left="4956" w:hanging="180"/>
      </w:pPr>
    </w:lvl>
    <w:lvl w:ilvl="6" w:tplc="0426000F" w:tentative="1">
      <w:start w:val="1"/>
      <w:numFmt w:val="decimal"/>
      <w:lvlText w:val="%7."/>
      <w:lvlJc w:val="left"/>
      <w:pPr>
        <w:ind w:left="5676" w:hanging="360"/>
      </w:pPr>
    </w:lvl>
    <w:lvl w:ilvl="7" w:tplc="04260019" w:tentative="1">
      <w:start w:val="1"/>
      <w:numFmt w:val="lowerLetter"/>
      <w:lvlText w:val="%8."/>
      <w:lvlJc w:val="left"/>
      <w:pPr>
        <w:ind w:left="6396" w:hanging="360"/>
      </w:pPr>
    </w:lvl>
    <w:lvl w:ilvl="8" w:tplc="0426001B" w:tentative="1">
      <w:start w:val="1"/>
      <w:numFmt w:val="lowerRoman"/>
      <w:lvlText w:val="%9."/>
      <w:lvlJc w:val="right"/>
      <w:pPr>
        <w:ind w:left="7116" w:hanging="180"/>
      </w:pPr>
    </w:lvl>
  </w:abstractNum>
  <w:abstractNum w:abstractNumId="14" w15:restartNumberingAfterBreak="0">
    <w:nsid w:val="2AC3245A"/>
    <w:multiLevelType w:val="hybridMultilevel"/>
    <w:tmpl w:val="007A966C"/>
    <w:lvl w:ilvl="0" w:tplc="48542AF6">
      <w:start w:val="1"/>
      <w:numFmt w:val="decimal"/>
      <w:lvlText w:val="%1."/>
      <w:lvlJc w:val="left"/>
      <w:pPr>
        <w:ind w:left="1090" w:hanging="370"/>
      </w:pPr>
      <w:rPr>
        <w:rFonts w:ascii="Times New Roman" w:eastAsia="Times New Roman" w:hAnsi="Times New Roman" w:cs="Times New Roman"/>
      </w:rPr>
    </w:lvl>
    <w:lvl w:ilvl="1" w:tplc="FA32DFAE" w:tentative="1">
      <w:start w:val="1"/>
      <w:numFmt w:val="lowerLetter"/>
      <w:lvlText w:val="%2."/>
      <w:lvlJc w:val="left"/>
      <w:pPr>
        <w:ind w:left="1800" w:hanging="360"/>
      </w:pPr>
    </w:lvl>
    <w:lvl w:ilvl="2" w:tplc="C9FC7CCA" w:tentative="1">
      <w:start w:val="1"/>
      <w:numFmt w:val="lowerRoman"/>
      <w:lvlText w:val="%3."/>
      <w:lvlJc w:val="right"/>
      <w:pPr>
        <w:ind w:left="2520" w:hanging="180"/>
      </w:pPr>
    </w:lvl>
    <w:lvl w:ilvl="3" w:tplc="F404F9E0" w:tentative="1">
      <w:start w:val="1"/>
      <w:numFmt w:val="decimal"/>
      <w:lvlText w:val="%4."/>
      <w:lvlJc w:val="left"/>
      <w:pPr>
        <w:ind w:left="3240" w:hanging="360"/>
      </w:pPr>
    </w:lvl>
    <w:lvl w:ilvl="4" w:tplc="97B6928A" w:tentative="1">
      <w:start w:val="1"/>
      <w:numFmt w:val="lowerLetter"/>
      <w:lvlText w:val="%5."/>
      <w:lvlJc w:val="left"/>
      <w:pPr>
        <w:ind w:left="3960" w:hanging="360"/>
      </w:pPr>
    </w:lvl>
    <w:lvl w:ilvl="5" w:tplc="2FDA39AC" w:tentative="1">
      <w:start w:val="1"/>
      <w:numFmt w:val="lowerRoman"/>
      <w:lvlText w:val="%6."/>
      <w:lvlJc w:val="right"/>
      <w:pPr>
        <w:ind w:left="4680" w:hanging="180"/>
      </w:pPr>
    </w:lvl>
    <w:lvl w:ilvl="6" w:tplc="C80625AE" w:tentative="1">
      <w:start w:val="1"/>
      <w:numFmt w:val="decimal"/>
      <w:lvlText w:val="%7."/>
      <w:lvlJc w:val="left"/>
      <w:pPr>
        <w:ind w:left="5400" w:hanging="360"/>
      </w:pPr>
    </w:lvl>
    <w:lvl w:ilvl="7" w:tplc="0620636A" w:tentative="1">
      <w:start w:val="1"/>
      <w:numFmt w:val="lowerLetter"/>
      <w:lvlText w:val="%8."/>
      <w:lvlJc w:val="left"/>
      <w:pPr>
        <w:ind w:left="6120" w:hanging="360"/>
      </w:pPr>
    </w:lvl>
    <w:lvl w:ilvl="8" w:tplc="4A6A2906" w:tentative="1">
      <w:start w:val="1"/>
      <w:numFmt w:val="lowerRoman"/>
      <w:lvlText w:val="%9."/>
      <w:lvlJc w:val="right"/>
      <w:pPr>
        <w:ind w:left="6840" w:hanging="180"/>
      </w:pPr>
    </w:lvl>
  </w:abstractNum>
  <w:abstractNum w:abstractNumId="15" w15:restartNumberingAfterBreak="0">
    <w:nsid w:val="2BFB6A3F"/>
    <w:multiLevelType w:val="hybridMultilevel"/>
    <w:tmpl w:val="FFD40AC0"/>
    <w:lvl w:ilvl="0" w:tplc="D7CC5D8C">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52494D"/>
    <w:multiLevelType w:val="hybridMultilevel"/>
    <w:tmpl w:val="A350D110"/>
    <w:lvl w:ilvl="0" w:tplc="7004BE1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1262C3F"/>
    <w:multiLevelType w:val="multilevel"/>
    <w:tmpl w:val="E5F21038"/>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1402BA8"/>
    <w:multiLevelType w:val="hybridMultilevel"/>
    <w:tmpl w:val="E3663F52"/>
    <w:lvl w:ilvl="0" w:tplc="998E476A">
      <w:start w:val="1"/>
      <w:numFmt w:val="decimal"/>
      <w:lvlText w:val="%1."/>
      <w:lvlJc w:val="left"/>
      <w:pPr>
        <w:ind w:left="720" w:hanging="360"/>
      </w:pPr>
    </w:lvl>
    <w:lvl w:ilvl="1" w:tplc="0156A296">
      <w:start w:val="1"/>
      <w:numFmt w:val="lowerLetter"/>
      <w:lvlText w:val="%2."/>
      <w:lvlJc w:val="left"/>
      <w:pPr>
        <w:ind w:left="1440" w:hanging="360"/>
      </w:pPr>
    </w:lvl>
    <w:lvl w:ilvl="2" w:tplc="C0B44C40">
      <w:start w:val="1"/>
      <w:numFmt w:val="lowerRoman"/>
      <w:lvlText w:val="%3."/>
      <w:lvlJc w:val="right"/>
      <w:pPr>
        <w:ind w:left="2160" w:hanging="180"/>
      </w:pPr>
    </w:lvl>
    <w:lvl w:ilvl="3" w:tplc="95A66746">
      <w:start w:val="1"/>
      <w:numFmt w:val="decimal"/>
      <w:lvlText w:val="%4."/>
      <w:lvlJc w:val="left"/>
      <w:pPr>
        <w:ind w:left="2880" w:hanging="360"/>
      </w:pPr>
    </w:lvl>
    <w:lvl w:ilvl="4" w:tplc="463CF22A">
      <w:start w:val="1"/>
      <w:numFmt w:val="lowerLetter"/>
      <w:lvlText w:val="%5."/>
      <w:lvlJc w:val="left"/>
      <w:pPr>
        <w:ind w:left="3600" w:hanging="360"/>
      </w:pPr>
    </w:lvl>
    <w:lvl w:ilvl="5" w:tplc="D898EAAA">
      <w:start w:val="1"/>
      <w:numFmt w:val="lowerRoman"/>
      <w:lvlText w:val="%6."/>
      <w:lvlJc w:val="right"/>
      <w:pPr>
        <w:ind w:left="4320" w:hanging="180"/>
      </w:pPr>
    </w:lvl>
    <w:lvl w:ilvl="6" w:tplc="FD288E5E">
      <w:start w:val="1"/>
      <w:numFmt w:val="decimal"/>
      <w:lvlText w:val="%7."/>
      <w:lvlJc w:val="left"/>
      <w:pPr>
        <w:ind w:left="5040" w:hanging="360"/>
      </w:pPr>
    </w:lvl>
    <w:lvl w:ilvl="7" w:tplc="50461238">
      <w:start w:val="1"/>
      <w:numFmt w:val="lowerLetter"/>
      <w:lvlText w:val="%8."/>
      <w:lvlJc w:val="left"/>
      <w:pPr>
        <w:ind w:left="5760" w:hanging="360"/>
      </w:pPr>
    </w:lvl>
    <w:lvl w:ilvl="8" w:tplc="3002063A">
      <w:start w:val="1"/>
      <w:numFmt w:val="lowerRoman"/>
      <w:lvlText w:val="%9."/>
      <w:lvlJc w:val="right"/>
      <w:pPr>
        <w:ind w:left="6480" w:hanging="180"/>
      </w:pPr>
    </w:lvl>
  </w:abstractNum>
  <w:abstractNum w:abstractNumId="19" w15:restartNumberingAfterBreak="0">
    <w:nsid w:val="32837F3C"/>
    <w:multiLevelType w:val="hybridMultilevel"/>
    <w:tmpl w:val="128CE8B6"/>
    <w:lvl w:ilvl="0" w:tplc="7004BE1A">
      <w:start w:val="1"/>
      <w:numFmt w:val="bullet"/>
      <w:lvlText w:val=""/>
      <w:lvlJc w:val="left"/>
      <w:pPr>
        <w:ind w:left="1026" w:hanging="360"/>
      </w:pPr>
      <w:rPr>
        <w:rFonts w:ascii="Symbol" w:hAnsi="Symbol" w:hint="default"/>
      </w:rPr>
    </w:lvl>
    <w:lvl w:ilvl="1" w:tplc="3496E3B8">
      <w:numFmt w:val="bullet"/>
      <w:lvlText w:val="–"/>
      <w:lvlJc w:val="left"/>
      <w:pPr>
        <w:ind w:left="1746" w:hanging="360"/>
      </w:pPr>
      <w:rPr>
        <w:rFonts w:ascii="Times New Roman" w:eastAsia="Times New Roman" w:hAnsi="Times New Roman" w:cs="Times New Roman" w:hint="default"/>
      </w:rPr>
    </w:lvl>
    <w:lvl w:ilvl="2" w:tplc="04260005" w:tentative="1">
      <w:start w:val="1"/>
      <w:numFmt w:val="bullet"/>
      <w:lvlText w:val=""/>
      <w:lvlJc w:val="left"/>
      <w:pPr>
        <w:ind w:left="2466" w:hanging="360"/>
      </w:pPr>
      <w:rPr>
        <w:rFonts w:ascii="Wingdings" w:hAnsi="Wingdings" w:hint="default"/>
      </w:rPr>
    </w:lvl>
    <w:lvl w:ilvl="3" w:tplc="04260001" w:tentative="1">
      <w:start w:val="1"/>
      <w:numFmt w:val="bullet"/>
      <w:lvlText w:val=""/>
      <w:lvlJc w:val="left"/>
      <w:pPr>
        <w:ind w:left="3186" w:hanging="360"/>
      </w:pPr>
      <w:rPr>
        <w:rFonts w:ascii="Symbol" w:hAnsi="Symbol" w:hint="default"/>
      </w:rPr>
    </w:lvl>
    <w:lvl w:ilvl="4" w:tplc="04260003" w:tentative="1">
      <w:start w:val="1"/>
      <w:numFmt w:val="bullet"/>
      <w:lvlText w:val="o"/>
      <w:lvlJc w:val="left"/>
      <w:pPr>
        <w:ind w:left="3906" w:hanging="360"/>
      </w:pPr>
      <w:rPr>
        <w:rFonts w:ascii="Courier New" w:hAnsi="Courier New" w:cs="Courier New" w:hint="default"/>
      </w:rPr>
    </w:lvl>
    <w:lvl w:ilvl="5" w:tplc="04260005" w:tentative="1">
      <w:start w:val="1"/>
      <w:numFmt w:val="bullet"/>
      <w:lvlText w:val=""/>
      <w:lvlJc w:val="left"/>
      <w:pPr>
        <w:ind w:left="4626" w:hanging="360"/>
      </w:pPr>
      <w:rPr>
        <w:rFonts w:ascii="Wingdings" w:hAnsi="Wingdings" w:hint="default"/>
      </w:rPr>
    </w:lvl>
    <w:lvl w:ilvl="6" w:tplc="04260001" w:tentative="1">
      <w:start w:val="1"/>
      <w:numFmt w:val="bullet"/>
      <w:lvlText w:val=""/>
      <w:lvlJc w:val="left"/>
      <w:pPr>
        <w:ind w:left="5346" w:hanging="360"/>
      </w:pPr>
      <w:rPr>
        <w:rFonts w:ascii="Symbol" w:hAnsi="Symbol" w:hint="default"/>
      </w:rPr>
    </w:lvl>
    <w:lvl w:ilvl="7" w:tplc="04260003" w:tentative="1">
      <w:start w:val="1"/>
      <w:numFmt w:val="bullet"/>
      <w:lvlText w:val="o"/>
      <w:lvlJc w:val="left"/>
      <w:pPr>
        <w:ind w:left="6066" w:hanging="360"/>
      </w:pPr>
      <w:rPr>
        <w:rFonts w:ascii="Courier New" w:hAnsi="Courier New" w:cs="Courier New" w:hint="default"/>
      </w:rPr>
    </w:lvl>
    <w:lvl w:ilvl="8" w:tplc="04260005" w:tentative="1">
      <w:start w:val="1"/>
      <w:numFmt w:val="bullet"/>
      <w:lvlText w:val=""/>
      <w:lvlJc w:val="left"/>
      <w:pPr>
        <w:ind w:left="6786" w:hanging="360"/>
      </w:pPr>
      <w:rPr>
        <w:rFonts w:ascii="Wingdings" w:hAnsi="Wingdings" w:hint="default"/>
      </w:rPr>
    </w:lvl>
  </w:abstractNum>
  <w:abstractNum w:abstractNumId="20" w15:restartNumberingAfterBreak="0">
    <w:nsid w:val="35B636A6"/>
    <w:multiLevelType w:val="hybridMultilevel"/>
    <w:tmpl w:val="994441CC"/>
    <w:lvl w:ilvl="0" w:tplc="E696ACF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36162694"/>
    <w:multiLevelType w:val="hybridMultilevel"/>
    <w:tmpl w:val="5192DB2C"/>
    <w:lvl w:ilvl="0" w:tplc="7004BE1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37417CF2"/>
    <w:multiLevelType w:val="hybridMultilevel"/>
    <w:tmpl w:val="091250CA"/>
    <w:lvl w:ilvl="0" w:tplc="4288D772">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3" w15:restartNumberingAfterBreak="0">
    <w:nsid w:val="39A27801"/>
    <w:multiLevelType w:val="hybridMultilevel"/>
    <w:tmpl w:val="8B584092"/>
    <w:lvl w:ilvl="0" w:tplc="8D16EE44">
      <w:numFmt w:val="bullet"/>
      <w:lvlText w:val="-"/>
      <w:lvlJc w:val="left"/>
      <w:pPr>
        <w:ind w:left="927" w:hanging="360"/>
      </w:pPr>
      <w:rPr>
        <w:rFonts w:ascii="Times New Roman" w:hAnsi="Times New Roman" w:hint="default"/>
      </w:rPr>
    </w:lvl>
    <w:lvl w:ilvl="1" w:tplc="604A8DB2">
      <w:start w:val="1"/>
      <w:numFmt w:val="bullet"/>
      <w:lvlText w:val="o"/>
      <w:lvlJc w:val="left"/>
      <w:pPr>
        <w:ind w:left="1440" w:hanging="360"/>
      </w:pPr>
      <w:rPr>
        <w:rFonts w:ascii="Courier New" w:hAnsi="Courier New" w:hint="default"/>
      </w:rPr>
    </w:lvl>
    <w:lvl w:ilvl="2" w:tplc="639A5FCC">
      <w:start w:val="1"/>
      <w:numFmt w:val="bullet"/>
      <w:lvlText w:val=""/>
      <w:lvlJc w:val="left"/>
      <w:pPr>
        <w:ind w:left="2160" w:hanging="360"/>
      </w:pPr>
      <w:rPr>
        <w:rFonts w:ascii="Wingdings" w:hAnsi="Wingdings" w:hint="default"/>
      </w:rPr>
    </w:lvl>
    <w:lvl w:ilvl="3" w:tplc="73089F32">
      <w:start w:val="1"/>
      <w:numFmt w:val="bullet"/>
      <w:lvlText w:val=""/>
      <w:lvlJc w:val="left"/>
      <w:pPr>
        <w:ind w:left="2880" w:hanging="360"/>
      </w:pPr>
      <w:rPr>
        <w:rFonts w:ascii="Symbol" w:hAnsi="Symbol" w:hint="default"/>
      </w:rPr>
    </w:lvl>
    <w:lvl w:ilvl="4" w:tplc="F11EB58E">
      <w:start w:val="1"/>
      <w:numFmt w:val="bullet"/>
      <w:lvlText w:val="o"/>
      <w:lvlJc w:val="left"/>
      <w:pPr>
        <w:ind w:left="3600" w:hanging="360"/>
      </w:pPr>
      <w:rPr>
        <w:rFonts w:ascii="Courier New" w:hAnsi="Courier New" w:hint="default"/>
      </w:rPr>
    </w:lvl>
    <w:lvl w:ilvl="5" w:tplc="A19A0F42">
      <w:start w:val="1"/>
      <w:numFmt w:val="bullet"/>
      <w:lvlText w:val=""/>
      <w:lvlJc w:val="left"/>
      <w:pPr>
        <w:ind w:left="4320" w:hanging="360"/>
      </w:pPr>
      <w:rPr>
        <w:rFonts w:ascii="Wingdings" w:hAnsi="Wingdings" w:hint="default"/>
      </w:rPr>
    </w:lvl>
    <w:lvl w:ilvl="6" w:tplc="ACA84ABE">
      <w:start w:val="1"/>
      <w:numFmt w:val="bullet"/>
      <w:lvlText w:val=""/>
      <w:lvlJc w:val="left"/>
      <w:pPr>
        <w:ind w:left="5040" w:hanging="360"/>
      </w:pPr>
      <w:rPr>
        <w:rFonts w:ascii="Symbol" w:hAnsi="Symbol" w:hint="default"/>
      </w:rPr>
    </w:lvl>
    <w:lvl w:ilvl="7" w:tplc="C848FF84">
      <w:start w:val="1"/>
      <w:numFmt w:val="bullet"/>
      <w:lvlText w:val="o"/>
      <w:lvlJc w:val="left"/>
      <w:pPr>
        <w:ind w:left="5760" w:hanging="360"/>
      </w:pPr>
      <w:rPr>
        <w:rFonts w:ascii="Courier New" w:hAnsi="Courier New" w:hint="default"/>
      </w:rPr>
    </w:lvl>
    <w:lvl w:ilvl="8" w:tplc="30BC27DC">
      <w:start w:val="1"/>
      <w:numFmt w:val="bullet"/>
      <w:lvlText w:val=""/>
      <w:lvlJc w:val="left"/>
      <w:pPr>
        <w:ind w:left="6480" w:hanging="360"/>
      </w:pPr>
      <w:rPr>
        <w:rFonts w:ascii="Wingdings" w:hAnsi="Wingdings" w:hint="default"/>
      </w:rPr>
    </w:lvl>
  </w:abstractNum>
  <w:abstractNum w:abstractNumId="24" w15:restartNumberingAfterBreak="0">
    <w:nsid w:val="3AD6E7D3"/>
    <w:multiLevelType w:val="hybridMultilevel"/>
    <w:tmpl w:val="5D32CF26"/>
    <w:lvl w:ilvl="0" w:tplc="8A1253EC">
      <w:numFmt w:val="bullet"/>
      <w:lvlText w:val="-"/>
      <w:lvlJc w:val="left"/>
      <w:pPr>
        <w:ind w:left="927" w:hanging="360"/>
      </w:pPr>
      <w:rPr>
        <w:rFonts w:ascii="Times New Roman" w:hAnsi="Times New Roman" w:hint="default"/>
      </w:rPr>
    </w:lvl>
    <w:lvl w:ilvl="1" w:tplc="D9AA117E">
      <w:start w:val="1"/>
      <w:numFmt w:val="bullet"/>
      <w:lvlText w:val="o"/>
      <w:lvlJc w:val="left"/>
      <w:pPr>
        <w:ind w:left="1440" w:hanging="360"/>
      </w:pPr>
      <w:rPr>
        <w:rFonts w:ascii="Courier New" w:hAnsi="Courier New" w:hint="default"/>
      </w:rPr>
    </w:lvl>
    <w:lvl w:ilvl="2" w:tplc="952C221C">
      <w:start w:val="1"/>
      <w:numFmt w:val="bullet"/>
      <w:lvlText w:val=""/>
      <w:lvlJc w:val="left"/>
      <w:pPr>
        <w:ind w:left="2160" w:hanging="360"/>
      </w:pPr>
      <w:rPr>
        <w:rFonts w:ascii="Wingdings" w:hAnsi="Wingdings" w:hint="default"/>
      </w:rPr>
    </w:lvl>
    <w:lvl w:ilvl="3" w:tplc="F6D4D256">
      <w:start w:val="1"/>
      <w:numFmt w:val="bullet"/>
      <w:lvlText w:val=""/>
      <w:lvlJc w:val="left"/>
      <w:pPr>
        <w:ind w:left="2880" w:hanging="360"/>
      </w:pPr>
      <w:rPr>
        <w:rFonts w:ascii="Symbol" w:hAnsi="Symbol" w:hint="default"/>
      </w:rPr>
    </w:lvl>
    <w:lvl w:ilvl="4" w:tplc="A5BC9C5A">
      <w:start w:val="1"/>
      <w:numFmt w:val="bullet"/>
      <w:lvlText w:val="o"/>
      <w:lvlJc w:val="left"/>
      <w:pPr>
        <w:ind w:left="3600" w:hanging="360"/>
      </w:pPr>
      <w:rPr>
        <w:rFonts w:ascii="Courier New" w:hAnsi="Courier New" w:hint="default"/>
      </w:rPr>
    </w:lvl>
    <w:lvl w:ilvl="5" w:tplc="A8B6BC48">
      <w:start w:val="1"/>
      <w:numFmt w:val="bullet"/>
      <w:lvlText w:val=""/>
      <w:lvlJc w:val="left"/>
      <w:pPr>
        <w:ind w:left="4320" w:hanging="360"/>
      </w:pPr>
      <w:rPr>
        <w:rFonts w:ascii="Wingdings" w:hAnsi="Wingdings" w:hint="default"/>
      </w:rPr>
    </w:lvl>
    <w:lvl w:ilvl="6" w:tplc="95E62230">
      <w:start w:val="1"/>
      <w:numFmt w:val="bullet"/>
      <w:lvlText w:val=""/>
      <w:lvlJc w:val="left"/>
      <w:pPr>
        <w:ind w:left="5040" w:hanging="360"/>
      </w:pPr>
      <w:rPr>
        <w:rFonts w:ascii="Symbol" w:hAnsi="Symbol" w:hint="default"/>
      </w:rPr>
    </w:lvl>
    <w:lvl w:ilvl="7" w:tplc="E80A4CBC">
      <w:start w:val="1"/>
      <w:numFmt w:val="bullet"/>
      <w:lvlText w:val="o"/>
      <w:lvlJc w:val="left"/>
      <w:pPr>
        <w:ind w:left="5760" w:hanging="360"/>
      </w:pPr>
      <w:rPr>
        <w:rFonts w:ascii="Courier New" w:hAnsi="Courier New" w:hint="default"/>
      </w:rPr>
    </w:lvl>
    <w:lvl w:ilvl="8" w:tplc="41F60CC8">
      <w:start w:val="1"/>
      <w:numFmt w:val="bullet"/>
      <w:lvlText w:val=""/>
      <w:lvlJc w:val="left"/>
      <w:pPr>
        <w:ind w:left="6480" w:hanging="360"/>
      </w:pPr>
      <w:rPr>
        <w:rFonts w:ascii="Wingdings" w:hAnsi="Wingdings" w:hint="default"/>
      </w:rPr>
    </w:lvl>
  </w:abstractNum>
  <w:abstractNum w:abstractNumId="25" w15:restartNumberingAfterBreak="0">
    <w:nsid w:val="3AE529FD"/>
    <w:multiLevelType w:val="hybridMultilevel"/>
    <w:tmpl w:val="899455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BC81E16"/>
    <w:multiLevelType w:val="hybridMultilevel"/>
    <w:tmpl w:val="37D0B234"/>
    <w:lvl w:ilvl="0" w:tplc="E696ACFA">
      <w:start w:val="1"/>
      <w:numFmt w:val="bullet"/>
      <w:lvlText w:val="-"/>
      <w:lvlJc w:val="left"/>
      <w:pPr>
        <w:ind w:left="1779" w:hanging="360"/>
      </w:pPr>
      <w:rPr>
        <w:rFonts w:ascii="Symbol" w:hAnsi="Symbol"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7" w15:restartNumberingAfterBreak="0">
    <w:nsid w:val="3D6D406E"/>
    <w:multiLevelType w:val="hybridMultilevel"/>
    <w:tmpl w:val="DC3EB106"/>
    <w:lvl w:ilvl="0" w:tplc="4288D772">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8" w15:restartNumberingAfterBreak="0">
    <w:nsid w:val="3DBC102D"/>
    <w:multiLevelType w:val="hybridMultilevel"/>
    <w:tmpl w:val="FAD44274"/>
    <w:lvl w:ilvl="0" w:tplc="5F1AC76C">
      <w:start w:val="1"/>
      <w:numFmt w:val="bullet"/>
      <w:lvlText w:val="-"/>
      <w:lvlJc w:val="left"/>
      <w:pPr>
        <w:ind w:left="1080" w:hanging="360"/>
      </w:pPr>
      <w:rPr>
        <w:rFonts w:ascii="Calibri" w:eastAsiaTheme="minorHAns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400B28D0"/>
    <w:multiLevelType w:val="multilevel"/>
    <w:tmpl w:val="343E8036"/>
    <w:lvl w:ilvl="0">
      <w:start w:val="1"/>
      <w:numFmt w:val="decimal"/>
      <w:lvlText w:val="%1."/>
      <w:lvlJc w:val="left"/>
      <w:pPr>
        <w:ind w:left="720" w:hanging="360"/>
      </w:pPr>
      <w:rPr>
        <w:rFonts w:ascii="Times New Roman" w:hAnsi="Times New Roman" w:cs="Arial" w:hint="default"/>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4541DD3"/>
    <w:multiLevelType w:val="hybridMultilevel"/>
    <w:tmpl w:val="62109FD0"/>
    <w:lvl w:ilvl="0" w:tplc="CEA62EBC">
      <w:start w:val="2022"/>
      <w:numFmt w:val="bullet"/>
      <w:lvlText w:val="-"/>
      <w:lvlJc w:val="left"/>
      <w:pPr>
        <w:ind w:left="720" w:hanging="360"/>
      </w:pPr>
      <w:rPr>
        <w:rFonts w:ascii="Times New Roman" w:eastAsia="Times New Roman"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5714231"/>
    <w:multiLevelType w:val="hybridMultilevel"/>
    <w:tmpl w:val="AE4ABD8E"/>
    <w:lvl w:ilvl="0" w:tplc="1F8CAD1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32" w15:restartNumberingAfterBreak="0">
    <w:nsid w:val="48175F53"/>
    <w:multiLevelType w:val="hybridMultilevel"/>
    <w:tmpl w:val="64AA4C4E"/>
    <w:lvl w:ilvl="0" w:tplc="B6127142">
      <w:numFmt w:val="bullet"/>
      <w:lvlText w:val="-"/>
      <w:lvlJc w:val="left"/>
      <w:pPr>
        <w:ind w:left="1080" w:hanging="360"/>
      </w:pPr>
      <w:rPr>
        <w:rFonts w:ascii="Times New Roman" w:eastAsia="Century Gothic"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4CFF2002"/>
    <w:multiLevelType w:val="hybridMultilevel"/>
    <w:tmpl w:val="8C2CD954"/>
    <w:lvl w:ilvl="0" w:tplc="E696ACF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FB224EF"/>
    <w:multiLevelType w:val="hybridMultilevel"/>
    <w:tmpl w:val="17D6C890"/>
    <w:lvl w:ilvl="0" w:tplc="04260001">
      <w:start w:val="1"/>
      <w:numFmt w:val="bullet"/>
      <w:lvlText w:val=""/>
      <w:lvlJc w:val="left"/>
      <w:pPr>
        <w:ind w:left="1779" w:hanging="360"/>
      </w:pPr>
      <w:rPr>
        <w:rFonts w:ascii="Symbol" w:hAnsi="Symbol"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5" w15:restartNumberingAfterBreak="0">
    <w:nsid w:val="53287C7C"/>
    <w:multiLevelType w:val="hybridMultilevel"/>
    <w:tmpl w:val="F26800B8"/>
    <w:lvl w:ilvl="0" w:tplc="7004BE1A">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6" w15:restartNumberingAfterBreak="0">
    <w:nsid w:val="542F5BBE"/>
    <w:multiLevelType w:val="hybridMultilevel"/>
    <w:tmpl w:val="FDF405A6"/>
    <w:lvl w:ilvl="0" w:tplc="7004BE1A">
      <w:start w:val="1"/>
      <w:numFmt w:val="bullet"/>
      <w:lvlText w:val=""/>
      <w:lvlJc w:val="left"/>
      <w:pPr>
        <w:ind w:left="1287" w:hanging="360"/>
      </w:pPr>
      <w:rPr>
        <w:rFonts w:ascii="Symbol" w:hAnsi="Symbol" w:hint="default"/>
        <w:color w:val="auto"/>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7" w15:restartNumberingAfterBreak="0">
    <w:nsid w:val="58E22C8B"/>
    <w:multiLevelType w:val="hybridMultilevel"/>
    <w:tmpl w:val="343E8036"/>
    <w:lvl w:ilvl="0" w:tplc="B64883EE">
      <w:start w:val="1"/>
      <w:numFmt w:val="decimal"/>
      <w:lvlText w:val="%1."/>
      <w:lvlJc w:val="left"/>
      <w:pPr>
        <w:ind w:left="720" w:hanging="360"/>
      </w:pPr>
      <w:rPr>
        <w:rFonts w:ascii="Times New Roman" w:hAnsi="Times New Roman" w:cs="Arial"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DCD4193"/>
    <w:multiLevelType w:val="hybridMultilevel"/>
    <w:tmpl w:val="8C6CA1B0"/>
    <w:lvl w:ilvl="0" w:tplc="CA0A675C">
      <w:start w:val="8"/>
      <w:numFmt w:val="bullet"/>
      <w:lvlText w:val="-"/>
      <w:lvlJc w:val="left"/>
      <w:pPr>
        <w:ind w:left="1069" w:hanging="360"/>
      </w:pPr>
      <w:rPr>
        <w:rFonts w:ascii="Times New Roman" w:eastAsia="Times New Roman" w:hAnsi="Times New Roman" w:cs="Times New Roman" w:hint="default"/>
        <w:b w:val="0"/>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9" w15:restartNumberingAfterBreak="0">
    <w:nsid w:val="5E5C2C42"/>
    <w:multiLevelType w:val="hybridMultilevel"/>
    <w:tmpl w:val="55C6E040"/>
    <w:lvl w:ilvl="0" w:tplc="4288D772">
      <w:start w:val="1"/>
      <w:numFmt w:val="decimal"/>
      <w:lvlText w:val="%1."/>
      <w:lvlJc w:val="left"/>
      <w:pPr>
        <w:ind w:left="1070" w:hanging="360"/>
      </w:pPr>
    </w:lvl>
    <w:lvl w:ilvl="1" w:tplc="C6D46C62">
      <w:start w:val="1"/>
      <w:numFmt w:val="lowerLetter"/>
      <w:lvlText w:val="%2."/>
      <w:lvlJc w:val="left"/>
      <w:pPr>
        <w:ind w:left="1440" w:hanging="360"/>
      </w:pPr>
    </w:lvl>
    <w:lvl w:ilvl="2" w:tplc="75522BBC">
      <w:start w:val="1"/>
      <w:numFmt w:val="lowerRoman"/>
      <w:lvlText w:val="%3."/>
      <w:lvlJc w:val="right"/>
      <w:pPr>
        <w:ind w:left="2160" w:hanging="180"/>
      </w:pPr>
    </w:lvl>
    <w:lvl w:ilvl="3" w:tplc="49FC9B28">
      <w:start w:val="1"/>
      <w:numFmt w:val="decimal"/>
      <w:lvlText w:val="%4."/>
      <w:lvlJc w:val="left"/>
      <w:pPr>
        <w:ind w:left="2880" w:hanging="360"/>
      </w:pPr>
    </w:lvl>
    <w:lvl w:ilvl="4" w:tplc="D9DC50FA">
      <w:start w:val="1"/>
      <w:numFmt w:val="lowerLetter"/>
      <w:lvlText w:val="%5."/>
      <w:lvlJc w:val="left"/>
      <w:pPr>
        <w:ind w:left="3600" w:hanging="360"/>
      </w:pPr>
    </w:lvl>
    <w:lvl w:ilvl="5" w:tplc="16FAEC96">
      <w:start w:val="1"/>
      <w:numFmt w:val="lowerRoman"/>
      <w:lvlText w:val="%6."/>
      <w:lvlJc w:val="right"/>
      <w:pPr>
        <w:ind w:left="4320" w:hanging="180"/>
      </w:pPr>
    </w:lvl>
    <w:lvl w:ilvl="6" w:tplc="D334298E">
      <w:start w:val="1"/>
      <w:numFmt w:val="decimal"/>
      <w:lvlText w:val="%7."/>
      <w:lvlJc w:val="left"/>
      <w:pPr>
        <w:ind w:left="5040" w:hanging="360"/>
      </w:pPr>
    </w:lvl>
    <w:lvl w:ilvl="7" w:tplc="AD90F1D2">
      <w:start w:val="1"/>
      <w:numFmt w:val="lowerLetter"/>
      <w:lvlText w:val="%8."/>
      <w:lvlJc w:val="left"/>
      <w:pPr>
        <w:ind w:left="5760" w:hanging="360"/>
      </w:pPr>
    </w:lvl>
    <w:lvl w:ilvl="8" w:tplc="B1221820">
      <w:start w:val="1"/>
      <w:numFmt w:val="lowerRoman"/>
      <w:lvlText w:val="%9."/>
      <w:lvlJc w:val="right"/>
      <w:pPr>
        <w:ind w:left="6480" w:hanging="180"/>
      </w:pPr>
    </w:lvl>
  </w:abstractNum>
  <w:abstractNum w:abstractNumId="40" w15:restartNumberingAfterBreak="0">
    <w:nsid w:val="60E45A2D"/>
    <w:multiLevelType w:val="hybridMultilevel"/>
    <w:tmpl w:val="5BCE71AA"/>
    <w:lvl w:ilvl="0" w:tplc="3FB6AF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64DB02E5"/>
    <w:multiLevelType w:val="hybridMultilevel"/>
    <w:tmpl w:val="67746A2A"/>
    <w:lvl w:ilvl="0" w:tplc="4288D772">
      <w:start w:val="1"/>
      <w:numFmt w:val="decimal"/>
      <w:lvlText w:val="%1."/>
      <w:lvlJc w:val="left"/>
      <w:pPr>
        <w:ind w:left="107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64C34BF"/>
    <w:multiLevelType w:val="hybridMultilevel"/>
    <w:tmpl w:val="A4C0E52A"/>
    <w:lvl w:ilvl="0" w:tplc="7004BE1A">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3" w15:restartNumberingAfterBreak="0">
    <w:nsid w:val="67C715F1"/>
    <w:multiLevelType w:val="hybridMultilevel"/>
    <w:tmpl w:val="EAA2F39C"/>
    <w:lvl w:ilvl="0" w:tplc="E696ACF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8641842"/>
    <w:multiLevelType w:val="hybridMultilevel"/>
    <w:tmpl w:val="31AC1080"/>
    <w:lvl w:ilvl="0" w:tplc="0ADC0100">
      <w:start w:val="2019"/>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5" w15:restartNumberingAfterBreak="0">
    <w:nsid w:val="68D90BE5"/>
    <w:multiLevelType w:val="hybridMultilevel"/>
    <w:tmpl w:val="0C00987A"/>
    <w:lvl w:ilvl="0" w:tplc="A1466FC2">
      <w:start w:val="1"/>
      <w:numFmt w:val="decimal"/>
      <w:lvlText w:val="%1."/>
      <w:lvlJc w:val="left"/>
      <w:pPr>
        <w:ind w:left="720" w:hanging="360"/>
      </w:pPr>
      <w:rPr>
        <w:rFonts w:ascii="Times New Roman" w:hAnsi="Times New Roman" w:cs="Arial" w:hint="default"/>
        <w:b w:val="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9BA448E"/>
    <w:multiLevelType w:val="hybridMultilevel"/>
    <w:tmpl w:val="672684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B8343E5"/>
    <w:multiLevelType w:val="hybridMultilevel"/>
    <w:tmpl w:val="E86E598C"/>
    <w:lvl w:ilvl="0" w:tplc="7004BE1A">
      <w:start w:val="1"/>
      <w:numFmt w:val="bullet"/>
      <w:lvlText w:val=""/>
      <w:lvlJc w:val="left"/>
      <w:pPr>
        <w:ind w:left="666" w:hanging="360"/>
      </w:pPr>
      <w:rPr>
        <w:rFonts w:ascii="Symbol" w:hAnsi="Symbol" w:hint="default"/>
      </w:rPr>
    </w:lvl>
    <w:lvl w:ilvl="1" w:tplc="FFFFFFFF" w:tentative="1">
      <w:start w:val="1"/>
      <w:numFmt w:val="bullet"/>
      <w:lvlText w:val="o"/>
      <w:lvlJc w:val="left"/>
      <w:pPr>
        <w:ind w:left="1386" w:hanging="360"/>
      </w:pPr>
      <w:rPr>
        <w:rFonts w:ascii="Courier New" w:hAnsi="Courier New" w:cs="Courier New" w:hint="default"/>
      </w:rPr>
    </w:lvl>
    <w:lvl w:ilvl="2" w:tplc="FFFFFFFF" w:tentative="1">
      <w:start w:val="1"/>
      <w:numFmt w:val="bullet"/>
      <w:lvlText w:val=""/>
      <w:lvlJc w:val="left"/>
      <w:pPr>
        <w:ind w:left="2106" w:hanging="360"/>
      </w:pPr>
      <w:rPr>
        <w:rFonts w:ascii="Wingdings" w:hAnsi="Wingdings" w:hint="default"/>
      </w:rPr>
    </w:lvl>
    <w:lvl w:ilvl="3" w:tplc="FFFFFFFF" w:tentative="1">
      <w:start w:val="1"/>
      <w:numFmt w:val="bullet"/>
      <w:lvlText w:val=""/>
      <w:lvlJc w:val="left"/>
      <w:pPr>
        <w:ind w:left="2826" w:hanging="360"/>
      </w:pPr>
      <w:rPr>
        <w:rFonts w:ascii="Symbol" w:hAnsi="Symbol" w:hint="default"/>
      </w:rPr>
    </w:lvl>
    <w:lvl w:ilvl="4" w:tplc="FFFFFFFF" w:tentative="1">
      <w:start w:val="1"/>
      <w:numFmt w:val="bullet"/>
      <w:lvlText w:val="o"/>
      <w:lvlJc w:val="left"/>
      <w:pPr>
        <w:ind w:left="3546" w:hanging="360"/>
      </w:pPr>
      <w:rPr>
        <w:rFonts w:ascii="Courier New" w:hAnsi="Courier New" w:cs="Courier New" w:hint="default"/>
      </w:rPr>
    </w:lvl>
    <w:lvl w:ilvl="5" w:tplc="FFFFFFFF" w:tentative="1">
      <w:start w:val="1"/>
      <w:numFmt w:val="bullet"/>
      <w:lvlText w:val=""/>
      <w:lvlJc w:val="left"/>
      <w:pPr>
        <w:ind w:left="4266" w:hanging="360"/>
      </w:pPr>
      <w:rPr>
        <w:rFonts w:ascii="Wingdings" w:hAnsi="Wingdings" w:hint="default"/>
      </w:rPr>
    </w:lvl>
    <w:lvl w:ilvl="6" w:tplc="FFFFFFFF" w:tentative="1">
      <w:start w:val="1"/>
      <w:numFmt w:val="bullet"/>
      <w:lvlText w:val=""/>
      <w:lvlJc w:val="left"/>
      <w:pPr>
        <w:ind w:left="4986" w:hanging="360"/>
      </w:pPr>
      <w:rPr>
        <w:rFonts w:ascii="Symbol" w:hAnsi="Symbol" w:hint="default"/>
      </w:rPr>
    </w:lvl>
    <w:lvl w:ilvl="7" w:tplc="FFFFFFFF" w:tentative="1">
      <w:start w:val="1"/>
      <w:numFmt w:val="bullet"/>
      <w:lvlText w:val="o"/>
      <w:lvlJc w:val="left"/>
      <w:pPr>
        <w:ind w:left="5706" w:hanging="360"/>
      </w:pPr>
      <w:rPr>
        <w:rFonts w:ascii="Courier New" w:hAnsi="Courier New" w:cs="Courier New" w:hint="default"/>
      </w:rPr>
    </w:lvl>
    <w:lvl w:ilvl="8" w:tplc="FFFFFFFF" w:tentative="1">
      <w:start w:val="1"/>
      <w:numFmt w:val="bullet"/>
      <w:lvlText w:val=""/>
      <w:lvlJc w:val="left"/>
      <w:pPr>
        <w:ind w:left="6426" w:hanging="360"/>
      </w:pPr>
      <w:rPr>
        <w:rFonts w:ascii="Wingdings" w:hAnsi="Wingdings" w:hint="default"/>
      </w:rPr>
    </w:lvl>
  </w:abstractNum>
  <w:abstractNum w:abstractNumId="48" w15:restartNumberingAfterBreak="0">
    <w:nsid w:val="6C3D1FEE"/>
    <w:multiLevelType w:val="hybridMultilevel"/>
    <w:tmpl w:val="4D6C8CD8"/>
    <w:lvl w:ilvl="0" w:tplc="E696ACFA">
      <w:start w:val="1"/>
      <w:numFmt w:val="bullet"/>
      <w:lvlText w:val="-"/>
      <w:lvlJc w:val="left"/>
      <w:pPr>
        <w:ind w:left="502" w:hanging="360"/>
      </w:pPr>
      <w:rPr>
        <w:rFonts w:ascii="Symbol" w:hAnsi="Symbol" w:hint="default"/>
        <w:b w:val="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F6719BB"/>
    <w:multiLevelType w:val="hybridMultilevel"/>
    <w:tmpl w:val="F17819F2"/>
    <w:lvl w:ilvl="0" w:tplc="0ADC0100">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716878CB"/>
    <w:multiLevelType w:val="multilevel"/>
    <w:tmpl w:val="5E10EC48"/>
    <w:lvl w:ilvl="0">
      <w:start w:val="1"/>
      <w:numFmt w:val="decimal"/>
      <w:lvlText w:val="%1."/>
      <w:lvlJc w:val="left"/>
      <w:pPr>
        <w:ind w:left="720" w:hanging="360"/>
      </w:pPr>
      <w:rPr>
        <w:rFonts w:hint="default"/>
        <w:b/>
        <w:sz w:val="32"/>
      </w:rPr>
    </w:lvl>
    <w:lvl w:ilvl="1">
      <w:start w:val="1"/>
      <w:numFmt w:val="decimal"/>
      <w:isLgl/>
      <w:lvlText w:val="%1.%2."/>
      <w:lvlJc w:val="left"/>
      <w:pPr>
        <w:ind w:left="1440" w:hanging="720"/>
      </w:pPr>
      <w:rPr>
        <w:rFonts w:hint="default"/>
        <w:i w:val="0"/>
        <w:sz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1" w15:restartNumberingAfterBreak="0">
    <w:nsid w:val="72D36925"/>
    <w:multiLevelType w:val="multilevel"/>
    <w:tmpl w:val="435A245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31803187">
    <w:abstractNumId w:val="18"/>
  </w:num>
  <w:num w:numId="2" w16cid:durableId="329527487">
    <w:abstractNumId w:val="23"/>
  </w:num>
  <w:num w:numId="3" w16cid:durableId="388235897">
    <w:abstractNumId w:val="11"/>
  </w:num>
  <w:num w:numId="4" w16cid:durableId="465198819">
    <w:abstractNumId w:val="44"/>
  </w:num>
  <w:num w:numId="5" w16cid:durableId="247933801">
    <w:abstractNumId w:val="49"/>
  </w:num>
  <w:num w:numId="6" w16cid:durableId="1797680254">
    <w:abstractNumId w:val="50"/>
  </w:num>
  <w:num w:numId="7" w16cid:durableId="1805584032">
    <w:abstractNumId w:val="15"/>
  </w:num>
  <w:num w:numId="8" w16cid:durableId="775907728">
    <w:abstractNumId w:val="0"/>
  </w:num>
  <w:num w:numId="9" w16cid:durableId="1482233248">
    <w:abstractNumId w:val="35"/>
  </w:num>
  <w:num w:numId="10" w16cid:durableId="1608198457">
    <w:abstractNumId w:val="51"/>
  </w:num>
  <w:num w:numId="11" w16cid:durableId="810945211">
    <w:abstractNumId w:val="1"/>
  </w:num>
  <w:num w:numId="12" w16cid:durableId="523175323">
    <w:abstractNumId w:val="40"/>
  </w:num>
  <w:num w:numId="13" w16cid:durableId="2034108535">
    <w:abstractNumId w:val="28"/>
  </w:num>
  <w:num w:numId="14" w16cid:durableId="1047997706">
    <w:abstractNumId w:val="36"/>
  </w:num>
  <w:num w:numId="15" w16cid:durableId="136533467">
    <w:abstractNumId w:val="21"/>
  </w:num>
  <w:num w:numId="16" w16cid:durableId="1285305156">
    <w:abstractNumId w:val="24"/>
  </w:num>
  <w:num w:numId="17" w16cid:durableId="77792277">
    <w:abstractNumId w:val="42"/>
  </w:num>
  <w:num w:numId="18" w16cid:durableId="232273605">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4528106">
    <w:abstractNumId w:val="39"/>
  </w:num>
  <w:num w:numId="20" w16cid:durableId="942497495">
    <w:abstractNumId w:val="32"/>
  </w:num>
  <w:num w:numId="21" w16cid:durableId="244072069">
    <w:abstractNumId w:val="0"/>
    <w:lvlOverride w:ilvl="0">
      <w:startOverride w:val="1"/>
    </w:lvlOverride>
    <w:lvlOverride w:ilvl="1"/>
    <w:lvlOverride w:ilvl="2"/>
    <w:lvlOverride w:ilvl="3"/>
    <w:lvlOverride w:ilvl="4"/>
    <w:lvlOverride w:ilvl="5"/>
    <w:lvlOverride w:ilvl="6"/>
    <w:lvlOverride w:ilvl="7"/>
    <w:lvlOverride w:ilvl="8"/>
  </w:num>
  <w:num w:numId="22" w16cid:durableId="927350341">
    <w:abstractNumId w:val="12"/>
  </w:num>
  <w:num w:numId="23" w16cid:durableId="1341739296">
    <w:abstractNumId w:val="43"/>
  </w:num>
  <w:num w:numId="24" w16cid:durableId="597368066">
    <w:abstractNumId w:val="20"/>
  </w:num>
  <w:num w:numId="25" w16cid:durableId="637413320">
    <w:abstractNumId w:val="7"/>
  </w:num>
  <w:num w:numId="26" w16cid:durableId="275210246">
    <w:abstractNumId w:val="17"/>
  </w:num>
  <w:num w:numId="27" w16cid:durableId="245767377">
    <w:abstractNumId w:val="9"/>
  </w:num>
  <w:num w:numId="28" w16cid:durableId="170991067">
    <w:abstractNumId w:val="3"/>
  </w:num>
  <w:num w:numId="29" w16cid:durableId="1269629573">
    <w:abstractNumId w:val="30"/>
  </w:num>
  <w:num w:numId="30" w16cid:durableId="802232677">
    <w:abstractNumId w:val="14"/>
  </w:num>
  <w:num w:numId="31" w16cid:durableId="816147677">
    <w:abstractNumId w:val="46"/>
  </w:num>
  <w:num w:numId="32" w16cid:durableId="1290211918">
    <w:abstractNumId w:val="31"/>
  </w:num>
  <w:num w:numId="33" w16cid:durableId="1896425016">
    <w:abstractNumId w:val="45"/>
  </w:num>
  <w:num w:numId="34" w16cid:durableId="1994672717">
    <w:abstractNumId w:val="13"/>
  </w:num>
  <w:num w:numId="35" w16cid:durableId="1081029096">
    <w:abstractNumId w:val="37"/>
  </w:num>
  <w:num w:numId="36" w16cid:durableId="835651198">
    <w:abstractNumId w:val="29"/>
  </w:num>
  <w:num w:numId="37" w16cid:durableId="921380510">
    <w:abstractNumId w:val="19"/>
  </w:num>
  <w:num w:numId="38" w16cid:durableId="1777675279">
    <w:abstractNumId w:val="6"/>
  </w:num>
  <w:num w:numId="39" w16cid:durableId="1799839306">
    <w:abstractNumId w:val="47"/>
  </w:num>
  <w:num w:numId="40" w16cid:durableId="403917707">
    <w:abstractNumId w:val="38"/>
  </w:num>
  <w:num w:numId="41" w16cid:durableId="780538747">
    <w:abstractNumId w:val="5"/>
  </w:num>
  <w:num w:numId="42" w16cid:durableId="681934153">
    <w:abstractNumId w:val="16"/>
  </w:num>
  <w:num w:numId="43" w16cid:durableId="977996284">
    <w:abstractNumId w:val="25"/>
  </w:num>
  <w:num w:numId="44" w16cid:durableId="848908020">
    <w:abstractNumId w:val="48"/>
  </w:num>
  <w:num w:numId="45" w16cid:durableId="475218532">
    <w:abstractNumId w:val="33"/>
  </w:num>
  <w:num w:numId="46" w16cid:durableId="279798036">
    <w:abstractNumId w:val="2"/>
  </w:num>
  <w:num w:numId="47" w16cid:durableId="456685540">
    <w:abstractNumId w:val="10"/>
  </w:num>
  <w:num w:numId="48" w16cid:durableId="1849784570">
    <w:abstractNumId w:val="41"/>
  </w:num>
  <w:num w:numId="49" w16cid:durableId="185948269">
    <w:abstractNumId w:val="8"/>
  </w:num>
  <w:num w:numId="50" w16cid:durableId="1387879628">
    <w:abstractNumId w:val="27"/>
  </w:num>
  <w:num w:numId="51" w16cid:durableId="339894412">
    <w:abstractNumId w:val="22"/>
  </w:num>
  <w:num w:numId="52" w16cid:durableId="1031342317">
    <w:abstractNumId w:val="4"/>
  </w:num>
  <w:num w:numId="53" w16cid:durableId="529336593">
    <w:abstractNumId w:val="34"/>
  </w:num>
  <w:num w:numId="54" w16cid:durableId="14520159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FCE"/>
    <w:rsid w:val="00001FB9"/>
    <w:rsid w:val="00245A01"/>
    <w:rsid w:val="00304FCE"/>
    <w:rsid w:val="003E147E"/>
    <w:rsid w:val="00512BAA"/>
    <w:rsid w:val="0061714D"/>
    <w:rsid w:val="007D7C30"/>
    <w:rsid w:val="0090625C"/>
    <w:rsid w:val="00914579"/>
    <w:rsid w:val="009F607B"/>
    <w:rsid w:val="00A94574"/>
    <w:rsid w:val="00C47E77"/>
    <w:rsid w:val="00CE123E"/>
    <w:rsid w:val="00D16C0F"/>
    <w:rsid w:val="00DC4182"/>
    <w:rsid w:val="00FA2C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ED4DE"/>
  <w15:chartTrackingRefBased/>
  <w15:docId w15:val="{2B1DB0E1-5E8D-4405-804B-1CD4BB0C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F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4F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4F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F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F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F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F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4F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4F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F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F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F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F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F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FCE"/>
    <w:rPr>
      <w:rFonts w:eastAsiaTheme="majorEastAsia" w:cstheme="majorBidi"/>
      <w:color w:val="272727" w:themeColor="text1" w:themeTint="D8"/>
    </w:rPr>
  </w:style>
  <w:style w:type="paragraph" w:styleId="Title">
    <w:name w:val="Title"/>
    <w:basedOn w:val="Normal"/>
    <w:next w:val="Normal"/>
    <w:link w:val="TitleChar"/>
    <w:uiPriority w:val="10"/>
    <w:qFormat/>
    <w:rsid w:val="00304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F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FCE"/>
    <w:pPr>
      <w:spacing w:before="160"/>
      <w:jc w:val="center"/>
    </w:pPr>
    <w:rPr>
      <w:i/>
      <w:iCs/>
      <w:color w:val="404040" w:themeColor="text1" w:themeTint="BF"/>
    </w:rPr>
  </w:style>
  <w:style w:type="character" w:customStyle="1" w:styleId="QuoteChar">
    <w:name w:val="Quote Char"/>
    <w:basedOn w:val="DefaultParagraphFont"/>
    <w:link w:val="Quote"/>
    <w:uiPriority w:val="29"/>
    <w:rsid w:val="00304FCE"/>
    <w:rPr>
      <w:i/>
      <w:iCs/>
      <w:color w:val="404040" w:themeColor="text1" w:themeTint="BF"/>
    </w:rPr>
  </w:style>
  <w:style w:type="paragraph" w:styleId="ListParagraph">
    <w:name w:val="List Paragraph"/>
    <w:aliases w:val="2,Bullet 1,Bullet Points,Dot pt,F5 List Paragraph,IFCL - List Paragraph,Indicator Text,List Paragraph Char Char Char,List Paragraph1,List Paragraph12,MAIN CONTENT,No Spacing1,Numbered Para 1,OBC Bullet,Strip,Colorful List - Accent 11,Bull"/>
    <w:basedOn w:val="Normal"/>
    <w:link w:val="ListParagraphChar"/>
    <w:uiPriority w:val="34"/>
    <w:qFormat/>
    <w:rsid w:val="00304FCE"/>
    <w:pPr>
      <w:ind w:left="720"/>
      <w:contextualSpacing/>
    </w:pPr>
  </w:style>
  <w:style w:type="character" w:styleId="IntenseEmphasis">
    <w:name w:val="Intense Emphasis"/>
    <w:basedOn w:val="DefaultParagraphFont"/>
    <w:uiPriority w:val="21"/>
    <w:qFormat/>
    <w:rsid w:val="00304FCE"/>
    <w:rPr>
      <w:i/>
      <w:iCs/>
      <w:color w:val="0F4761" w:themeColor="accent1" w:themeShade="BF"/>
    </w:rPr>
  </w:style>
  <w:style w:type="paragraph" w:styleId="IntenseQuote">
    <w:name w:val="Intense Quote"/>
    <w:basedOn w:val="Normal"/>
    <w:next w:val="Normal"/>
    <w:link w:val="IntenseQuoteChar"/>
    <w:uiPriority w:val="30"/>
    <w:qFormat/>
    <w:rsid w:val="00304F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FCE"/>
    <w:rPr>
      <w:i/>
      <w:iCs/>
      <w:color w:val="0F4761" w:themeColor="accent1" w:themeShade="BF"/>
    </w:rPr>
  </w:style>
  <w:style w:type="character" w:styleId="IntenseReference">
    <w:name w:val="Intense Reference"/>
    <w:basedOn w:val="DefaultParagraphFont"/>
    <w:uiPriority w:val="32"/>
    <w:qFormat/>
    <w:rsid w:val="00304FCE"/>
    <w:rPr>
      <w:b/>
      <w:bCs/>
      <w:smallCaps/>
      <w:color w:val="0F4761" w:themeColor="accent1" w:themeShade="BF"/>
      <w:spacing w:val="5"/>
    </w:rPr>
  </w:style>
  <w:style w:type="numbering" w:customStyle="1" w:styleId="NoList1">
    <w:name w:val="No List1"/>
    <w:next w:val="NoList"/>
    <w:uiPriority w:val="99"/>
    <w:semiHidden/>
    <w:unhideWhenUsed/>
    <w:rsid w:val="00304FCE"/>
  </w:style>
  <w:style w:type="paragraph" w:styleId="Caption">
    <w:name w:val="caption"/>
    <w:basedOn w:val="Normal"/>
    <w:next w:val="Normal"/>
    <w:uiPriority w:val="35"/>
    <w:semiHidden/>
    <w:unhideWhenUsed/>
    <w:qFormat/>
    <w:rsid w:val="00304FCE"/>
    <w:pPr>
      <w:spacing w:before="100" w:after="200" w:line="276" w:lineRule="auto"/>
    </w:pPr>
    <w:rPr>
      <w:b/>
      <w:bCs/>
      <w:color w:val="2E74B5"/>
      <w:kern w:val="0"/>
      <w:sz w:val="16"/>
      <w:szCs w:val="16"/>
      <w14:ligatures w14:val="none"/>
    </w:rPr>
  </w:style>
  <w:style w:type="character" w:styleId="Strong">
    <w:name w:val="Strong"/>
    <w:uiPriority w:val="22"/>
    <w:qFormat/>
    <w:rsid w:val="00304FCE"/>
    <w:rPr>
      <w:b/>
      <w:bCs/>
    </w:rPr>
  </w:style>
  <w:style w:type="character" w:styleId="Emphasis">
    <w:name w:val="Emphasis"/>
    <w:uiPriority w:val="20"/>
    <w:qFormat/>
    <w:rsid w:val="00304FCE"/>
    <w:rPr>
      <w:caps/>
      <w:color w:val="1F4D78"/>
      <w:spacing w:val="5"/>
    </w:rPr>
  </w:style>
  <w:style w:type="paragraph" w:styleId="NoSpacing">
    <w:name w:val="No Spacing"/>
    <w:link w:val="NoSpacingChar"/>
    <w:uiPriority w:val="1"/>
    <w:qFormat/>
    <w:rsid w:val="00304FCE"/>
    <w:pPr>
      <w:spacing w:before="100" w:after="0" w:line="240" w:lineRule="auto"/>
    </w:pPr>
    <w:rPr>
      <w:kern w:val="0"/>
      <w:sz w:val="20"/>
      <w:szCs w:val="20"/>
      <w14:ligatures w14:val="none"/>
    </w:rPr>
  </w:style>
  <w:style w:type="character" w:styleId="SubtleEmphasis">
    <w:name w:val="Subtle Emphasis"/>
    <w:uiPriority w:val="19"/>
    <w:qFormat/>
    <w:rsid w:val="00304FCE"/>
    <w:rPr>
      <w:i/>
      <w:iCs/>
      <w:color w:val="1F4D78"/>
    </w:rPr>
  </w:style>
  <w:style w:type="character" w:styleId="SubtleReference">
    <w:name w:val="Subtle Reference"/>
    <w:uiPriority w:val="31"/>
    <w:qFormat/>
    <w:rsid w:val="00304FCE"/>
    <w:rPr>
      <w:b/>
      <w:bCs/>
      <w:color w:val="5B9BD5"/>
    </w:rPr>
  </w:style>
  <w:style w:type="character" w:styleId="BookTitle">
    <w:name w:val="Book Title"/>
    <w:uiPriority w:val="33"/>
    <w:qFormat/>
    <w:rsid w:val="00304FCE"/>
    <w:rPr>
      <w:b/>
      <w:bCs/>
      <w:i/>
      <w:iCs/>
      <w:spacing w:val="0"/>
    </w:rPr>
  </w:style>
  <w:style w:type="paragraph" w:styleId="TOCHeading">
    <w:name w:val="TOC Heading"/>
    <w:basedOn w:val="Heading1"/>
    <w:next w:val="Normal"/>
    <w:uiPriority w:val="39"/>
    <w:unhideWhenUsed/>
    <w:qFormat/>
    <w:rsid w:val="00304FCE"/>
    <w:pPr>
      <w:keepNext w:val="0"/>
      <w:keepLines w:val="0"/>
      <w:pBdr>
        <w:top w:val="single" w:sz="24" w:space="0" w:color="5B9BD5"/>
        <w:left w:val="single" w:sz="24" w:space="0" w:color="5B9BD5"/>
        <w:bottom w:val="single" w:sz="24" w:space="0" w:color="5B9BD5"/>
        <w:right w:val="single" w:sz="24" w:space="0" w:color="5B9BD5"/>
      </w:pBdr>
      <w:shd w:val="clear" w:color="auto" w:fill="5B9BD5"/>
      <w:spacing w:before="100" w:after="0" w:line="276" w:lineRule="auto"/>
      <w:outlineLvl w:val="9"/>
    </w:pPr>
    <w:rPr>
      <w:rFonts w:ascii="Calibri" w:eastAsia="Calibri" w:hAnsi="Calibri" w:cs="Arial"/>
      <w:caps/>
      <w:color w:val="FFFFFF"/>
      <w:spacing w:val="15"/>
      <w:kern w:val="0"/>
      <w:sz w:val="22"/>
      <w:szCs w:val="22"/>
      <w14:ligatures w14:val="none"/>
    </w:rPr>
  </w:style>
  <w:style w:type="paragraph" w:styleId="BalloonText">
    <w:name w:val="Balloon Text"/>
    <w:basedOn w:val="Normal"/>
    <w:link w:val="BalloonTextChar"/>
    <w:uiPriority w:val="99"/>
    <w:semiHidden/>
    <w:unhideWhenUsed/>
    <w:rsid w:val="00304FCE"/>
    <w:pPr>
      <w:spacing w:after="0" w:line="240" w:lineRule="auto"/>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304FCE"/>
    <w:rPr>
      <w:rFonts w:ascii="Segoe UI" w:hAnsi="Segoe UI" w:cs="Segoe UI"/>
      <w:kern w:val="0"/>
      <w:sz w:val="18"/>
      <w:szCs w:val="18"/>
      <w14:ligatures w14:val="none"/>
    </w:rPr>
  </w:style>
  <w:style w:type="paragraph" w:customStyle="1" w:styleId="Default">
    <w:name w:val="Default"/>
    <w:rsid w:val="00304FC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Hyperlink1">
    <w:name w:val="Hyperlink1"/>
    <w:basedOn w:val="DefaultParagraphFont"/>
    <w:uiPriority w:val="99"/>
    <w:unhideWhenUsed/>
    <w:rsid w:val="00304FCE"/>
    <w:rPr>
      <w:color w:val="0563C1"/>
      <w:u w:val="single"/>
    </w:rPr>
  </w:style>
  <w:style w:type="paragraph" w:styleId="Header">
    <w:name w:val="header"/>
    <w:basedOn w:val="Normal"/>
    <w:link w:val="HeaderChar"/>
    <w:uiPriority w:val="99"/>
    <w:unhideWhenUsed/>
    <w:rsid w:val="00304FCE"/>
    <w:pPr>
      <w:tabs>
        <w:tab w:val="center" w:pos="4153"/>
        <w:tab w:val="right" w:pos="8306"/>
      </w:tabs>
      <w:spacing w:after="0" w:line="240" w:lineRule="auto"/>
    </w:pPr>
    <w:rPr>
      <w:kern w:val="0"/>
      <w:sz w:val="20"/>
      <w:szCs w:val="20"/>
      <w14:ligatures w14:val="none"/>
    </w:rPr>
  </w:style>
  <w:style w:type="character" w:customStyle="1" w:styleId="HeaderChar">
    <w:name w:val="Header Char"/>
    <w:basedOn w:val="DefaultParagraphFont"/>
    <w:link w:val="Header"/>
    <w:uiPriority w:val="99"/>
    <w:rsid w:val="00304FCE"/>
    <w:rPr>
      <w:kern w:val="0"/>
      <w:sz w:val="20"/>
      <w:szCs w:val="20"/>
      <w14:ligatures w14:val="none"/>
    </w:rPr>
  </w:style>
  <w:style w:type="paragraph" w:styleId="Footer">
    <w:name w:val="footer"/>
    <w:basedOn w:val="Normal"/>
    <w:link w:val="FooterChar"/>
    <w:uiPriority w:val="99"/>
    <w:unhideWhenUsed/>
    <w:rsid w:val="00304FCE"/>
    <w:pPr>
      <w:tabs>
        <w:tab w:val="center" w:pos="4153"/>
        <w:tab w:val="right" w:pos="8306"/>
      </w:tabs>
      <w:spacing w:after="0" w:line="240" w:lineRule="auto"/>
    </w:pPr>
    <w:rPr>
      <w:kern w:val="0"/>
      <w:sz w:val="20"/>
      <w:szCs w:val="20"/>
      <w14:ligatures w14:val="none"/>
    </w:rPr>
  </w:style>
  <w:style w:type="character" w:customStyle="1" w:styleId="FooterChar">
    <w:name w:val="Footer Char"/>
    <w:basedOn w:val="DefaultParagraphFont"/>
    <w:link w:val="Footer"/>
    <w:uiPriority w:val="99"/>
    <w:rsid w:val="00304FCE"/>
    <w:rPr>
      <w:kern w:val="0"/>
      <w:sz w:val="20"/>
      <w:szCs w:val="20"/>
      <w14:ligatures w14:val="none"/>
    </w:rPr>
  </w:style>
  <w:style w:type="character" w:styleId="CommentReference">
    <w:name w:val="annotation reference"/>
    <w:basedOn w:val="DefaultParagraphFont"/>
    <w:uiPriority w:val="99"/>
    <w:semiHidden/>
    <w:unhideWhenUsed/>
    <w:rsid w:val="00304FCE"/>
    <w:rPr>
      <w:sz w:val="16"/>
      <w:szCs w:val="16"/>
    </w:rPr>
  </w:style>
  <w:style w:type="paragraph" w:styleId="CommentText">
    <w:name w:val="annotation text"/>
    <w:basedOn w:val="Normal"/>
    <w:link w:val="CommentTextChar"/>
    <w:uiPriority w:val="99"/>
    <w:unhideWhenUsed/>
    <w:rsid w:val="00304FCE"/>
    <w:pPr>
      <w:spacing w:before="100" w:after="200"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304FC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04FCE"/>
    <w:rPr>
      <w:b/>
      <w:bCs/>
    </w:rPr>
  </w:style>
  <w:style w:type="character" w:customStyle="1" w:styleId="CommentSubjectChar">
    <w:name w:val="Comment Subject Char"/>
    <w:basedOn w:val="CommentTextChar"/>
    <w:link w:val="CommentSubject"/>
    <w:uiPriority w:val="99"/>
    <w:semiHidden/>
    <w:rsid w:val="00304FCE"/>
    <w:rPr>
      <w:b/>
      <w:bCs/>
      <w:kern w:val="0"/>
      <w:sz w:val="20"/>
      <w:szCs w:val="20"/>
      <w14:ligatures w14:val="none"/>
    </w:rPr>
  </w:style>
  <w:style w:type="table" w:styleId="TableGrid">
    <w:name w:val="Table Grid"/>
    <w:basedOn w:val="TableNormal"/>
    <w:uiPriority w:val="39"/>
    <w:rsid w:val="00304FCE"/>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304FCE"/>
    <w:rPr>
      <w:color w:val="954F72"/>
      <w:u w:val="single"/>
    </w:rPr>
  </w:style>
  <w:style w:type="paragraph" w:styleId="Revision">
    <w:name w:val="Revision"/>
    <w:hidden/>
    <w:uiPriority w:val="99"/>
    <w:semiHidden/>
    <w:rsid w:val="00304FCE"/>
    <w:pPr>
      <w:spacing w:after="0" w:line="240" w:lineRule="auto"/>
    </w:pPr>
    <w:rPr>
      <w:kern w:val="0"/>
      <w:sz w:val="20"/>
      <w:szCs w:val="20"/>
      <w14:ligatures w14:val="none"/>
    </w:rPr>
  </w:style>
  <w:style w:type="paragraph" w:styleId="NormalWeb">
    <w:name w:val="Normal (Web)"/>
    <w:basedOn w:val="Normal"/>
    <w:uiPriority w:val="99"/>
    <w:unhideWhenUsed/>
    <w:rsid w:val="00304FC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1">
    <w:name w:val="s1"/>
    <w:basedOn w:val="DefaultParagraphFont"/>
    <w:rsid w:val="00304FCE"/>
  </w:style>
  <w:style w:type="paragraph" w:customStyle="1" w:styleId="tvhtml">
    <w:name w:val="tv_html"/>
    <w:basedOn w:val="Normal"/>
    <w:rsid w:val="00304FC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v213">
    <w:name w:val="tv213"/>
    <w:basedOn w:val="Normal"/>
    <w:rsid w:val="00304FC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FootnoteText">
    <w:name w:val="footnote text"/>
    <w:basedOn w:val="Normal"/>
    <w:link w:val="FootnoteTextChar"/>
    <w:uiPriority w:val="99"/>
    <w:unhideWhenUsed/>
    <w:rsid w:val="00304FCE"/>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304FCE"/>
    <w:rPr>
      <w:kern w:val="0"/>
      <w:sz w:val="20"/>
      <w:szCs w:val="20"/>
      <w14:ligatures w14:val="none"/>
    </w:rPr>
  </w:style>
  <w:style w:type="character" w:styleId="FootnoteReference">
    <w:name w:val="footnote reference"/>
    <w:aliases w:val="Footnote Reference Number,Footnote Refernece"/>
    <w:basedOn w:val="DefaultParagraphFont"/>
    <w:unhideWhenUsed/>
    <w:qFormat/>
    <w:rsid w:val="00304FCE"/>
    <w:rPr>
      <w:vertAlign w:val="superscript"/>
    </w:rPr>
  </w:style>
  <w:style w:type="table" w:customStyle="1" w:styleId="TableGrid1">
    <w:name w:val="Table Grid1"/>
    <w:basedOn w:val="TableNormal"/>
    <w:next w:val="TableGrid"/>
    <w:uiPriority w:val="39"/>
    <w:rsid w:val="00304F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Bullet 1 Char,Bullet Points Char,Dot pt Char,F5 List Paragraph Char,IFCL - List Paragraph Char,Indicator Text Char,List Paragraph Char Char Char Char,List Paragraph1 Char,List Paragraph12 Char,MAIN CONTENT Char,OBC Bullet Char"/>
    <w:basedOn w:val="DefaultParagraphFont"/>
    <w:link w:val="ListParagraph"/>
    <w:uiPriority w:val="34"/>
    <w:qFormat/>
    <w:locked/>
    <w:rsid w:val="00304FCE"/>
  </w:style>
  <w:style w:type="paragraph" w:styleId="EndnoteText">
    <w:name w:val="endnote text"/>
    <w:basedOn w:val="Normal"/>
    <w:link w:val="EndnoteTextChar"/>
    <w:uiPriority w:val="99"/>
    <w:semiHidden/>
    <w:unhideWhenUsed/>
    <w:rsid w:val="00304FCE"/>
    <w:pPr>
      <w:spacing w:after="0" w:line="240" w:lineRule="auto"/>
    </w:pPr>
    <w:rPr>
      <w:kern w:val="0"/>
      <w:sz w:val="20"/>
      <w:szCs w:val="20"/>
      <w14:ligatures w14:val="none"/>
    </w:rPr>
  </w:style>
  <w:style w:type="character" w:customStyle="1" w:styleId="EndnoteTextChar">
    <w:name w:val="Endnote Text Char"/>
    <w:basedOn w:val="DefaultParagraphFont"/>
    <w:link w:val="EndnoteText"/>
    <w:uiPriority w:val="99"/>
    <w:semiHidden/>
    <w:rsid w:val="00304FCE"/>
    <w:rPr>
      <w:kern w:val="0"/>
      <w:sz w:val="20"/>
      <w:szCs w:val="20"/>
      <w14:ligatures w14:val="none"/>
    </w:rPr>
  </w:style>
  <w:style w:type="character" w:styleId="EndnoteReference">
    <w:name w:val="endnote reference"/>
    <w:basedOn w:val="DefaultParagraphFont"/>
    <w:uiPriority w:val="99"/>
    <w:semiHidden/>
    <w:unhideWhenUsed/>
    <w:rsid w:val="00304FCE"/>
    <w:rPr>
      <w:vertAlign w:val="superscript"/>
    </w:rPr>
  </w:style>
  <w:style w:type="table" w:customStyle="1" w:styleId="TableGrid2">
    <w:name w:val="Table Grid2"/>
    <w:basedOn w:val="TableNormal"/>
    <w:next w:val="TableGrid"/>
    <w:uiPriority w:val="39"/>
    <w:rsid w:val="00304F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4FCE"/>
    <w:rPr>
      <w:color w:val="605E5C"/>
      <w:shd w:val="clear" w:color="auto" w:fill="E1DFDD"/>
    </w:rPr>
  </w:style>
  <w:style w:type="table" w:customStyle="1" w:styleId="TableGrid3">
    <w:name w:val="Table Grid3"/>
    <w:basedOn w:val="TableNormal"/>
    <w:next w:val="TableGrid"/>
    <w:uiPriority w:val="39"/>
    <w:rsid w:val="00304F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304FCE"/>
  </w:style>
  <w:style w:type="paragraph" w:customStyle="1" w:styleId="TOC21">
    <w:name w:val="TOC 21"/>
    <w:basedOn w:val="Normal"/>
    <w:next w:val="Normal"/>
    <w:autoRedefine/>
    <w:uiPriority w:val="39"/>
    <w:unhideWhenUsed/>
    <w:rsid w:val="00304FCE"/>
    <w:pPr>
      <w:tabs>
        <w:tab w:val="left" w:pos="880"/>
        <w:tab w:val="right" w:leader="dot" w:pos="9072"/>
      </w:tabs>
      <w:spacing w:after="100"/>
      <w:ind w:left="709" w:right="-1" w:hanging="489"/>
      <w:jc w:val="both"/>
    </w:pPr>
    <w:rPr>
      <w:rFonts w:ascii="Times New Roman" w:eastAsia="Times New Roman" w:hAnsi="Times New Roman" w:cs="Times New Roman"/>
      <w:noProof/>
      <w:kern w:val="0"/>
      <w:sz w:val="28"/>
      <w:lang w:val="en-US"/>
      <w14:ligatures w14:val="none"/>
    </w:rPr>
  </w:style>
  <w:style w:type="paragraph" w:customStyle="1" w:styleId="TOC11">
    <w:name w:val="TOC 11"/>
    <w:basedOn w:val="Normal"/>
    <w:next w:val="Normal"/>
    <w:autoRedefine/>
    <w:uiPriority w:val="39"/>
    <w:unhideWhenUsed/>
    <w:rsid w:val="00304FCE"/>
    <w:pPr>
      <w:tabs>
        <w:tab w:val="left" w:pos="440"/>
        <w:tab w:val="right" w:leader="dot" w:pos="9071"/>
      </w:tabs>
      <w:spacing w:after="100"/>
      <w:jc w:val="both"/>
    </w:pPr>
    <w:rPr>
      <w:rFonts w:ascii="Times New Roman" w:eastAsia="Times New Roman" w:hAnsi="Times New Roman" w:cs="Times New Roman"/>
      <w:b/>
      <w:bCs/>
      <w:iCs/>
      <w:noProof/>
      <w:kern w:val="0"/>
      <w:sz w:val="28"/>
      <w:lang w:val="en-US"/>
      <w14:ligatures w14:val="none"/>
    </w:rPr>
  </w:style>
  <w:style w:type="paragraph" w:customStyle="1" w:styleId="TOC31">
    <w:name w:val="TOC 31"/>
    <w:basedOn w:val="Normal"/>
    <w:next w:val="Normal"/>
    <w:autoRedefine/>
    <w:uiPriority w:val="39"/>
    <w:unhideWhenUsed/>
    <w:rsid w:val="00304FCE"/>
    <w:pPr>
      <w:spacing w:after="100"/>
      <w:ind w:left="440"/>
      <w:jc w:val="both"/>
    </w:pPr>
    <w:rPr>
      <w:rFonts w:ascii="Times New Roman" w:eastAsia="Times New Roman" w:hAnsi="Times New Roman" w:cs="Times New Roman"/>
      <w:kern w:val="0"/>
      <w:sz w:val="28"/>
      <w:lang w:val="en-US"/>
      <w14:ligatures w14:val="none"/>
    </w:rPr>
  </w:style>
  <w:style w:type="table" w:customStyle="1" w:styleId="TableGrid21">
    <w:name w:val="Table Grid21"/>
    <w:basedOn w:val="TableNormal"/>
    <w:next w:val="TableGrid"/>
    <w:uiPriority w:val="39"/>
    <w:rsid w:val="00304F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04F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04FC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04FCE"/>
    <w:rPr>
      <w:kern w:val="0"/>
      <w:sz w:val="20"/>
      <w:szCs w:val="20"/>
      <w14:ligatures w14:val="none"/>
    </w:rPr>
  </w:style>
  <w:style w:type="paragraph" w:styleId="TOC3">
    <w:name w:val="toc 3"/>
    <w:basedOn w:val="Normal"/>
    <w:next w:val="Normal"/>
    <w:autoRedefine/>
    <w:uiPriority w:val="39"/>
    <w:unhideWhenUsed/>
    <w:rsid w:val="00304FCE"/>
    <w:pPr>
      <w:tabs>
        <w:tab w:val="left" w:pos="284"/>
        <w:tab w:val="right" w:leader="dot" w:pos="9344"/>
      </w:tabs>
      <w:spacing w:before="100" w:after="100" w:line="276" w:lineRule="auto"/>
    </w:pPr>
    <w:rPr>
      <w:kern w:val="0"/>
      <w:sz w:val="20"/>
      <w:szCs w:val="20"/>
      <w14:ligatures w14:val="none"/>
    </w:rPr>
  </w:style>
  <w:style w:type="paragraph" w:styleId="TOC2">
    <w:name w:val="toc 2"/>
    <w:basedOn w:val="Normal"/>
    <w:next w:val="Normal"/>
    <w:autoRedefine/>
    <w:uiPriority w:val="39"/>
    <w:unhideWhenUsed/>
    <w:rsid w:val="00304FCE"/>
    <w:pPr>
      <w:spacing w:before="100" w:after="100" w:line="276" w:lineRule="auto"/>
      <w:ind w:left="200"/>
    </w:pPr>
    <w:rPr>
      <w:kern w:val="0"/>
      <w:sz w:val="20"/>
      <w:szCs w:val="20"/>
      <w14:ligatures w14:val="none"/>
    </w:rPr>
  </w:style>
  <w:style w:type="paragraph" w:styleId="TOC1">
    <w:name w:val="toc 1"/>
    <w:basedOn w:val="Normal"/>
    <w:next w:val="Normal"/>
    <w:autoRedefine/>
    <w:uiPriority w:val="39"/>
    <w:unhideWhenUsed/>
    <w:rsid w:val="00304FCE"/>
    <w:pPr>
      <w:spacing w:before="100" w:after="100" w:line="276" w:lineRule="auto"/>
    </w:pPr>
    <w:rPr>
      <w:kern w:val="0"/>
      <w:sz w:val="20"/>
      <w:szCs w:val="20"/>
      <w14:ligatures w14:val="none"/>
    </w:rPr>
  </w:style>
  <w:style w:type="paragraph" w:customStyle="1" w:styleId="pf0">
    <w:name w:val="pf0"/>
    <w:basedOn w:val="Normal"/>
    <w:uiPriority w:val="99"/>
    <w:rsid w:val="00304FC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cf01">
    <w:name w:val="cf01"/>
    <w:basedOn w:val="DefaultParagraphFont"/>
    <w:rsid w:val="00304FCE"/>
    <w:rPr>
      <w:rFonts w:ascii="Segoe UI" w:hAnsi="Segoe UI" w:cs="Segoe UI" w:hint="default"/>
      <w:sz w:val="18"/>
      <w:szCs w:val="18"/>
    </w:rPr>
  </w:style>
  <w:style w:type="character" w:customStyle="1" w:styleId="cf11">
    <w:name w:val="cf11"/>
    <w:basedOn w:val="DefaultParagraphFont"/>
    <w:rsid w:val="00304FCE"/>
    <w:rPr>
      <w:rFonts w:ascii="Segoe UI" w:hAnsi="Segoe UI" w:cs="Segoe UI" w:hint="default"/>
      <w:color w:val="002060"/>
      <w:sz w:val="18"/>
      <w:szCs w:val="18"/>
    </w:rPr>
  </w:style>
  <w:style w:type="paragraph" w:customStyle="1" w:styleId="DecimalAligned">
    <w:name w:val="Decimal Aligned"/>
    <w:basedOn w:val="Normal"/>
    <w:uiPriority w:val="40"/>
    <w:qFormat/>
    <w:rsid w:val="00304FCE"/>
    <w:pPr>
      <w:tabs>
        <w:tab w:val="decimal" w:pos="360"/>
      </w:tabs>
      <w:spacing w:after="200" w:line="276" w:lineRule="auto"/>
    </w:pPr>
    <w:rPr>
      <w:rFonts w:eastAsia="Yu Mincho" w:cs="Times New Roman"/>
      <w:kern w:val="0"/>
      <w:lang w:val="en-US"/>
      <w14:ligatures w14:val="none"/>
    </w:rPr>
  </w:style>
  <w:style w:type="table" w:customStyle="1" w:styleId="LightShading-Accent11">
    <w:name w:val="Light Shading - Accent 11"/>
    <w:basedOn w:val="TableNormal"/>
    <w:next w:val="LightShading-Accent1"/>
    <w:uiPriority w:val="60"/>
    <w:rsid w:val="00304FCE"/>
    <w:pPr>
      <w:spacing w:after="0" w:line="240" w:lineRule="auto"/>
    </w:pPr>
    <w:rPr>
      <w:rFonts w:eastAsia="Yu Mincho"/>
      <w:color w:val="2E74B5"/>
      <w:kern w:val="0"/>
      <w:lang w:val="en-US"/>
      <w14:ligatures w14:val="none"/>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character" w:styleId="Hyperlink">
    <w:name w:val="Hyperlink"/>
    <w:basedOn w:val="DefaultParagraphFont"/>
    <w:uiPriority w:val="99"/>
    <w:semiHidden/>
    <w:unhideWhenUsed/>
    <w:rsid w:val="00304FCE"/>
    <w:rPr>
      <w:color w:val="467886" w:themeColor="hyperlink"/>
      <w:u w:val="single"/>
    </w:rPr>
  </w:style>
  <w:style w:type="character" w:styleId="FollowedHyperlink">
    <w:name w:val="FollowedHyperlink"/>
    <w:basedOn w:val="DefaultParagraphFont"/>
    <w:uiPriority w:val="99"/>
    <w:semiHidden/>
    <w:unhideWhenUsed/>
    <w:rsid w:val="00304FCE"/>
    <w:rPr>
      <w:color w:val="96607D" w:themeColor="followedHyperlink"/>
      <w:u w:val="single"/>
    </w:rPr>
  </w:style>
  <w:style w:type="table" w:styleId="LightShading-Accent1">
    <w:name w:val="Light Shading Accent 1"/>
    <w:basedOn w:val="TableNormal"/>
    <w:uiPriority w:val="60"/>
    <w:semiHidden/>
    <w:unhideWhenUsed/>
    <w:rsid w:val="00304FCE"/>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vid.gov.lv/lv/nozaru-statistikas-katalogs/nodoklu-maksataju-skaits-2024gada-1janvari" TargetMode="External"/><Relationship Id="rId2" Type="http://schemas.openxmlformats.org/officeDocument/2006/relationships/hyperlink" Target="https://www.csp.gov.lv/lv/klasifikacija/nace-2-red/nace-saimniecisko-darbibu-statistiska-klasifikacija-eiropas-kopiena-2-redakcija" TargetMode="External"/><Relationship Id="rId1" Type="http://schemas.openxmlformats.org/officeDocument/2006/relationships/hyperlink" Target="https://stat.gov.lv/lv/statistikas-temas/valsts-ekonomika/ikp-istermina/preses-relizes/20753-iekszemes-kopprodukts-2023?themeCode=IK" TargetMode="External"/><Relationship Id="rId5" Type="http://schemas.openxmlformats.org/officeDocument/2006/relationships/hyperlink" Target="https://likumi.lv/ta/id/33946-par-nodokliem-un-nodevam" TargetMode="External"/><Relationship Id="rId4" Type="http://schemas.openxmlformats.org/officeDocument/2006/relationships/hyperlink" Target="https://www.csp.gov.lv/lv/klasifikacija/nace-2-red/nace-saimniecisko-darbibu-statistiska-klasifikacija-eiropas-kopiena-2-redakc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EC1AB-1D03-4EFC-8377-2797DB8B35CB}">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9531</Words>
  <Characters>5433</Characters>
  <Application>Microsoft Office Word</Application>
  <DocSecurity>0</DocSecurity>
  <Lines>45</Lines>
  <Paragraphs>29</Paragraphs>
  <ScaleCrop>false</ScaleCrop>
  <Company/>
  <LinksUpToDate>false</LinksUpToDate>
  <CharactersWithSpaces>14935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2024-08-14T13:18:00Z</dcterms:created>
  <dcterms:modified xsi:type="dcterms:W3CDTF">2024-08-14T13:19:00Z</dcterms:modified>
</cp:coreProperties>
</file>