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26-TA-854: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finansējumu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Precizets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kopējais pieejamais attiecināmais finansējums ir 29 471 534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25 050 804 </w:t>
            </w:r>
            <w:r w:rsidR="00000000" w:rsidRPr="00000000" w:rsidDel="00000000">
              <w:rPr>
                <w:i w:val="1"/>
                <w:rtl w:val="0"/>
              </w:rPr>
              <w:t xml:space="preserve">euro</w:t>
            </w:r>
            <w:r w:rsidR="00000000" w:rsidRPr="00000000" w:rsidDel="00000000">
              <w:rPr>
                <w:rtl w:val="0"/>
              </w:rPr>
              <w:t xml:space="preserve"> un valsts budžeta līdzfinansējums – 4 420 730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valsts budžeta līdzfinansējumu par 1 euro, lai nodrošinātu atbilstību noteiktajai ERAF finansējuma proporcijai, jo pašlaik plānotais ERAF finansējums veido 85,000236 % no kopējā finansējuma, pārsniedzot pieļaujamo 85 %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kopējais pieejamais attiecināmais finansējums ir 29 471 534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25 050 803 </w:t>
            </w:r>
            <w:r w:rsidR="00000000" w:rsidRPr="00000000" w:rsidDel="00000000">
              <w:rPr>
                <w:i w:val="1"/>
                <w:rtl w:val="0"/>
              </w:rPr>
              <w:t xml:space="preserve">euro</w:t>
            </w:r>
            <w:r w:rsidR="00000000" w:rsidRPr="00000000" w:rsidDel="00000000">
              <w:rPr>
                <w:rtl w:val="0"/>
              </w:rPr>
              <w:t xml:space="preserve"> un valsts budžeta līdzfinansējums – 4 420 731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Informāciju par šo noteikumu ietvaros izsniegto atbalstu sadarbības iestāde publicē atbilstoši Komisijas regulas Nr.</w:t>
            </w:r>
            <w:r w:rsidR="00000000" w:rsidRPr="00000000" w:rsidDel="00000000">
              <w:rPr>
                <w:rtl w:val="0"/>
              </w:rPr>
              <w:t xml:space="preserve">651/2014</w:t>
            </w:r>
            <w:r w:rsidR="00000000" w:rsidRPr="00000000" w:rsidDel="00000000">
              <w:rPr>
                <w:rtl w:val="0"/>
              </w:rPr>
              <w:t xml:space="preserve"> 9. panta 1. un 4. punktā noteiktajām publicitātes pasākumu prasībām un saskaņā ar normatīvo aktu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noteikumu 64.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Informāciju par šo noteikumu ietvaros izsniegto atbalstu sadarbības iestāde publicē atbilstoši Komisijas regulas Nr.</w:t>
            </w:r>
            <w:r w:rsidR="00000000" w:rsidRPr="00000000" w:rsidDel="00000000">
              <w:rPr>
                <w:rtl w:val="0"/>
              </w:rPr>
              <w:t xml:space="preserve">651/2014</w:t>
            </w:r>
            <w:r w:rsidR="00000000" w:rsidRPr="00000000" w:rsidDel="00000000">
              <w:rPr>
                <w:rtl w:val="0"/>
              </w:rPr>
              <w:t xml:space="preserve"> 9. panta 1. un 4. punktā noteiktajām publicitātes pasākumu prasībām un saskaņā ar normatīvo aktu par kārtību, kādā publicē informāciju par sniegto komercdarbības atbalstu.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15:32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noteikumu projekts) anotācijas izriet, ka, lai nodrošinātu atbalsta pieejamību visiem atlasītajiem projektiem, nepieciešama papildu finansējuma novirzīšana 1,5 milj. euro apmērā, norādot, ka tas ļaus nodrošināt pilnvērtīgu atbalstu atlasītajiem projektiem un sekmēt jaunu tehnoloģiju attīstību un ieviešanu tirgū. Viennozīmīgai izpratnei lūdzam papildināt anotāciju, precīzi norādot, kādām konkrētām darbībām minētais papildu finansējums ir nepieciešams, kā arī vai būs veicami grozījumi līgumos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ka ir plānota visu projektu iesniedzēju informēšana par noteikumu grozījumiem pēc to apstiprināšanas MK, t.sk. par iespēju slēgt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ka, ņemot vērā izmaiņas rādītāju vērtībās, Ekonomikas ministrija pie 6. Programmas grozījumiem Finanšu ministrijai pēc iespējas ātrāk iesūtīs arī precizēto 1.2.1. SAM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informāciju par intervences kodiem, norādot pieejamā finansējuma sadalījumu starp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atbilsotši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svītrojot šobrīd izmaiņu ailēs norādīto finansējumu un atspoguļojot noteikumu projektā paredzēto finansējuma palielinājumu 1.2.1.1. pasākuma “Atbalsts jaunu produktu attīstībai un internacionalizācijai” (turpmāk -  1.2.1.1. pasākums) īstenošanai 1 494 873 euro apmērā, vienlaikus 6.punktā sniedzot tam pamatojošo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sniegtajām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noteikumu projekta anotāciju ar informāciju, ka grozījumi Ministru kabineta 2023. gada 17. oktobra noteikumos Nr.597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uz Ministru kabinetu apstiprināšanai tik virzīti vienlaicīgi vai pirms grozījumiem Ministru kabineta 2024. gada 22. oktobra noteikumos Nr.663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atbilsotši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kopējais pieejamais attiecināmais finansējums ir 30 860 372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26 231 316 </w:t>
            </w:r>
            <w:r w:rsidR="00000000" w:rsidRPr="00000000" w:rsidDel="00000000">
              <w:rPr>
                <w:i w:val="1"/>
                <w:rtl w:val="0"/>
              </w:rPr>
              <w:t xml:space="preserve">euro</w:t>
            </w:r>
            <w:r w:rsidR="00000000" w:rsidRPr="00000000" w:rsidDel="00000000">
              <w:rPr>
                <w:rtl w:val="0"/>
              </w:rPr>
              <w:t xml:space="preserve"> un valsts budžeta līdzfinansējums – 4 629 056​​​​​​​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brīvā finansējuma pārdali no 1.2.1.3. pasākuma, taču noteikumu projektā norādītās summas neatbilst faktiskajam finansējuma izlietojumam 1.2.1.3. pasākumā uz 2026. gada 23.aprīli. 1.2.1.3. pasākuma ietvaros ir īstenoti 2 projekti par kopējo publisko finansējumu 143 080,56 EUR, t.sk. ERAF finansējumu 121 608, 93 EUR un valsts budžeta līdzfinansējumu 21 471,63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noteikumu projektā noteiktās pieejamā finansējuma summas atbilstoši faktiskajam finansējuma izlietojumam 1.2.1.3.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šī brīža finansējuma pārdales rezultātā, ņemot vērā uzņemtās saistības 1.2.1.1. pasākuma 3.kārtas 2.uzsaukumā, veidosies publiskā finansējuma pārpalikums aptuveni 250 tūkst. EUR apmērā, kas nebūs pietiekams rindojumā nākošo esošo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faktiskajai situācijai. Finansējuma pārdale paredzēta tikai nepieciešamā finansējuma apmērā, tādējādi finansējuma atlikums 1.2.1.1. pasākuma trešās kārta ietvaros neveidosies. Vienlaikus, pārējais nesadalītais finansējums tiek sagalabāts 1.2.1.3. pasākuma ietvaros, tādējādi nodrošinot finansējuma pieejamību uzņēmumu dalībai kapitāla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kopējais pieejamais attiecināmais finansējums ir 29 471 534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25 050 803 </w:t>
            </w:r>
            <w:r w:rsidR="00000000" w:rsidRPr="00000000" w:rsidDel="00000000">
              <w:rPr>
                <w:i w:val="1"/>
                <w:rtl w:val="0"/>
              </w:rPr>
              <w:t xml:space="preserve">euro</w:t>
            </w:r>
            <w:r w:rsidR="00000000" w:rsidRPr="00000000" w:rsidDel="00000000">
              <w:rPr>
                <w:rtl w:val="0"/>
              </w:rPr>
              <w:t xml:space="preserve"> un valsts budžeta līdzfinansējums – 4 420 731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27.6.</w:t>
            </w:r>
            <w:r w:rsidR="00000000" w:rsidRPr="00000000" w:rsidDel="00000000">
              <w:rPr>
                <w:rtl w:val="0"/>
              </w:rPr>
              <w:t xml:space="preserve"> un </w:t>
            </w:r>
            <w:r w:rsidR="00000000" w:rsidRPr="00000000" w:rsidDel="00000000">
              <w:rPr>
                <w:rtl w:val="0"/>
              </w:rPr>
              <w:t xml:space="preserve">27.9.</w:t>
            </w:r>
            <w:r w:rsidR="00000000" w:rsidRPr="00000000" w:rsidDel="00000000">
              <w:rPr>
                <w:rtl w:val="0"/>
              </w:rPr>
              <w:t xml:space="preserve"> apakšpunktā</w:t>
            </w:r>
            <w:r w:rsidR="00000000" w:rsidRPr="00000000" w:rsidDel="00000000">
              <w:rPr>
                <w:rtl w:val="0"/>
              </w:rPr>
              <w:t xml:space="preserve"> minētās izmaksas nevar pārsniegt vairāk kā 30 procentus no projektā kopējā attiecināmo izmaksu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punktā nav noteikts, vai procentuālais ierobežojums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27.6. un 27.9. apakšpunktā minētās izmaksas nedrīkst pārsniegt 30 procentus no projektā plānotā kopējā attiecināmo izmaksu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27.6.</w:t>
            </w:r>
            <w:r w:rsidR="00000000" w:rsidRPr="00000000" w:rsidDel="00000000">
              <w:rPr>
                <w:rtl w:val="0"/>
              </w:rPr>
              <w:t xml:space="preserve"> un </w:t>
            </w:r>
            <w:r w:rsidR="00000000" w:rsidRPr="00000000" w:rsidDel="00000000">
              <w:rPr>
                <w:rtl w:val="0"/>
              </w:rPr>
              <w:t xml:space="preserve">27.9.</w:t>
            </w:r>
            <w:r w:rsidR="00000000" w:rsidRPr="00000000" w:rsidDel="00000000">
              <w:rPr>
                <w:rtl w:val="0"/>
              </w:rPr>
              <w:t xml:space="preserve"> apakšpunktā</w:t>
            </w:r>
            <w:r w:rsidR="00000000" w:rsidRPr="00000000" w:rsidDel="00000000">
              <w:rPr>
                <w:rtl w:val="0"/>
              </w:rPr>
              <w:t xml:space="preserve"> minētās izmaksas nevar pārsniegt vairāk kā 30 procentus no projektā plānoto kopējā attiecināmo izmaksu apmēra.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26-TA-854</w:t>
    </w:r>
    <w:r>
      <w:br/>
    </w:r>
    <w:r w:rsidR="00000000" w:rsidRPr="00000000" w:rsidDel="00000000">
      <w:rPr>
        <w:rtl w:val="0"/>
      </w:rPr>
      <w:t xml:space="preserve">06.08.2026. 21.22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26-TA-854</w:t>
    </w:r>
    <w:r>
      <w:br/>
    </w:r>
    <w:r w:rsidR="00000000" w:rsidRPr="00000000" w:rsidDel="00000000">
      <w:rPr>
        <w:rtl w:val="0"/>
      </w:rPr>
      <w:t xml:space="preserve">06.08.2026. 21.22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Izziņa_26-TA-854.docx</dc:title>
</cp:coreProperties>
</file>

<file path=docProps/custom.xml><?xml version="1.0" encoding="utf-8"?>
<Properties xmlns="http://schemas.openxmlformats.org/officeDocument/2006/custom-properties" xmlns:vt="http://schemas.openxmlformats.org/officeDocument/2006/docPropsVTypes"/>
</file>