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22-TA-1822: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Nacionālais radiofrekvenču plāns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radiofrekvenču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nav pilnībā pārņemtas Eiropas Komisijas īstenošanas lēmumā 2019/1345 noteiktā maza darbības attāluma ierīces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minētā lēmuma 1.pantā noteiktajam, Noteikumu projektu papildināt ar definīciju šādā redakcijā:“Maza darbības attāluma ierīce” ir radiosakaru ierīce, kas nodrošina vai nu vienvirziena, vai divvirzienu sakarus un kas ar mazu jaudas līmeni uztver signālu un/vai raida īsos attālumos, un atbilst Noteikumu 3.pielikuma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Maza darbības attāluma ierīces termins ir precizēts 3.pielikuma 8.punktā terminu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radiofrekvenču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atbilstību starptautiskiem radiofrekvenču un radiofrekvenču spektru joslu izmantošanas nosacījumiem (4. 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 108 "Normatīvo aktu projektu sagatavošanas noteikumi" (turpmāk - MKN Nr. 108) 100. punktu noteikumu projekta 1. punktā raksta (pārraksta) likumā noteikto pilnvarojumu Ministru kabinetam. Attiecīgi lūdzam precizēt projektu atbilstoši likumā noteiktajam pilnvarojumam, svītrojot 1.3. apakšpunktu un, ja nepieciešams, izsakot to piemērotā redakcijā kā noteikumu projekta atsevišķu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punktā veikti labojumi. Noteikumu projekts papildināts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Šo noteikumu 4. pielikumā ietverta informācija par atbilstību starptautiskajiem radiofrekvenču spektra izmantošanas nosacījumiem (4.pielikums)."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Radiofrekvenču joslu, kura nav iedalīta noteiktai radiosakaru sistēmai, var izmantot tikai pēc šīs radiofrekvenču joslas izmantošanas nosacījumu un elektromagnētiskās saderības nodrošināšanai nepieciešamo radiosaskarņu izstrādāšanas un iekļaušanas radiofrekvenču plānā saskaņā ar normatīvajiem aktiem par radiofrekvenču spektra joslu sadalījumu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saprotams projekta 7. punktā ar "normatīvajiem aktiem par radiofrekvenču spektra joslu sadalījumu un izmantošanu". Vēršam uzmanību, ka, ja ar atsauci saprotami šie noteikumi, atsauci nepieciešams veidot atbilstoši MKN Nr. 108 132. punktam. Līdzīgi lūdzam skaidrot arī projekta 17.-20. punktā ietvertās atsauces uz normatīvajiem aktiem. Aicinām nekonkrētu atsauču vietā pēc iespējas atsaukties uz konkrētiem normatīvajiem aktiem atbilstoši MKN Nr. 108 3.7. apakšnodaļas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Radiofrekvenču joslu, kura nav iedalīta noteiktai radiosakaru sistēmai, var izmantot tikai pēc šīs radiofrekvenču joslas izmantošanas nosacījumu un elektromagnētiskās saderības nodrošināšanai nepieciešamo radiosaskarņu un atbilstošās radiosakaru sistēmas iekļaušanas radiofrekvenču plānā, saskaņā ar šo noteikumu radiofrekvenču spektra joslu sadalījumu un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Ultraplatjoslas tehnoloģijas (UWB) radioiekārtas var strādāt plašā radiofrekvenču spektrā, tām jāatbilst šo noteikumu 3. pielikuma prasībām un tās netiek atainotas šo noteikumu 1.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projektu vai tā anotācijā skaidrot, ko projekta 11. punktā nozīmē frāze "plašā radiofrekvenču spektrā". Salīdzinājumam: Ministru kabineta 2009.gada 6.oktobra noteikumu Nr.1151 "Noteikumi par radiofrekvenču spektra joslu sadalījumu radiosakaru veidiem un iedalījumu radiosakaru sistēmām, kā arī par radiofrekvenču spektra joslu izmantošanas vispārīgajiem nosacījumiem (Nacionālais radiofrekvenču plāns)" (turpmāk - MKN Nr. 1151) 12. punktā lietota frāze "visā radiofrekvenču spektrā". Vēršam uzmanību, ka jābūt skaidram, kādā radiofrekvenču spektrā ultraplatjoslas tehnoloģijas (UWB) radioiekārtas var strādāt.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punktā - ultraplatjoslas tehnoloģijas (UWB) radioiekārtām, skaidrots, ka UWB netiek atainotas šo noteikumu 1. pielikumā (saglabājas Noteikumu Nr. 1151 princips). UWB radioiekārtas, netiek atainotas šo noteikumu 1. pielikumā, jo darbojas plašā spektrā un tās neataino, lai šo noteikumu 1.pielikumu saglabātu pārskatāmu."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Ultraplatjoslas tehnoloģijas (UWB) radioiekārtas var strādāt radiofrekvenču spektrā, atbilstoši šo noteikumu 3. pielikuma prasībām, un tās netiek atainotas šo noteikumu 1.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Atzīt par spēku zaudējušiem Ministru kabineta 2009. gada 6. oktobra noteikumus Nr.1151 “Noteikumi par radiofrekvenču spektra joslu sadalījumu radiosakaru veidiem un iedalījumu radiosakaru sistēmām, kā arī par radiofrekvenču spektra joslu izmantošanas vispārīgajiem nosacījumiem (Nacionālais radiofrekvenču plāns)” (Latvijas Vēstnesis, 2009, 161. nr.; 2010, 73., 131. nr.; 2011, 86. nr.; 2012, 118., 194. nr.; 2013, 31. nr.; 2014, 160. nr.; 2015, 108. nr.; 2016, 204. nr.; 2018, 119., 251. nr.; 2019, 119. nr.; 2020, 137. nr.; 2021, 52., 116., 214. nr..; 2022, 76. nr.).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likuma (turpmāk - likums) pārejas noteikumu 2. punkta 5. apakšpunkts paredz, ka līdz likumā paredzēto Ministru kabineta noteikumu spēkā stāšanās dienai, bet ne ilgāk kā līdz 2022. gada 30. septembrim, ciktāl tie nav pretrunā ar likumu, piemērojami citastarp MKN Nr. 1151. Attiecīgi jau ar likumu paredzēts, ka MKN Nr. 1151 zaudēs spēku 2022. gada 1. oktobrī (sk. arī norādi pie MKN Nr. 1151 portālā www.likumi.lv). Attiecīgi, vēl jo vairāk ņemot vērā, ka projekts šobrīd ir tikai saskaņošanas stadijā un maz ticams, ka stāsies spēkā pirms 1. oktobra, lūdzam izvērtēt iespēju svītrot projekta 21.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 pielikuma 354., 355., 356., 357., 358., 359., 360., 361., 362. un 363. punktā noteiktais 7128–7240 MHz, 7282–7394 MHz, 7428–7652 MHz, 7673-7897 MHz radiofrekvenču joslas iedalījums radioiekārtām, kas uzstādītas līdz 2014. gada 31. decembrim, ir spēkā līdz šo iekārtu ekspluatācijas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izmaiņas projekta 25. punktā, salīdzinot ar MKN Nr. 1151 41. punktu (proti, papildus nācis klāt "7428–7897 MHz").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punkts (MKN Nr. 1151 41. punkts) papildināts ar radiofrekvenču joslu "7428–7897 MHz" , jo notikusi radiokanālu plānojuma maiņa atbilstoši 2. pielikuma 32. punktam (Noteikumu  Nr. 1151 2. pielikuma 45. punkts) attiecīgi, noslēguma jautājumos nav iekļautas Noteikumu Nr. 1151 21., 22. un 24. punkta normas, jo attiecīgo radioiekārtu ekspluatācija ir izbeigta."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 pielikuma 354., 355., 356., 357., 358., 359., 360., 361., 362. un 363. punktā noteiktais 7128–7240 MHz, 7282–7394 MHz, 7428–7652 MHz, 7673-7897 MHz radiofrekvenču joslas iedalījums radioiekārtām, kas uzstādītas līdz 2014. gada 31. decembrim, ir spēkā līdz šo iekārtu ekspluatācijas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 pielikuma 354., 355., 356., 357., 358., 359., 360., 361., 362. un 363. punktā noteiktais 7128–7240 MHz, 7282–7394 MHz, 7428–7652 MHz, 7673-7897 MHz radiofrekvenču joslas iedalījums radioiekārtām, kas uzstādītas līdz 2014. gada 31. decembrim, ir spēkā līdz šo iekārtu ekspluatācijas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iekļauts, piemēram, 25. un 27. punkts, lūdzam anotācijā skaidrot, kāpēc noslēguma jautājumos nav iekļautas, piemēram, MKN Nr. 1151 21., 22. un 24. punktam atbilstošas normas, kas ir saturiski līdzīgas un attiecas uz kādu noteikumu piemērojamību iekārtām, kas uzstādītas pirms noteikta datuma. Nepieciešamības gadījumā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skaidrotas izmaiņas: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punkts (MKN Nr. 1151 41. punkts) papildināts ar radiofrekvenču joslu "7428–7897 MHz" , jo notikusi radiokanālu plānojuma maiņa atbilstoši 2. pielikuma 32. punktam (Noteikumu  Nr. 1151 2. pielikuma 45. punkts) attiecīgi, noslēguma jautājumos nav iekļautas Noteikumu Nr. 1151 21., 22. un 24. punkta normas, jo attiecīgo radioiekārtu ekspluatācija ir izbeigta."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Šo noteikumu 1. pielikuma 354., 355., 356., 357., 358., 359., 360., 361., 362. un 363. punktā noteiktais 7128–7240 MHz, 7282–7394 MHz, 7428–7652 MHz, 7673-7897 MHz radiofrekvenču joslas iedalījums radioiekārtām, kas uzstādītas līdz 2014. gada 31. decembrim, ir spēkā līdz šo iekārtu ekspluatācijas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21,65–24,25 GHz radiofrekvenču josla ir pieejama SRR iekārtām, kas pirms  2013. gada 30. jūnija jebkādā transportlīdzeklī ir instalētas vai arī aizstāj šādi instalētas iekārtas Kopienā reģistrētā, tirgū laistā vai ekspluatācijā nodotā transportlīdzeklī.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par projekta 36. un 37. punktu skaidrots, ka veikti precizējumi skaidrības dēļ. Lūdzam izvērstāk skaidrot minētos precizējumus, ņemot vērā vairākas atšķirības ar MKN Nr. 1151 regulējumu: 1) MKN Nr. 1151 29.</w:t>
            </w:r>
            <w:r w:rsidR="00000000" w:rsidRPr="00000000" w:rsidDel="00000000">
              <w:rPr>
                <w:vertAlign w:val="superscript"/>
                <w:rtl w:val="0"/>
              </w:rPr>
              <w:t xml:space="preserve">2</w:t>
            </w:r>
            <w:r w:rsidR="00000000" w:rsidRPr="00000000" w:rsidDel="00000000">
              <w:rPr>
                <w:rtl w:val="0"/>
              </w:rPr>
              <w:t xml:space="preserve"> punktā bija ietverta atsauce nevis uz jebkādu transportlīdzekli, bet gan uz ES ražotu vai reģistrētu un ekspluatācijā nodotu automobili; 2) nav skaidra vārda "Kopiena", nevis "Eiropas Savienība" lietošana; 3) lūdzam skaidrot arī to, kādēļ nav iekļauts MKN Nr. 1151 29.</w:t>
            </w:r>
            <w:r w:rsidR="00000000" w:rsidRPr="00000000" w:rsidDel="00000000">
              <w:rPr>
                <w:vertAlign w:val="superscript"/>
                <w:rtl w:val="0"/>
              </w:rPr>
              <w:t xml:space="preserve">2 </w:t>
            </w:r>
            <w:r w:rsidR="00000000" w:rsidRPr="00000000" w:rsidDel="00000000">
              <w:rPr>
                <w:rtl w:val="0"/>
              </w:rPr>
              <w:t xml:space="preserve">punkta 2. teikums un vai 36. un 37. punktā paredzētais regulējums tam faktiski nav pretrunā.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jautājumu 36. punktā ietverts apraksts par transportlīdzeklī uzstādītajām instalētām ierīcēm (SRR) pēc 2013. gada 30. jūnija 21,65–24,25 GHz radiofrekvenču joslā un pēc 2018. gada 1. janvāra 24,25–26,65 GHz radiofrekvenču joslā - Noteikumu Nr. 1151 noslēguma jautājumu 29., 29.1 , 29.2 punkts. Minēto punktu apvienošana veikta skaidrības dēļ, nemainot būtību. Saskaņā ar Komisijas 2005. gada 17. janvāra Lēmumu 2005/50/EK par 24 GHz diapazona radiofrekvenču spektra joslas saskaņošanu automobiļu tuvdarbības radaru iekārtu lietojumā uz ierobežotu laiku Kopienā, un to grozošiem lēmumiem: Komisijas 2011. gada 29. jūlija lēmums 2011/485/EU, ar ko izdara grozījumus lēmumā 2005/50/EK par 24 GHz diapazona radiofrekvenču spektra joslas saskaņošanu automobiļu tuvdarbības radaru iekārtu lietojumā uz ierobežotu laiku Kopienā un Komisijas 2017. gada 10. novembra Īstenošanas lēmums 2017/2077/ES par grozījumiem Lēmumā 2005/50/EK par 24 GHz diapazona radiofrekvenču spektra joslas saskaņošanu automobiļu tuvdarbības radaru iekārtu lietojumā uz ierobežotu laiku Kopienā - šādu ierīču īpatsvars transportlīdzekļos samazināsies, ņemot vērā to pakāpenisku nolietojumu, un SRR ierīces jaunos transportlīdzekļos šajās joslās nav paredzēts uzstādīt.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Radioiekārtas, kuru turpmākā izmantošana nav paredzēta šo noteikumu 1. pielikumā, izmanto līdz minēto radioiekārtu kalpošanas laika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Noslēguma jautājumu 38.punktu.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jautājumu 38.punkts paredz, ka Radioiekārtas, kuru turpmākā izmantošana nav paredzēta šo noteikumu 1. pielikumā, izmanto līdz minēto radioiekārtu kalpošanas laika beigām. Iebilstam pret vispārējas normas iekļaušanu Noteikumu projektā, kas būtībā dod tiesības bez ierobežojumiem un nosacījumiem neievērot noteikumus. Tādējādi, komersanti, kuri veic investīcijas un pārveido savu darbību, tiek nostādīti tiesiski nelabvēlīgākā situācijā, nekā komersanti, kuri to nedara.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Noteikumu projektu, papildinot to ar konkrētiem izņēmuma gadījumiem/situācijām, kad šis izņēmums ir pieļaujams, kā arī noteikt termiņu, līdz kuram šādas iekārtas ir izslēdzamas.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Redakcija precizēta papildinot skaidrojumu par šādām radioiekārtām.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punkts precizēts, ņemot vērā nozares viedokli, kad radioiekārtām, kuru turpmākā izmantošana nav paredzēta šo noteikumu 1. pielikumā, </w:t>
            </w:r>
            <w:r w:rsidR="00000000" w:rsidRPr="00000000" w:rsidDel="00000000">
              <w:rPr>
                <w:rtl w:val="0"/>
              </w:rPr>
              <w:t xml:space="preserve">piemēram, pēc pārplānošanas mainot kanāla soli, tādām iekārtām, kurām nav alternatīvas aizstāšanas iespējas, ir iespēja izmantot šīs iekārtas līdz minēto radioiekārtu kalpošanas laika beigām, un tas neattiecas uz iekārtām ierobežotajās radiofrekvenču joslās. (Noteikumu Nr. 1151 33.punkts)."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Radioiekārtas, kuru turpmākā izmantošana nav paredzēta šo noteikumu 1. pielikumā un kuras neizmanto ierobežotajās radiofrekvenču joslās, izmanto līdz minēto radioiekārtu kalpošanas laika beigām.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FDD 3615–3629 MHz/3715–3729 MHz radiokanāla lietošanas tiesības Latvijas Republikas teritorijā, izņemot Rīgu, aizvieto ar 28 MHz frekvenču spektra lietošanas tiesībām Latvijas Republikas teritorijā, izņemot Rīgu, RS LM.3600-1 TDD 3600–3650 MHz frekvenču bloka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projekta 39. punktu un tā atšķirības no MKN Nr. 1151 44. punkta (tostarp 44.4.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jautājumu 38. punkts precizēts, ņemot vērā nozares viedokli, kad radioiekārtām, kuru turpmākā izmantošana nav paredzēta šo noteikumu 1. pielikumā, piemēram, pēc pārplānošanas mainot kanāla soli, ir iespēja izmantot šīs iekārtas līdz minēto radioiekārtu kalpošanas laika beigām, un tas neattiecas uz iekārtām ierobežotajās radiofrekvenču 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 1151 noslēguma jautājuma 44. punkts, pēc joslas 3410,0–3600,0 MHz un 3600,0–3800,0 MHz pārplānošanas jāpārskata, jo notikusi pāreja uz radiosaskarnei LM.3600-1 atbilstošu radioiekārtu izmantošanu. Noteikumu projekta noslēguma jautājumu 38. punkts, atbilst 44.7. apakšpunktam. Pārējie 44. punkta apakšpunkti zaudējuši aktualitāti, jo Sabiedrisko pakalpojumu regulēšanas komisija (turpmāk- SPRK) ir izdevusi jaunus lēmums par radiofrekvenču spektra lietošanas tiesībām 3410,0–3600,0 MHz un 3600,0–3800,0 MHz joslā."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28 MHz frekvenču bloku 3600-3650 MHz frekvenču bloka ietvaros Latvijas Republikas teritorijā, izņemot Rīgu, lieto atbilstoši radiosaskarnei LM.3600-1 TDD, līdz 2025. gada 6. maijam Sabiedrisko pakalpojumu regulēšanas komisijas piešķirto lietošanas tiesību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FDD 3615–3629 MHz/3715–3729 MHz radiokanāla lietošanas tiesības Latvijas Republikas teritorijā, izņemot Rīgu, aizvieto ar 28 MHz frekvenču spektra lietošanas tiesībām Latvijas Republikas teritorijā, izņemot Rīgu, RS LM.3600-1 TDD 3600–3650 MHz frekvenču bloka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Noteikumu projekta Noslēguma jautājumu 39.punktu.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jautājumu 39.punkts paredz viena noteikta komersanta radiofrekvenču spektra pārdalījumu 3600 MHz-3800 MHz radiofrekvenču spektra joslā. Pirmkārt, Noteikumu projekta anotācijā nav norādīts, kādēļ Ministru kabinets ar vispārsaistošu normatīvu aktu vēlas regulēt konkrēta komersanta tiesiskās attiecības. Otrkārt, individuālu radiofrekvenču spektra lietošanas tiesību piešķiršana vai maiņa saskaņā ar Elektronisko sakaru likuma 45.panta otro daļu ir Sabiedrisko pakalpojumu regulēšanas komisijas kompetence. Līdz ar to uzskatām to par Noteikumu projekta 39.punktu par neatbilstošu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Noteikumu projekta Noslēguma jautājumu 39.punktu.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Noslēguma jautājuma 39.punkts.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"Radiofrekvences piešķīruma lietošanas atļaujas (turpmāk - atļaujas) radioiekārtu izmantošanai komercdarbībā pieprasīšana no VAS “Elektroniskie sakari”, ir SPRK lēmuma par radiofrekvenču spektra lietošanas tiesību piešķiršanu komercdarbībai elektronisko sakaru nozarē esamība. Vērtējot komersanta pieprasījumu atļaujas izsniegšanai, VAS “Elektroniskie sakari” to skata kopsakarībā ar SPRK 2010. gada 7. maija lēmumu Nr.171 "Par radiofrekvenču spektra joslu 3600MHz – 3700MHz / 3700MHz – 3800MHz viena 14MHz plata radiokanālu lietošanas tiesībām izsoles uzvarētājam" (turpmāk – Lēmums). Šī Lēmuma rezolutīvās daļas 1. punkts nosaka: piešķirt SIA "Telia Latvija" radiofrekvenču spektra joslu 3600 MHz – 3700 MHz / 3700 MHz – 3800 MHz viena 14 MHz plata radiokanāla lietošanas tiesības komercdarbībai Latvijas Republikas teritorijā, izņemot Rīgu, līdz 2025. gada 6. maijam. Gadījumā, ja tiktu svītrots Noteikumu projekta 38. punkts, VAS “Elektroniskie sakari” izskatot SIA "Telia Latvija" pieprasījumu lietošanas atļauju izsniegšanai, pamatojoties uz Lēmumā piešķirto radiofrekvenču spektra apjomu, no elektromagnētiskās saderības viedokļa varētu vērtēt atļauju izsniegšanu arī joslās, kur jau šobrīd ir piešķirtas lietošanas tiesības citiem komersantiem (SIA "LMT", SIA "Unistars"), vai kur tās nemaz vēl nav piešķirtas (3750-3800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38. punkts paredz regulējumu, kas ir nepieciešams spēkā esošu frekvenču lietošanas tiesību izmantošanas nodrošināšanai, ņemot vērā joslas 3400-3800 MHz pārplānošanu no frekvenčdales dupleksa uz laikdales dupleksa lietojumu. Atbilstoši SPRK lēmumā noteiktajam termiņam (līdz 2025. gada 6. maijam) elektronisko sakaru operators SIA “Telia Latvija” izmanto šo spektru atbilstoši radiosaskarnei LM.3600-1 un saņemtajām joslas lietošanas tiesībām, un saglabājot tiesisko paļāvību darboties šajā spektrā. Laikā līdz spēkā esošo lietošanas tiesību beigām operators SIA “Telia Latvija” plāno izmantot VAS “Elektroniskie sakari” izsniegtās lietošanas atļaujās noteikto frekvenču spektru 3600-3650 MHz frekvenču bloka ietvaros Latvijas Republikas teritorijā, izņemot Rīgu, apjomā, kas nepārsniedz 28 MHz."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28 MHz frekvenču bloku 3600-3650 MHz frekvenču bloka ietvaros Latvijas Republikas teritorijā, izņemot Rīgu, lieto atbilstoši radiosaskarnei LM.3600-1 TDD, līdz 2025. gada 6. maijam Sabiedrisko pakalpojumu regulēšanas komisijas piešķirto lietošanas tiesību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3. pielikumā ietvertas atsauces uz Direktīvu 2014/53/ES vai tās normām, un 3. pielikumā ietvertas atsauces uz minēto, kā arī citām direktīvām, tostarp Eiropas Parlamenta un Padomes Direktīvu (ES) 2018/1972 par Eiropas Elektronisko sakaru kodeksa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Līguma par Eiropas Savienības darbību 288. panta trešo daļu direktīvas tām dalībvalstīm, kurām tās adresētas, uzliek saistības attiecībā uz sasniedzamo rezultātu, bet ļauj šo valstu varasiestādēm noteikt to īstenošanas formas un metodes. Attiecīgi direktīvas ir adresētas dalībvalstīm, nevis privātpersonām, un dalībvalstīm ir nepieciešams to normas pārņemt nacionālajos normatīvajos aktos, lai tās būtu saistošas privātpersonām. Attiecīgi uz direktīvām un to normām nav pieļaujams veidot atsauces nacionālajos normatīvajos aktos, bet gan direktīvu prasības tajos ir jāpārņem, attiecīgi ietverot informatīvu atsauci uz direktīvu noteikumu projekta beigās atbilstoši MKN Nr. 108 162.-168.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atsauces svītrot un attiecīgās direktīvu prasības pēc būtības pārņemt projektā, precizējot arī informatīvo atsauci, kā arī anotācijas 5. sadaļas 1. tabulu. Vēršam uzmanību,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un 3. pielikums un anotācija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Informatīvā atsauce uz Eiropas Savienības direktīvām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2009. gada 16. septembra Direktīva 2009/114/EK, ar ko groza Padomes Direktīvu 87/372/EEK par frekvenču joslām, kas rezervējamas publisku Viseiropas sauszemes šūnu mobilo ciparsignālu sakaru saskaņotai ieviešanai Kopienā.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Parlamenta un Padomes 2009. gada 16. septembra Direktīva 2009/114/EK, ar ko groza Padomes Direktīvu 87/372/EEK par frekvenču joslām, kas rezervējamas publisku Viseiropas sauszemes šūnu mobilo ciparsignālu sakaru saskaņotai ieviešanai Kopienā, ir grozošā direktīva, kas groza pamatdirektīvu (proti, Padomes 1987. gada 25. jūnija Direktīvu 87/372/EEK par frekvenču joslām, kas rezervējamas publisku Viseiropas sauszemes šūnu mobilo ciparsignālu sakaru saskaņotai ieviešanai Kopienā), lūdzam arī minēto pamatdirektīvu iekļaut projekta informatīvajā atsaucē uz ES direktīvām, kā arī iekļaut anotācijas 5. sadaļas 1. 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un anotācijas 5. sadaļas 1. tabulā pievienota pamatdirektīva.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Padomes 1987. gada 25. jūnija direktīva 87/372/EEK par frekvenču joslām, kas rezervējamas publisku Viseiropas sauszemes šūnu mobilo ciparsignālu sakaru saskaņotai ieviešanai Kopienā.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jau spēkā esošajos MKN Nr. 1151 ietvertas vairākas atsauces uz dažādiem ziņojumiem, rekomendācijām u.tml. dokumentiem, tomēr lūdzam atkārtoti skaidrot šādu dokumentu juridiski saistošo raksturu. Uzsveram, ka pirmšķietami šādi dokumenti nav uzskatāmi par juridiski saistošiem, ja netiek norādītas konkrētas starptautiskās saistības, no kurām izriet dokumentu juridiski saistošais raksturs. Vēršam uzmanību, ka šobrīd anotācijā nav ietverts pamatots skaidrojums par atsauču ietveršanu projektā. Attiecīgi lūdzam sniegt skaidrojumu vai svītrot atsauces uz minētajiem dokumentiem.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konstatējot konkrētas starptautiskās saistības, lūdzam papildināt projekta anotācijas 5. sadaļu saskaņā ar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CEPT dalībvalsts un ir apņēmusies ieviest CEPT ECC un (ERC) lēmumus un rekomendācijas, kas ir ietverti Noteikumu projektā. Šī informācija tiek atainota Eiropas radiofrekvenču informācijas sistēmā (Frequency Information System (EFIS)) datubāzes reģistrā (https://www.ctu.eu/efis-eco-frequency-information-system), kas ļauj citu valstu elektronisko sakaru komersantiem meklēt un salīdzināt frekvenču joslu piešķiršanu un izmantošanu CEPT dalībvalstīs, salīdzināt atsaucas uz CEPT lēmumiem, ieteikumiem un citiem dokumentiem, kas attiecas uz frekvenču joslām, sniedz radiosaskarņu specifikācijas un informāciju par radiofrekvenču spektra lietošanas tiesībām, tostarp spektra tirdzniecības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veidot atsauces uz citām noteikumu vienībām atbilstoši MKN Nr. 108 131. punktam (proti, "atbilstoši šo noteikumu 4. pielikumam", nevis "pēc 4. 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tiek ietvertas atsauces uz dažādiem dokumentiem, nelietojot to pilnu nosaukumu (piemēram, 2. pielikuma 17. punkta 8. apakšpunktā: Komisijas Lēmums (ES) 2021/1730). Attiecīgi lūdzam projektā lietot pilnus dokumentu nosaukumus.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1.pielikuma saturu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Radiofrekvenču sadalījuma tabula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un 3. pielikumā iekļautas atsauces uz dažādiem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Standartizācijas likuma 13.panta otro daļu Ministru kabinets var noteikt obligāti piemērojamus Latvijas nacionālos standartus, attiecīgi ievērojot Standartizācijas likuma 14.panta prasības. Standartizācijas likuma 14. panta otrā daļa nosaka, ka obligāti piemērojamiem Latvijas nacionālajiem standartiem ir jābūt tulkotiem valsts valodā. Lūdzam attiecīgi nodrošināt noteikumu projektā minēto standartu apstiprināšanu Latvijas nacionālā standarta statusā un nodrošināt to tulkojumu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precizēt projektā norādīto standartu nosaukumus, norādot pilnu standarta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Ministru kabineta 2011.gada 25.maija rīkojuma Nr.217 „Par obligāti piemērojamo Latvijas nacionālo standartu tulkošanu” 3.punktu, izstrādājot tiesību aktu projektu, anotācijā jāpamato, kādēļ tiesību akta projektā nepieciešams norādīt obligāti piemērojamo Latvijas nacionālo standartu, kā arī minēt obligāti piemērojamā Latvijas nacionālā standarta tulkošanas finansējuma avotu un termiņu, kādā paredzēts nodrošināt standarta tulkojumu latviešu valodā, ja tiesību akta projektā norādīts standarts, kas nav iztulkots latviešu valodā. Ievērojot minēto, lūdzam attiecīgi papildināt projekta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2.pielikuma saturu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tostarp 2. pielikumā, izmantots saīsinājums "RS", kas iepriekš projektā atbilstoši MKN Nr. 108 43. punktam nav izveidots. Attiecīgi lūdzam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Saīsinājums "RS" 2. pielikumā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pielikuma 20. punkta (RS LM-1800) 15. punktā attiecībā uz tehniskajiem nosacījumiem minēts: "Atbilstoši lēmumiem 2009/766/EK, 2011/251/ES, 2018/637/ES." Pirmkārt, norādām, ka minētie lēmumi nav uzskaitīti 4. pielikumā. Otrkārt, lūdzam skaidrot atsauci, ņemot vērā, ka Lēmums 2009/766/EK ir atcelts ar 4. pielikumā minēto Komisijas 2022. gada 7. februāra Īstenošanas lēmumu (ES) 2022/173 par 900 MHz un 1800 MHz frekvenču joslu harmonizāciju zemes sistēmām, kuras Savienībā spēj nodrošināt elektronisko sakaru pakalpojumus, un Lēmuma 2009/766/EK atcelšanu.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2.pielikuma saturu ietverts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8.3.3. apakšpunkta 2. piezīmē minēts: "WAS/RLAN iekārtu ekspluatācija lielos gaisa kuģos () (izņemot daudzdzinēju helikopterus) ir atļauta līdz 2028. gada 31. decembrim ar 100 mW maksimālo vidējo e.i.r.p. izstarojumiem joslā." (sk. arī 3. piezīmi). Vēršam uzmanību, ka minētās normas raksturs norāda uz tās pagaidu raksturu, attiecīgi tā būtu ievietojama projekta noslēguma jautājumos. Attiecīgi lūdzam precizēt projektu vai sniegt skaidrojumu. Līdzīgi lūdzam pārskatīt arī citas normas (piemēram, 8.3.4. apakšpunkta 2. tabulas 3. piezīmi).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noteikumu projekta noslēguma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3. pielikuma 16.punktā noteiktā WAS/RLAN iekārtu ekspluatācija frekvenču joslā 5250–5350 MHz un 5470-5725 MHz lielos gaisa kuģos (izņemot daudzdzinēju helikopterus) ir atļauta līdz 2028. gada 31. decembrim ar 100 mW maksimālajiem vidējās e.i.r.p. izstarojumiem joslā.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3.pielikums.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par 3.pielikuma saturu ietverts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WAS/RLAN iekārtu tehniskie nosacījumi noteikti 3.pielikuma 16.punktā.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pielikuma 8.3.3. apakšpunkta 3. tabulā pie rindas "Izmantojamie traucējumu mazināšanas paņēmieni" norādīts: "un ievērotu</w:t>
            </w:r>
            <w:r w:rsidR="00000000" w:rsidRPr="00000000" w:rsidDel="00000000">
              <w:rPr>
                <w:u w:val="single"/>
                <w:rtl w:val="0"/>
              </w:rPr>
              <w:t xml:space="preserve"> šā lēmuma</w:t>
            </w:r>
            <w:r w:rsidR="00000000" w:rsidRPr="00000000" w:rsidDel="00000000">
              <w:rPr>
                <w:rtl w:val="0"/>
              </w:rPr>
              <w:t xml:space="preserve"> tehniskās prasības". Vēršam uzmanību, ka nav skaidrs, par kādu lēmumu ir runa, attiecīgi lūdzam precizēt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2.pielikums un 3.pielikums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atsauces uz 4. pielikuma vienībām (piemēram, "4. pielikuma 1.34. apakšpunktā", nevis "4. pielikuma 1.34.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1.2. sadaļā iekļauts teikums: "Tuvas darbības bezvadu piekļuves punktu fiziskie un tehniskie parametri atbilst Eiropas Komisijas 2020. gada 20. jūlija īstenošanas regulā (ES) 2020/1070 par tuvas darbības bezvadu piekļuves punktu raksturlielumu precizēšanu saskaņā ar Eiropas Parlamenta un Padomes Direktīvas (ES) 2018/1972 par Eiropas Elektronisko sakaru kodeksa izveidi 57. panta 2. punktu noteiktajam." Vēršam uzmanību, ka saskaņā ar MKN Nr. 108 3.2. apakšpunktu normatīvā akta projektā neiekļauj normas, kas dublē augstāka vai tāda paša spēka normatīvā akta tiesību normās ietverto normatīvo regulējumu. Vēršam uzmanību uz Elektronisko sakaru likuma 32. panta pirmo daļu, kura, šķiet, satur tādu pašu regulējumu, kāds iekļauts 3. pielikumā. Attiecīgi lūdzam minēto 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 pielikums un svītrota atsauce uz Elektronisko sakaru kodeksu.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izvērstāk skaidrot projekta pielikumos paredzētās izmaiņas, salīdzinot ar MKN Nr. 1151 regulējumu. Piemēram, lūdzam izvērstāk skaidrot 3. pielikuma 3.1.1. sadaļas tehniskās prasības (sk. skaidrojumu par galiekārtu uzstādīšanu un lietošanu). Papildus norādām, ka skaidrojuma 1. un 2. punkti, kur ir atsauces uz normatīvajiem aktiem, ir neloģiski formulēti, līdz ar ko nav arī skaidrs, par kādiem normatīvajiem aktiem ir runa. Attiecīgi lūdzam precizēt un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teksti zem tabulas (piem. par galiekārtu uzstādīšanu un lietošanu), jo tieši neattiecas uz radiofrekvenču regulēšanu. Galiekārtas, kuras  uzstāda un lieto radiosakaru tīkla bāzes stacijas radiofrekvences piešķīruma lietošanas atļaujas adresāts, attiecas uz operatoru darbību, kad tiek atļauta trešo personu galiekārtu autorizēšana valsts vai sabiedrības interesēm svarīgos infrastruktūras radiosakaru tīklos.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Starptautiskie radiofrekvenču un radiofrekvenču spektru joslu izmantošanas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pilnībā saprotama nekonsekvence attiecībā uz kādu dokumentu minēšanu vai neminēšanu projekta 4. pielikumā (un attiecīgi vai nu pilna nosaukuma minēšanu, piemēram, 1. pielikumā vai atsauces izdarīšanu uz 4. pielikuma vienību). Attiecīgi lūdzam skaidrot.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projekta 2. un 3. pielikumā dažviet minēti lēmumi vai ziņojumi, kuri nemaz nav iekļauti 4. pielikumā, turklāt neatšifrējot to pilnos nosaukumus (piemēram, 2. pielikumā: ECC 299. ziņojums, CEPT ziņojums Nr. 40, Lēmums 2018/637/ES).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Atsauces izmantošana noteikumu projekta 1.pielikumā un citos pielikumos uz 4.pielikumu skaidrota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noteikumu projekta 1. pielikumā, arī 2. pielikumā veidotas atsauces uz šo noteikumu 4. pielikuma attiecīgā apakšpunktā norādītajiem lēmumiem un rekomendācijām, lai nepazaudētu tabulu datu sākotnējās informācijas avotu. Tabulu 11.punktā "Frekvenču diapazona plānojuma apsvērumi" daudzkārt veidotas atsauces uz  4.pielikumu, jo tekstu apjoma dēļ visu informāciju nav iespējams ievietot radiosaskarnes tabulā. Līdzīgi arī  komentāru/papildus nosacījumu kolonā lietotas atsauces uz 4.pielikumu un citviet. Šī informācija sniedz pamatotu pierādījumu par komersantam izsniegtajā radioatļaujā (ar pilnu parametru uzskaitījumu un datiem) datu avotu."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 norāde: "[..] stājoties spēkā ESL, zaudēs spēku Ministru kabineta 2009. gada 6. oktobra noteikumi Nr.1151 “Noteikumi par radiofrekvenču spektra joslu sadalījumu radiosakaru veidiem un iedalījumu radiosakaru sistēmām, kā arī par radiofrekvenču spektra joslu izmantošanas vispārīgajiem nosacījumiem (Nacionālais radiofrekvenču plāns)”. Vēršam uzmanību, ka šāda norāde, ņemot vērā likuma pārejas noteikumu 2. punkta 5. apakšpunktu un tajā norādīto datumu, nav korekta.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6. oktobra noteikumi Nr.1151 “Noteikumi par radiofrekvenču spektra joslu sadalījumu radiosakaru veidiem un iedalījumu radiosakaru sistēmām, kā arī par radiofrekvenču spektra joslu izmantošanas vispārīgajiem nosacījumiem (Nacionālais radiofrekvenču plāns)”  (turpmāk – Noteikumi Nr. 1151), kas izdoti uz ESL (pieņemts 2004. gada 28. oktobrī, spēkā līdz 2022. gada 29. jūlijam) pamata zaudē spēku 2022.gada 1.oktobrī.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projekts ir jaunu Ministru kabineta noteikumu projekts. Attiecīgi anotācijai jāsniedz pilnīga informācija par tajā paredzēto regulējumu, skaidrojot ne tikai izmaiņas, bet arī paredzēto regulējumu kā tādu. Attiecīgi lūdzam pārskatīt un precizēt anotāciju, nodrošinot pēc iespējas pilnīgus skaidrojumu par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sadaļa par problēmas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radiofrekvenču plāns strukturēti satur pamatinformāciju par radiofrekvenču spektra joslām kas iedalītas radiosakaru veidiem un radiosakaru sistēmām 1.pielikumā, satur informāciju par radiofrekvenču spektra joslu izmantošanas vispārīgiem nosacījumiem, tai skaitā radiosaskarnēm 2.pielikumā un koplietojama radiofrekvences piešķīruma lietošanas atļauju 3. pielikumā. Nacionālais radiofrekvenču plāns ir saskaņā ar starptautiskiem līgumiem un standartiem izstrādāts plāns, un informācija par atbilstību starptautiskajiem radiofrekvenču spektra izmantošanas nosacījumiem dota 4.pielikumā. Šīs saturiskās noteikumu projekta pamatvienības jāapraksta risinājumu sadaļā." un sadaļa par risinājuma aprakstu: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radiofrekvenču plāns ir saskaņā ar starptautiskiem līgumiem un standartiem izstrādāts plāns optimālam radiofrekvenču sadalījumam Latvijas Republikas teritorijā. Noteikumu projekts paredz strukturētu radiofrekvenču spektra joslu iedalījumu radiosakaru veidiem un radiosakaru sistēmām (1.piellikumā), aprakta joslu izmantošanas vispārīgos nosacījumus un nosaka radiosaskarnes (2.pielikumā) un koplietojama radiofrekvences piešķīruma lietošanas atļauju (3. pielikumā). Nacionālais radiofrekvenču plāns ir saskaņā ar starptautiskiem līgumiem un standartiem izstrādāts plāns, un informācija par atbilstību starptautiskajiem radiofrekvenču spektra izmantošanas nosacījumiem dota 4.pielikumā." ar tālāko izklāstu secīgi pa punktiem.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anotācijas 6. sadaļā sniegto pamatojumu sabiedrības līdzdalības kārtības nepiemērošanai vēršam uzmanību, ka, kaut arī Ministru kabineta 2009.gada 25.augusta noteikumu Nr.970 „Sabiedrības līdzdalības kārtība attīstības plānošanas procesā” 5.punkts paredz pienākumu piemērot šos noteikumus tikai tādu tiesību aktu projektu izstrādē, kuri būtiski maina esošo regulējumu vai paredz ieviest jaunas politiskās iniciatīvas, ieteicams sabiedrības līdzdalību nodrošināt jebkurā gadījumā, kad tiek izstrādāts pilnīgi jauns tiesību akta projekts (arī gadījumā, ja jauns tiesību akts tiek izdots saistībā ar deleģējošās likuma normas izteikšanu jaunā redakcijā, būtiski nemainot pastāvējušo regulējumu), kā arī ja tiesību akta projekts paredz sabiedrībai vai kādai tās grupai jaunas tiesības vai pienākumus. Attiecīgi lūdzam vēlreiz izvērtēt sabiedrības līdzdalības kārtības nepiemērošanas korektumu. Salīdzinājumam norādām, ka, piemēram, Ministru kabineta 2021. gada 15. jūnija noteikumu Nr. 376 "Grozījumi Ministru kabineta 2009. gada 6. oktobra noteikumos Nr. 1151 "Noteikumi par radiofrekvenču spektra joslu sadalījumu radiosakaru veidiem un iedalījumu radiosakaru sistēmām, kā arī par radiofrekvenču spektra joslu izmantošanas vispārīgajiem nosacījumiem (Nacionālais radiofrekvenču plāns)"" anotācijā ietverta norāde par sabiedrības līdzdalības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arī izvērtēt anotācijas 2. sadaļas korektumu (proti, šobrīd tā nav aizpildīta, kaut arī no noteikumu projekta, šķiet, izriet ietekme uz noteiktām sabiedrības grupām), kā arī 7. sadaļas korektumu attiecībā uz projekta izpildi. Attiecīgi lūdzam nepieciešamības gadījumā precizēt.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6. sadaļā norādīt izstrādē iesaistītās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Izvērsta anotācijas 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grupas, kuras tiesiskais regulējums ietekmē, vai varētu ietekmēt, tās ir fiziskas personas un juridiskās personas, kuras lieto radiofrekvenču spektru komercdarbībai, pakalpojumu nodrošināšanai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"Nacionālo radiofrekvenču plānu izmanto: Valsts un pašvaldību iestādes elektronisko sakaru pakalpojumu lietotāji; Iekšlietu ministrijas un tās struktūras, Aizsardzības ministrija un tās struktūras, Veselības ministrija; Sabiedrisko pakalpojumu regulēšanas komisija; citu valstu elektronisko sakaru komersanti (biežāk izmanto 3.pielikumu);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sakaru komersanti- radiofrekvenču spektra lietotāji-  radioatļaujas saņēmēji (22-TA-2498) izmanto radioatļaujā noteiktos lietošanas nosacījumus saskaņā ar Nacionālo radiofrekvenču plānu to saistošiem dokumentiem konkrētās radiofrekvenču joslas lietošanai.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 ievērojot tehnoloģiskās neitralitātes principu Nacionālā Radiofrekvenču plāna ietvaros, piešķir ierobežotas radiofrekvenču joslas lietošanas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ir jauns Ministru kabineta noteikumu projekts, nevis grozījumu noteikumu projekts, un ņemot vērā, ka saskaņā ar 2020. gada 1. oktobra Valsts sekretāru sanāksmē lemto (prot. Nr. 39, 31. §), lai nodrošinātu Latvijas Republikas rīcības saskaņotību, turpmāk Eiropas Komisijai tiks iesniegti tiesību akta projekta sākotnējās ietekmes novērtējuma ziņojumi (anotācijas), kur atspoguļota attiecīgā Eiropas Savienības tiesību akta ieviešana nacionālajā normatīvajā aktā. Ja projektā ir ieviestas vai pārņemtas Eiropas Savienības tiesību akta normas, kaut arī tās ir ieviestas vai pārņemtas jau iepriekš ar MKN Nr. 1151, lūdzam korekti aizpildīt anotācijas 5. sadaļu, sniedzot pilnīgu priekšstatu par projektā ieviestajām vai pārņemtajām starptautiskajām saistībām. Lūdzam arī 5.3. sadaļā norādīt, ja ar projektu ir pārņemti kādi nesaistoši starptautiskie dokumenti (piemēram, rekomendācijas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papildināta sadaļa 5.1. "Saistības pret Eiropas Savienību" un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Parlamenta un Padomes 2018. gada 11. decembra Direktīvas 2018/1972 par Eiropas Elektronisko sakaru kodeksa izveidi 54. panta 2. punktā paredzēta rīcības brīvība dalībvalstīm. Attiecīgi lūdzam ietvert skaidrojumu ailē par rīcības brīvības izmantošanu vai neizmantošanu un tās iemesliem (līdzīgi lūdzam izvērtēt arī citviet tabulā iekļauto informāciju). Lūdzam arī skaidrot, kā direktīvas 54. panta 1. punkta pārņemšana atbilst vai ir saistīta ar noslēguma jautājumu 24.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5.sadaļas tabulā skaidrota rīcības brīvības izmantošana un saistība ar noslēguma jautājumu 24.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noteikumu projekta 1. pielikumā attiecas uz 3,4­ - 3,8 GHz joslu (3400-3800 MHz josla) un 26 GHz joslu (24,25 – 27,5 GHz josla). Ņemot vērā tirgus pieprasījumu, kā arī, lai nodrošinātu joslu efektīvu izmantošanu, 25,1-27,5 GHz joslas pārplānošana veikta atbilstoši Komisijas 2020. gada 24. aprīļa Īstenošanas lēmumam (ES) 2020/590, ar ko Lēmumu (ES) 2019/784 groza, lai atjauninātu attiecīgos tehniskos nosacījumus, kas piemērojami 24,25–27,5 GHz frekvenču joslai to darot pieejamu zemes sistēmu vajadzībām, kas spēj nodrošināt bezvadu platjoslas elektronisko sakaru pakalpojumus. Saskaņā ar noteikumu projekta noslēguma jautājumu 24. punktu, pārplānošanas gaitā izmantota rīcības brīvība ieviest noteiktas tiesību akta normas.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1. tabulā vairākkārt norādīts, ka Eiropas Komisijas lēmumu vienības tiek pārņemtas 3. pielikuma II sadaļas 8.3. apakšpunktā (vai 8. punktā). Lūdzam precizēt noteikumu projekta vienību, ņemot vērā, ka 8.3. apakšpunktam ir apakšvienības.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3.pielikuma 8.punkts par maza darbības attāluma ierīcēm (SRD) ir visplašāk aprakstītais punkts 3.pielikumā un tā izmaiņas, saskaņā ar Lēmumā 2006/771/EK par maza darbības attāluma ierīcēs izmantotā radiofrekvenču spektra saskaņošanu grozījumiem, notiek periodiski un salīdzinoši visbiežāk.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sadaļas 1. tabulā attiecībā uz tajā minēto Eiropas Komisijas lēmumu pārņemšanu iekļautajas norādes tikai uz dažu lēmumu vienību pārņemšanu, neskaidrojot citu vienību pārņemšanu. Piemēram, attiecībā uz Komisijas 2022. gada 7. februāra Īstenošanas lēmumu (ES) 2022/172 iekļauta informācija par tā pielikuma pārņemšanu, bet ne par, piemēram, 1. panta pārņemšanu, kaut arī tas, šķiet, projektā ir pārņemts 3. pielikuma II sadaļas 8. 15. apakšpunktā. Attiecīgi lūdzam precizēt tabulu, norādot pilnīgu informāciju. Ja kāda lēmuma vienība netiek pārņemta, lūdzam sniegt skaidrojumu, kur un kad tā tiks pārņemta vai arī nepārņemšanas gadījumā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Vietām arī iekļauta neprecīza informācija par noteikumu projekta vienībām, kurās pārņemtas lēmumu prasības. Piemēram, anotācijā minēta noteikumu projekta 40. un 41. punkta saistība ar Komisijas 2022. gada 7. februāra Īstenošanas lēmumu (ES) 2022/173, savukārt anotācijas 5. sadaļas 1. tabulā šīs normas netiek minētas. Attiecīgi lūdzam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 sadaļas 1. tabula ar lēmumu vienību pārņemšanu un noteikumu projekta vienībām.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24.punkts paredz, ka šo noteikumu 1.pielikuma 330. un 331.punktā noteiktās 3400–3600 MHz un 3600–3800 MHz radiofrekvenču joslas lietošanas tiesības piešķīruma vai pagarinājuma termiņš ir spēkā līdz 2028.gada 31.decembrim, pēc kā josla tiek atbrīvota pārplānošanai.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šobrīd piedāvātā Noteikumu projekta 24.punkta redakcija paredz, ka 2029.gada 1.janvārī visiem elektronisko sakaru komersantiem, kuriem ir piešķirtas ierobežotas 3400–3600 MHz un 3600–3800 MHz radiofrekvenču joslas lietošanas tiesības, konkrētās joslas ir jāatbrīvo.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Ministru kabineta 2016.gada 27.septembra noteikumu Nr.644 „Grozījumi Ministru kabineta 2009.gada 6.oktobra noteikumos Nr.1151 „Noteikumi par radiofrekvenču spektra joslu sadalījumu radiosakaru veidiem un iedalījumu radiosakaru sistēmām, kā arī par radiofrekvenču spektra joslu izmantošanas vispārīgajiem nosacījumiem (Nacionālais radiofrekvenču plāns)””[1] sākotnējās ietekmes novērtējuma ziņojumā (anotācijā) ir paskaidrots, ka ierobežota 3400-3600 MHz un 3600-3800 MHz radiofrekvenču josla būtu jāparedz vienīgi TDD sistēmu izmantošanai. Attiecīgi no 2019.gada 1.janvāra ir notikusi pāreja vienīgi uz TDD sistēmu izmantošanu un ir paredzēti vienoti ierobežota radiofrekvenču spektra izmantošanas nosacījumi, atbilstoši Ministru kabineta 2009.gada 6.oktobra noteikumu Nr.1151 “Noteikumi par radiofrekvenču spektra joslu sadalījumu radiosakaru veidiem un iedalījumu radiosakaru sistēmām, kā arī par radiofrekvenču spektra joslu izmantošanas vispārīgajiem nosacījumiem (Nacionālais radiofrekvenču plāns)” 2.pielikuma 47.punktam[2]. Tāpat ar augstāk norādītajiem grozījumiem tika paredzēts, ka ierobežotā radiofrekvenču spektra joslā strādājošie elektronisko sakaru komersanti atbrīvo to ierobežotu radiofrekvenču 3410-3600 MHz un 3600 – 3800 MHz joslas daļu, kas neatbilst 5 MHz daudzkārtnim. Turklāt, saskaņā ar pārplānošanas kārtību tika paredzēts, ka elektronisko sakaru komersantiem tiek saglabātas lietošanas tiesības uz daudzkārtnim atbilstošo daļu apjomā, kas nepārsniedz to un atbilst noteiktajam bloku lielumam (50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Regulators lūdz: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Noteikumu projekta 24.punktu, nepārprotami nosakot, ka elektronisko sakaru komersantiem ir jāatbrīvo tikai tā ierobežotas radiofrekvenču joslas daļa, kas neatbilst 5MHz daudzkārtnim;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Noteikumu projekta sākotnējās ietekmes novērtējuma ziņojumā (anotācijā) informāciju par Noteikumu projekta 24.punktu, norādot detalizētu skaidrojumu par ierobežotas 3400–3600 MHz un 3600–3800 MHz radiofrekvenču joslas atbrīvošanas pārplānošanai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šādā veidā tiek novērsts tas, ka Noteikumu projektā tiek ietverta norma redakcijā, kas pēc būtības ir pretrunā šīs normas sākotnējam mērķim. Līdz ar to, papildinot Noteikumu projektu un sākotnējās ietekmes novērtējuma ziņojumu (anotāciju), tiks nodrošināta tiesiskā skaidrība par ierobežotas 3400–3600 MHz un 3600–3800 MHz radiofrekvenču joslas izmantošanu pēc 2028.gada 31.decembra.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https://likumi.lv/ta/id/285535-grozijumi-ministru-kabineta-2009-gada-6-oktobra-noteikumos-nr-1151-noteikumi-par-radiofrekvencu-spektra-joslu-sadalijumu-radios...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[2]„Radiosaskarne RS LM.3600-1” attiecīgi spēku zaudējot radiosaskarnēm: „Radiosaskarne RS FX.035MP”, „Radiosaskarne RS FX.037MP” un „Radiosaskarne RS LM.3600”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jautājumu 24.punkts paredz regulējumu, ka noteiktās 3400–3600 MHz un 3600–3800 MHz radiofrekvenču joslas lietošanas tiesības piešķīruma vai pagarinājuma termiņš ir spēkā līdz 2028. gada 31. decembrim, pēc kā notiek pārplānošana. Šāds regulējums tika saskaņots Radiofrekvenču spektra resursu koordinācijas darba grupā, līdz ar Eiropas Komisijas 2014. gada 2. maija Īstenošanas Lēmumu 2014/276/ES par grozījumiem Lēmumā 2008/411/EK par 3 400–3 800 MHz frekvenču joslas harmonizāciju tādu zemes sistēmu vajadzībām, kas Kopienā spēj nodrošināt elektronisko sakaru pakalpojumus (TDD, 5 MHz daudzkārtņi), (ieviests Nacionālajā radiofrekvenču plānā līdz ar 2016. gada 27. septembra MK noteikumiem Nr. 644). Attiecīgi noteikumu projekta (22-TA-1822) izstrādes gaitā noslēguma jautājumu 24.punkts netika mainīts un ir pārņemts no Ministru kabineta 2009.gada 6.oktobra noteikumu Nr.1151 “Noteikumi par radiofrekvenču spektra joslu sadalījumu radiosakaru veidiem un iedalījumu radiosakaru sistēmām, kā arī par radiofrekvenču spektra joslu izmantošanas vispārīgajiem nosacījumiem (Nacionālais radiofrekvenču plāns)” 47.punkta.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2019.gadā notikusi pāreja vienīgi uz TDD sistēmu izmantošanu un ir paredzēti vienoti ierobežota radiofrekvenču spektra izmantošanas nosacījumi. Radiofrekvenču josla 3400-3800 MHz paredzēta publisko elektronisko sakaru tīklu izveidošanai visā Latvijas Republikas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Noteikumu projekta noslēguma jautājumu 24.punktu, tiek paredzēts, ka radiofrekvenču spektra joslā strādājošie elektronisko sakaru komersanti atbrīvo to radiofrekvenču spektra daļu, kas neatbilst 5 MHz daudzkārtnim. Saskaņā ar pārplānošanas kārtību elektronisko sakaru komersantiem tiek saglabātas lietošanas tiesības uz daudzkārtnim atbilstošo daļu apjomā, kas nepārsniedz to un atbilst noteiktajam bloku lielumam (50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vēlamais spektra apjoms 80–100 MHz nepārtraukta spektra katram komersantam! Šobrīd tāds spektra apjoms netiek nodrošināts visiem komersantiem, izņemt vienu komersantu. Pārplānojot joslu, galvenais uzdevums - piekļuve nepārtraukta spektra pieejamībai. Radiofrekvenču joslas 3400-3600 MHz un 3600-3800 MHz pārplānošana pēc 2028. gada iezīmē uzdevumu sagatavošanās etapā sadarbībā ar nozari diskutēt par spektra bloku maiņu un citiem to saistītiem jautājumiem, lai joslā strādājošajam elektronisko sakaru komersantiem izmantošanā būtu pieejams 80–100 MHz nepārtraukta spektra pēc 2028.gada.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joslas izmantošanas efektivitāte valstī, salīdzinot ar citu Eiropas valstu līmeni, varētu būt augstāka, un ir uzlabojama līdz ar pārplānošanu, kurā varētu tikt palielināts vienlaidus izmantojamā spektra apjoms.Joslas pārplānošanas diskusijas tiks uzsāktas 2023.gadā Radiofrekvenču spektra resursu koordinācijas darba grupā."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atļautie radiotraucējumi</w:t>
            </w:r>
            <w:r w:rsidR="00000000" w:rsidRPr="00000000" w:rsidDel="00000000">
              <w:rPr>
                <w:rtl w:val="0"/>
              </w:rPr>
              <w:t xml:space="preserve"> – novēroti vai paredzēti radiotraucējumi, kuri nepārsniedz radiotraucējumu un radiofrekvenču koplietošanas skaitliskos kritērijus, kādi noteikti saskaņā ar Starptautiskās Telesakaru savienības (ITU) konstitūcijai un konvencijai pievienotajiem Radionoteikumiem vai Starptautiskās Telesakaru savienības rekomendācijām, vai Starptautiskās Telesakaru savienības Radionoteikumos paredzēto īpašo vienošanos;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atsauces uz Starptautiskās Telesakaru savienības (ITU) konstitūciju un konvencijai pievienotajiem Radionoteikumiem, Starptautiskās Telesakaru savienības rekomendācijām, Starptautiskās Telesakaru savienības Radionoteikumos paredzēto īpašo vienošanos (sk., piemēram, noteikumu projekta 2.3. apakšpunktu). Savukārt 1. pielikumā iekļautas atsauces uz Reģionālo nolīgumu attiecībā uz frekvenču lietošanu apraides dienestā vidējo frekvenču joslās I un III reģionā un zemo frekvenču joslās I reģionā (Ženēva, 1975). Projekta 1. pielikumā arī iekļautas atsauces uz Starptautiskās telesakaru savienības Radionoteikumiem, savukārt 3. pielikumā ietverta atsauce uz "ECC 272. ziņojumu", kā arī "ECC/DEC(09)04" (turklāt nelietojot pilnu dokumenta nosaukumu), kuri nav ietverti 4.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 anotācijā skaidrot, vai minētie starptautiskie dokumenti ir juridiski saistoši Latvijai, kā arī skaidrot dokumentu pieejamību un saistošo raksturu attiecībā uz privātpersonām. Norādām, ka starptautiskās normas, kas nav tulkotas latviešu valodā un publicētas oficiālajā izdevumā  "Latvijas Vēstnesis", nav piemērojamas attiecībā uz privātpersonām. Atkārtoti arī vēršam uzmanību, ka ārējos normatīvajos aktos nav ietveramas atsauces uz privātpersonām nesaistošiem dokumentiem. Attiecīgi lūdzam sniegt skaidrojumu anotācijā par minētajiem dokumentiem vai svītrot atsauces un nepieciešamības gadījumā dokumentu attiecīgās prasības pārņemt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konstatējot konkrētas starptautiskās saistības, lūdzam papildināt projekta anotācijas 5. sadaļu saskaņā ar Ministru kabineta 2021. gada 7. septembra noteikumu Nr. 617 "Tiesību akta projekta sākotnējās ietekmes izvērtēšanas kārtība" 9.19.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3.pielikums svītrojot atsauces uz ziņojumu.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pielikumā iekļautas atsauces uz Reģionālo nolīgumu attiecībā uz frekvenču lietošanu apraides dienestā vidējo frekvenču joslās I un III reģionā un zemo frekvenču joslās I reģionā (Ženēva, 1975), jo dokuments nepieciešams frekvenču koodrinēšanai."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5.sadaļa: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"Oficiālajā izdevumā "Latvijas Vēstnesis" publicēti dokumenti latviešu valodā: Starptautiskās Telesakaru savienības (ITU) konstitūcija un konvencija."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w:t>
            </w:r>
            <w:r w:rsidR="00000000" w:rsidRPr="00000000" w:rsidDel="00000000">
              <w:rPr>
                <w:b w:val="1"/>
                <w:rtl w:val="0"/>
              </w:rPr>
              <w:t xml:space="preserve">atļautie radiotraucējumi</w:t>
            </w:r>
            <w:r w:rsidR="00000000" w:rsidRPr="00000000" w:rsidDel="00000000">
              <w:rPr>
                <w:rtl w:val="0"/>
              </w:rPr>
              <w:t xml:space="preserve"> – novēroti vai paredzēti radiotraucējumi, kuri nepārsniedz radiotraucējumu un radiofrekvenču koplietošanas skaitliskos kritērijus, kādi noteikti saskaņā ar Starptautiskās Telesakaru savienības (ITU) konstitūcijai un konvencijai pievienotajiem Radionoteikumiem vai Starptautiskās Telesakaru savienības rekomendācijām, vai Starptautiskās Telesakaru savienības Radionoteikumos paredzēto īpašo vienošanos;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r w:rsidR="00000000" w:rsidRPr="00000000" w:rsidDel="00000000">
              <w:rPr>
                <w:b w:val="1"/>
                <w:rtl w:val="0"/>
              </w:rPr>
              <w:t xml:space="preserve">AIS </w:t>
            </w:r>
            <w:r w:rsidR="00000000" w:rsidRPr="00000000" w:rsidDel="00000000">
              <w:rPr>
                <w:i w:val="1"/>
                <w:rtl w:val="0"/>
              </w:rPr>
              <w:t xml:space="preserve">(Universal Shipborne Automatic Identification System) </w:t>
            </w:r>
            <w:r w:rsidR="00000000" w:rsidRPr="00000000" w:rsidDel="00000000">
              <w:rPr>
                <w:rtl w:val="0"/>
              </w:rPr>
              <w:t xml:space="preserve">– universālā kuģu automātiskās identifikācijas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3.7. apakšpunktu, jo noteikumos saīsinājums AIS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1.pielikums papildināts ar "AIS" atbilstošās radiofrekvenču joslās.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w:t>
            </w:r>
            <w:r w:rsidR="00000000" w:rsidRPr="00000000" w:rsidDel="00000000">
              <w:rPr>
                <w:b w:val="1"/>
                <w:rtl w:val="0"/>
              </w:rPr>
              <w:t xml:space="preserve">AIS </w:t>
            </w:r>
            <w:r w:rsidR="00000000" w:rsidRPr="00000000" w:rsidDel="00000000">
              <w:rPr>
                <w:i w:val="1"/>
                <w:rtl w:val="0"/>
              </w:rPr>
              <w:t xml:space="preserve">(Universal Shipborne Automatic Identification System) </w:t>
            </w:r>
            <w:r w:rsidR="00000000" w:rsidRPr="00000000" w:rsidDel="00000000">
              <w:rPr>
                <w:rtl w:val="0"/>
              </w:rPr>
              <w:t xml:space="preserve">– universālā kuģu automātiskās identifikācijas sistēma;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 </w:t>
            </w:r>
            <w:r w:rsidR="00000000" w:rsidRPr="00000000" w:rsidDel="00000000">
              <w:rPr>
                <w:b w:val="1"/>
                <w:rtl w:val="0"/>
              </w:rPr>
              <w:t xml:space="preserve">DAA</w:t>
            </w:r>
            <w:r w:rsidR="00000000" w:rsidRPr="00000000" w:rsidDel="00000000">
              <w:rPr>
                <w:rtl w:val="0"/>
              </w:rPr>
              <w:t xml:space="preserve"> </w:t>
            </w:r>
            <w:r w:rsidR="00000000" w:rsidRPr="00000000" w:rsidDel="00000000">
              <w:rPr>
                <w:i w:val="1"/>
                <w:rtl w:val="0"/>
              </w:rPr>
              <w:t xml:space="preserve">(Detect and Avoid)</w:t>
            </w:r>
            <w:r w:rsidR="00000000" w:rsidRPr="00000000" w:rsidDel="00000000">
              <w:rPr>
                <w:rtl w:val="0"/>
              </w:rPr>
              <w:t xml:space="preserve"> – “atklāt un izvairīties” radiofrekvenču spektra piekļuves nodrošināšanas paņēmiens, kur iekārta, konstatējot citas radiosakaru iekārtas darbu savā radiofrekvenču kanālā vai apakšjoslā, pārtrauc raidīt līdz brīdim, kamēr konstatētā radiosakaru iekārta ir beigusi to izmantot;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terminu uzskaitījuma alfabētisko secību un novietot termina "DAA" skaidrojumu atbilstošā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Pārskatīts 3.punkts par terminu uzskaitījumu.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w:t>
            </w:r>
            <w:r w:rsidR="00000000" w:rsidRPr="00000000" w:rsidDel="00000000">
              <w:rPr>
                <w:b w:val="1"/>
                <w:rtl w:val="0"/>
              </w:rPr>
              <w:t xml:space="preserve">DAA</w:t>
            </w:r>
            <w:r w:rsidR="00000000" w:rsidRPr="00000000" w:rsidDel="00000000">
              <w:rPr>
                <w:rtl w:val="0"/>
              </w:rPr>
              <w:t xml:space="preserve"> </w:t>
            </w:r>
            <w:r w:rsidR="00000000" w:rsidRPr="00000000" w:rsidDel="00000000">
              <w:rPr>
                <w:i w:val="1"/>
                <w:rtl w:val="0"/>
              </w:rPr>
              <w:t xml:space="preserve">(Detect and Avoid)</w:t>
            </w:r>
            <w:r w:rsidR="00000000" w:rsidRPr="00000000" w:rsidDel="00000000">
              <w:rPr>
                <w:rtl w:val="0"/>
              </w:rPr>
              <w:t xml:space="preserve"> – “atklāt un izvairīties” radiofrekvenču spektra piekļuves nodrošināšanas paņēmiens, kur iekārta, konstatējot citas radiosakaru iekārtas darbu savā radiofrekvenču kanālā vai apakšjoslā, pārtrauc raidīt līdz brīdim, kamēr konstatētā radiosakaru iekārta ir beigusi to izmantot;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w:t>
            </w:r>
            <w:r w:rsidR="00000000" w:rsidRPr="00000000" w:rsidDel="00000000">
              <w:rPr>
                <w:b w:val="1"/>
                <w:rtl w:val="0"/>
              </w:rPr>
              <w:t xml:space="preserve">EK</w:t>
            </w:r>
            <w:r w:rsidR="00000000" w:rsidRPr="00000000" w:rsidDel="00000000">
              <w:rPr>
                <w:rtl w:val="0"/>
              </w:rPr>
              <w:t xml:space="preserve">  - Eiropas Komisija (šajos noteikumos arī – Komisija);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veidot saīsinājumus atbilstoši MKN Nr. 108 43. punktam (proti, izmantojot nevis frāzi "šajos noteikumos arī", bet vārdu "turpmāk").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 </w:t>
            </w:r>
            <w:r w:rsidR="00000000" w:rsidRPr="00000000" w:rsidDel="00000000">
              <w:rPr>
                <w:b w:val="1"/>
                <w:rtl w:val="0"/>
              </w:rPr>
              <w:t xml:space="preserve">EK</w:t>
            </w:r>
            <w:r w:rsidR="00000000" w:rsidRPr="00000000" w:rsidDel="00000000">
              <w:rPr>
                <w:rtl w:val="0"/>
              </w:rPr>
              <w:t xml:space="preserve">  - Eiropas Komisija (turpmāk – Komisija);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 </w:t>
            </w:r>
            <w:r w:rsidR="00000000" w:rsidRPr="00000000" w:rsidDel="00000000">
              <w:rPr>
                <w:b w:val="1"/>
                <w:rtl w:val="0"/>
              </w:rPr>
              <w:t xml:space="preserve">EPIRB</w:t>
            </w:r>
            <w:r w:rsidR="00000000" w:rsidRPr="00000000" w:rsidDel="00000000">
              <w:rPr>
                <w:rtl w:val="0"/>
              </w:rPr>
              <w:t xml:space="preserve"> </w:t>
            </w:r>
            <w:r w:rsidR="00000000" w:rsidRPr="00000000" w:rsidDel="00000000">
              <w:rPr>
                <w:i w:val="1"/>
                <w:rtl w:val="0"/>
              </w:rPr>
              <w:t xml:space="preserve">(Emergency Position Indicating Radio Beacon)</w:t>
            </w:r>
            <w:r w:rsidR="00000000" w:rsidRPr="00000000" w:rsidDel="00000000">
              <w:rPr>
                <w:rtl w:val="0"/>
              </w:rPr>
              <w:t xml:space="preserve"> – avārijas vietu norādošā radiobāka;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3.47. apakšpunktā aizstāt vārdu "radiobāka" ar vārdu "radioboja", jo saskaņā ar jūrlietu jomas normatīvajiem aktiem (skat., piemēram, Ministru kabineta 2016. gada 12. janvāra noteikumus Nr. 30 "Kuģu radio un navigācijas aprīkojuma izmantošanas un apkalpošanas noteikumi") EPIRB ir radioboja.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termins 3.47.apakšpunktā.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 </w:t>
            </w:r>
            <w:r w:rsidR="00000000" w:rsidRPr="00000000" w:rsidDel="00000000">
              <w:rPr>
                <w:b w:val="1"/>
                <w:rtl w:val="0"/>
              </w:rPr>
              <w:t xml:space="preserve">EPIRB</w:t>
            </w:r>
            <w:r w:rsidR="00000000" w:rsidRPr="00000000" w:rsidDel="00000000">
              <w:rPr>
                <w:rtl w:val="0"/>
              </w:rPr>
              <w:t xml:space="preserve"> </w:t>
            </w:r>
            <w:r w:rsidR="00000000" w:rsidRPr="00000000" w:rsidDel="00000000">
              <w:rPr>
                <w:i w:val="1"/>
                <w:rtl w:val="0"/>
              </w:rPr>
              <w:t xml:space="preserve">(Emergency Position Indicating Radio Beacon)</w:t>
            </w:r>
            <w:r w:rsidR="00000000" w:rsidRPr="00000000" w:rsidDel="00000000">
              <w:rPr>
                <w:rtl w:val="0"/>
              </w:rPr>
              <w:t xml:space="preserve"> – avārijas vietu norādošā radioboja;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w:t>
            </w:r>
            <w:r w:rsidR="00000000" w:rsidRPr="00000000" w:rsidDel="00000000">
              <w:rPr>
                <w:b w:val="1"/>
                <w:rtl w:val="0"/>
              </w:rPr>
              <w:t xml:space="preserve">GMDSS</w:t>
            </w:r>
            <w:r w:rsidR="00000000" w:rsidRPr="00000000" w:rsidDel="00000000">
              <w:rPr>
                <w:rtl w:val="0"/>
              </w:rPr>
              <w:t xml:space="preserve"> </w:t>
            </w:r>
            <w:r w:rsidR="00000000" w:rsidRPr="00000000" w:rsidDel="00000000">
              <w:rPr>
                <w:i w:val="1"/>
                <w:rtl w:val="0"/>
              </w:rPr>
              <w:t xml:space="preserve">(Global Maritime Distress and Safety System)</w:t>
            </w:r>
            <w:r w:rsidR="00000000" w:rsidRPr="00000000" w:rsidDel="00000000">
              <w:rPr>
                <w:rtl w:val="0"/>
              </w:rPr>
              <w:t xml:space="preserve"> – globālā kuģniecības briesmu un drošības sakaru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3.69. apakšpunktā aizstāt vārdus "Globālā kuģniecības briesmu un drošības sakaru sistēma" ar vārdiem "globālā jūras negadījumu un drošības sistēma", jo saskaņā ar jūrlietu jomas normatīvajiem aktiem (skat., piemēram, Jūrlietu pārvaldes un jūras drošības likumu) GMDSS ir Globālā jūras negadījumu un drošības sistēma.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saīsinājuma skaidrojums 3.69.apakšpunktā.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 </w:t>
            </w:r>
            <w:r w:rsidR="00000000" w:rsidRPr="00000000" w:rsidDel="00000000">
              <w:rPr>
                <w:b w:val="1"/>
                <w:rtl w:val="0"/>
              </w:rPr>
              <w:t xml:space="preserve">GMDSS</w:t>
            </w:r>
            <w:r w:rsidR="00000000" w:rsidRPr="00000000" w:rsidDel="00000000">
              <w:rPr>
                <w:rtl w:val="0"/>
              </w:rPr>
              <w:t xml:space="preserve"> </w:t>
            </w:r>
            <w:r w:rsidR="00000000" w:rsidRPr="00000000" w:rsidDel="00000000">
              <w:rPr>
                <w:i w:val="1"/>
                <w:rtl w:val="0"/>
              </w:rPr>
              <w:t xml:space="preserve">(Global Maritime Distress and Safety System)</w:t>
            </w:r>
            <w:r w:rsidR="00000000" w:rsidRPr="00000000" w:rsidDel="00000000">
              <w:rPr>
                <w:rtl w:val="0"/>
              </w:rPr>
              <w:t xml:space="preserve"> – globālā jūras negadījumu un drošības sistēma;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3.84. </w:t>
            </w:r>
            <w:r w:rsidR="00000000" w:rsidRPr="00000000" w:rsidDel="00000000">
              <w:rPr>
                <w:b w:val="1"/>
                <w:rtl w:val="0"/>
              </w:rPr>
              <w:t xml:space="preserve">INMARSAT</w:t>
            </w:r>
            <w:r w:rsidR="00000000" w:rsidRPr="00000000" w:rsidDel="00000000">
              <w:rPr>
                <w:rtl w:val="0"/>
              </w:rPr>
              <w:t xml:space="preserve"> - mobilo satelītsakaru operators;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3.84. apakšpunktu, jo noteikumos saīsinājums INMARSAT nav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3.114. </w:t>
            </w:r>
            <w:r w:rsidR="00000000" w:rsidRPr="00000000" w:rsidDel="00000000">
              <w:rPr>
                <w:b w:val="1"/>
                <w:rtl w:val="0"/>
              </w:rPr>
              <w:t xml:space="preserve">NAVTEX</w:t>
            </w:r>
            <w:r w:rsidR="00000000" w:rsidRPr="00000000" w:rsidDel="00000000">
              <w:rPr>
                <w:rtl w:val="0"/>
              </w:rPr>
              <w:t xml:space="preserve"> </w:t>
            </w:r>
            <w:r w:rsidR="00000000" w:rsidRPr="00000000" w:rsidDel="00000000">
              <w:rPr>
                <w:i w:val="1"/>
                <w:rtl w:val="0"/>
              </w:rPr>
              <w:t xml:space="preserve">(Narrow-band direct-printing telegraphy system for transmission of navigational and meteorological warnings and urgent information to ships)</w:t>
            </w:r>
            <w:r w:rsidR="00000000" w:rsidRPr="00000000" w:rsidDel="00000000">
              <w:rPr>
                <w:rtl w:val="0"/>
              </w:rPr>
              <w:t xml:space="preserve"> – šaurjoslas tiešdrukas radiotelegrāfijas sistēma kuģniecības, meteoroloģisko brīdinājumu un steidzamas informācijas pārraidei kuģiem;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- 21.09.2022.)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3.114. apakšpunktā vārdus "kuģniecības, meteoroloģisko brīdinājumu" aizstāt ar vārdiem "navigācijas un meteoroloģisko brīdinājumu", lai teksts latviešu valodā atbilstu tekstam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3.113. </w:t>
            </w:r>
            <w:r w:rsidR="00000000" w:rsidRPr="00000000" w:rsidDel="00000000">
              <w:rPr>
                <w:b w:val="1"/>
                <w:rtl w:val="0"/>
              </w:rPr>
              <w:t xml:space="preserve">NAVTEX</w:t>
            </w:r>
            <w:r w:rsidR="00000000" w:rsidRPr="00000000" w:rsidDel="00000000">
              <w:rPr>
                <w:rtl w:val="0"/>
              </w:rPr>
              <w:t xml:space="preserve"> </w:t>
            </w:r>
            <w:r w:rsidR="00000000" w:rsidRPr="00000000" w:rsidDel="00000000">
              <w:rPr>
                <w:i w:val="1"/>
                <w:rtl w:val="0"/>
              </w:rPr>
              <w:t xml:space="preserve">(Narrow-band direct-printing telegraphy system for transmission of navigational and meteorological warnings and urgent information to ships)</w:t>
            </w:r>
            <w:r w:rsidR="00000000" w:rsidRPr="00000000" w:rsidDel="00000000">
              <w:rPr>
                <w:rtl w:val="0"/>
              </w:rPr>
              <w:t xml:space="preserve"> – šaurjoslas tiešdrukas radiotelegrāfijas sistēma navigācijas, meteoroloģisko brīdinājumu un steidzamas informācijas pārraidei kuģiem;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Radiofrekvenču joslu, kura nav iedalīta noteiktai radiosakaru sistēmai, var izmantot tikai pēc šīs radiofrekvenču joslas izmantošanas nosacījumu un elektromagnētiskās saderības nodrošināšanai nepieciešamo radiosaskarņu un atbilstošās radiosakaru sistēmas iekļaušanas radiofrekvenču plānā, saskaņā ar šo noteikumu radiofrekvenču spektra joslu sadalījumu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8. punktā konkretizēt atsauci, norādot uz konkrētu noteikumu vienību, kurā ietverts radiofrekvenču spektra joslu sadalījums un izmantošana, un izteikt to, piemēram, šādi: "saskaņā ar šo noteikumu [..] noteikto radiofrekvenču spektra joslu sadalījumu un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8.punkts.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Radiofrekvenču joslu, kura nav iedalīta noteiktai radiosakaru sistēmai, var izmantot tikai pēc šīs radiofrekvenču joslas izmantošanas nosacījumu un elektromagnētiskās saderības nodrošināšanai nepieciešamo radiosaskarņu un atbilstošās radiosakaru sistēmas iekļaušanas radiofrekvenču plānā, saskaņā ar šo noteikumu 1.pielikuma noteikto radiofrekvenču spektra joslu sadalījumu un izmantošanu radiosakaru sistēmā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Radiofrekvenču joslu, kura nav iedalīta noteiktai radiosakaru sistēmai, var izmantot tikai pēc šīs radiofrekvenču joslas izmantošanas nosacījumu un elektromagnētiskās saderības nodrošināšanai nepieciešamo radiosaskarņu un atbilstošās radiosakaru sistēmas iekļaušanas radiofrekvenču plānā, saskaņā ar šo noteikumu radiofrekvenču spektra joslu sadalījumu un izmantošanu.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Aizsardzības ministrijai un Nacionālajiem bruņotajiem spēkiem ir tiesības pieprasīt radiofrekvences piešķīrumus valsts aizsardzības vajadzībām nepieciešamajiem privātajiem elektronisko sakaru tīkliem arī radiofrekvenču joslās, kuras nav paredzētas AS vai AS un CS, ievērojot normatīvos aktus par radiofrekvenču lietošanu un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atsauces uz normatīvo aktu jomu noteikumu projekta 18. punktā un 20. punktā veidotas dažādi, kaut, šķiet, attiecas uz vienu un to pašu normatīvo aktu jomu. Attiecīgi lūdzam izvērtēt un nepieciešamības gadījumā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18.punkts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Aizsardzības ministrijai un Nacionālajiem bruņotajiem spēkiem ir tiesības pieprasīt radiofrekvences piešķīrumus valsts aizsardzības vajadzībām nepieciešamajiem privātajiem elektronisko sakaru tīkliem arī radiofrekvenču joslās, kuras nav paredzētas AS vai AS un CS, saskaņā ar normatīvajiem aktiem par radiofrekvences piešķīruma lietošanas atļaujām.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 pielikuma 330. un 331. punktā noteiktās 3400–3600 MHz un 3600–3800 MHz radiofrekvenču joslas lietošanas tiesības piešķīruma vai pagarinājuma termiņš ir spēkā līdz 2028. gada 31. decembrim, pēc kā josla tiek atbrīvota pārplānošanai.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- 08.12.2022.)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Noteikumu projekta 24.punkts paredz, ka šo noteikumu 1.pielikuma 330. un 331.punktā noteiktās 3400–3600 MHz un 3600–3800 MHz radiofrekvenču joslas lietošanas tiesības piešķīruma vai pagarinājuma termiņš ir spēkā līdz 2028.gada 31.decembrim, pēc kā josla tiek atbrīvota pārplānošanai.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šobrīd piedāvātā Noteikumu projekta 24.punkta redakcija paredz, ka 2029.gada 1.janvārī visiem elektronisko sakaru komersantiem, kuriem ir piešķirtas ierobežotas 3400–3600 MHz un 3600–3800 MHz radiofrekvenču joslas lietošanas tiesības, konkrētās joslas ir jāatbrīvo.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vērš uzmanību, ka Ministru kabineta 2016.gada 27.septembra noteikumu Nr.644 „Grozījumi Ministru kabineta 2009.gada 6.oktobra noteikumos Nr.1151 „Noteikumi par radiofrekvenču spektra joslu sadalījumu radiosakaru veidiem un iedalījumu radiosakaru sistēmām, kā arī par radiofrekvenču spektra joslu izmantošanas vispārīgajiem nosacījumiem (Nacionālais radiofrekvenču plāns)””[1] sākotnējās ietekmes novērtējuma ziņojumā (anotācijā) ir paskaidrots, ka ierobežota 3400-3600 MHz un 3600-3800 MHz radiofrekvenču josla būtu jāparedz vienīgi TDD sistēmu izmantošanai. Attiecīgi no 2019.gada 1.janvāra ir notikusi pāreja vienīgi uz TDD sistēmu izmantošanu un ir paredzēti vienoti ierobežota radiofrekvenču spektra izmantošanas nosacījumi, atbilstoši Ministru kabineta 2009.gada 6.oktobra noteikumu Nr.1151 “Noteikumi par radiofrekvenču spektra joslu sadalījumu radiosakaru veidiem un iedalījumu radiosakaru sistēmām, kā arī par radiofrekvenču spektra joslu izmantošanas vispārīgajiem nosacījumiem (Nacionālais radiofrekvenču plāns)” 2.pielikuma 47.punktam[2]. Tāpat ar augstāk norādītajiem grozījumiem tika paredzēts, ka ierobežotā radiofrekvenču spektra joslā strādājošie elektronisko sakaru komersanti atbrīvo to ierobežotu radiofrekvenču 3410-3600 MHz un 3600 – 3800 MHz joslas daļu, kas neatbilst 5 MHz daudzkārtnim. Turklāt, saskaņā ar pārplānošanas kārtību tika paredzēts, ka elektronisko sakaru komersantiem tiek saglabātas lietošanas tiesības uz daudzkārtnim atbilstošo daļu apjomā, kas nepārsniedz to un atbilst noteiktajam bloku lielumam (50 MHz).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Regulators atkārtoti lūdz precizēt Noteikumu projekta 24.punktu, nepārprotami nosakot, ka elektronisko sakaru komersantiem ir jāatbrīvo tikai tā ierobežotas radiofrekvenču joslas daļa, kas neatbilst 5MHz daudzkārtnim. Papildus Regulators vērš uzmanību, ka arī 2022.gada 5.decembrī Radiofrekvenču spektra resursu koordinācijas darba grupā vairāki operatori izteica atbalstu normas precizēšanai atbilstoši Regulatora 2022.gada 23.novembra atzinumam.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https://likumi.lv/ta/id/285535-grozijumi-ministru-kabineta-2009-gada-6-oktobra-noteikumos-nr-1151-noteikumi-par-radiofrekvencu-spektra-joslu-sadalijumu-radios...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[2]„Radiosaskarne RS LM.3600-1” attiecīgi spēku zaudējot radiosaskarnēm: „Radiosaskarne RS FX.035MP”, „Radiosaskarne RS FX.037MP” un „Radiosaskarne RS LM.3600”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1. pielikuma 330. un 331. punktā noteikto 3400–3600 MHz un 3600–3800 MHz radiofrekvenču joslas daļu, kas neatbilst 5 MHz daudzkārtnim, elektronisko sakaru komersanti atbrīvo līdz 2028.gada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24.punkts.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1. pielikuma 330. un 331. punktā noteikto 3400–3600 MHz un 3600–3800 MHz radiofrekvenču joslas daļu, kas neatbilst 5 MHz daudzkārtnim, elektronisko sakaru komersanti atbrīvo līdz 2028.gada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Eiropas Savienībā ražotā vai reģistrētā un ekspluatācijā nodotā automobilī uzstādītām SRR iekārtām pēc 2013. gada 30. jūnija 21,65–24,25 GHz radiofrekvenču joslai un pēc 2018. gada 1. janvāra 24,25–26,65 GHz radiofrekvenču joslai noteiktais iedalījums ir atļauts, ja SRR iekārta ir uzstādīta pirms minētajiem datumiem vai to aizstāj ar citu SRR iekārtu. 24,25–26,65 GHz frekvenču joslas iedalījums SRR iekārtām, kuru uzstādīšana apstiprināta līdz 2018. gada 1. janvārim, ir spēkā līdz 2022. gada 1. janvārim.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noteikumu projekta 36. punkta 2. teikuma aktualitāti un nepieciešamību un skaidrot to anotācijā vai arī teikumu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36.punkts.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Eiropas Savienībā ražotā vai reģistrētā un ekspluatācijā nodotā automobilī uzstādītām SRR iekārtām pēc 2013. gada 30. jūnija 21,65–24,25 GHz radiofrekvenču joslai un pēc 2018. gada 1. janvāra 24,25–26,65 GHz radiofrekvenču joslai noteiktais iedalījums ir atļauts, ja SRR iekārta ir uzstādīta pirms minētajiem datumiem vai to aizstāj ar citu SRR iekārtu.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28 MHz frekvenču bloku 3600-3650 MHz frekvenču bloka ietvaros Latvijas Republikas teritorijā, izņemot Rīgu, lieto atbilstoši radiosaskarnei LM.3600-1 TDD, līdz 2025. gada 6. maijam Sabiedrisko pakalpojumu regulēšanas komisijas piešķirto lietošanas tiesību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izvērstāk skaidrot noteikumu projekta 38. punkta nepieciešamību, kā arī atbilstību anotācijā minētajam SPRK 2010. gada 7. maija lēmumam Nr.171 "Par radiofrekvenču spektra joslu 3600MHz – 3700MHz / 3700MHz – 3800MHz viena 14MHz plata radiokanālu lietošanas tiesībām izsoles uzvarētājam", ņemot vērā, ka lēmums paredz piešķirt SIA "Telia Latvija" radiofrekvenču spektra joslu 3600 MHz – 3700 MHz / 3700 MHz – 3800 MHz viena 14 MHz plata radiokanāla lietošanas tiesības komercdarbībai Latvijas Republikas teritorijā, izņemot Rīgu, līdz 2025. gada 6. maijam, savukārt projekta 38. punkts regulē </w:t>
            </w:r>
            <w:r w:rsidR="00000000" w:rsidRPr="00000000" w:rsidDel="00000000">
              <w:rPr>
                <w:u w:val="single"/>
                <w:rtl w:val="0"/>
              </w:rPr>
              <w:t xml:space="preserve">28 MHz frekvenču bloku 3600-3650 MHz frekvenču bloka ietvaros</w:t>
            </w:r>
            <w:r w:rsidR="00000000" w:rsidRPr="00000000" w:rsidDel="00000000">
              <w:rPr>
                <w:rtl w:val="0"/>
              </w:rPr>
              <w:t xml:space="preserve"> Latvijas Republikas teritorijā, izņemot Rīgu, lietošanu. Lūdzam skaidrot arī, kā norma ietekmē vai neietekmē minēto komersantu un tā jau iegūtās 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SPRK lēmumā noteiktajam termiņam (līdz 2025. gada 6. maijam) elektronisko sakaru operators SIA “Telia Latvija” izmanto šo spektru atbilstoši radiosaskarnei LM.3600-1 un saņemtajām joslas lietošanas tiesībām, saglabājot tiesisko paļāvību darboties šajā spektrā.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Komersanta tiesības netiek ietekmētas. Saskaņā Regulatora lēmumu, komersantam piešķirtas radiofrekvenču spektra joslas 3600 MHz – 3700 MHz / 3700 MHz – 3800 MHz viena 14MHz plata radiokanāla lietošanas tiesības komercdarbībai Latvijas Republikas teritorijā, izņemot Rīgu, līdz 2025.gada 6.maijam. Tas ir, šo lietošanas tiesību saņēmējam ir piešķirtas tiesības lietot 28 MHz platu radiofrekvenču spektra joslu radiofrekvenču spektra joslu diapazona 3600 MHz – 3800 MHz robežās, kurās iespējama radiofrekvenču piešķīruma lietošanas atļauju saņemšana radioiekārtu darbībai."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28 MHz frekvenču bloku 3600-3650 MHz frekvenču bloka ietvaros Latvijas Republikas teritorijā, izņemot Rīgu, lieto atbilstoši radiosaskarnei LM.3600-1 TDD, līdz 2025. gada 6. maijam Sabiedrisko pakalpojumu regulēšanas komisijas piešķirto lietošanas tiesību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neloģisku teikumu (šķiet, iztrūkst kādi vārdi vai teikuma daļa) 2. pielikumā: "Uz dzelzceļa mobilo radiosistēmu harmonizēto spektru attiecas Komisijas Lēmums (ES) 2021/1730) ierīkošanā var piemērot 200 kHz frekvenču atdalījumu starp šo sistēmu kanāla nominālajām malām pie 925 MHz frekvenču robežas šādos gadījumos:" Attiecīgi lūdzam precizēt. Aicinām arī pārskatīt visu projektu un novērst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2.pielikuma 17.punkts.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"Atkarībā no apstākļiem valstī tādu zemes sistēmu ierīkošanā, kas spēj nodrošināt elektronisko sakaru pakalpojumus, un dzelzceļa mobilo radiosistēmu ierīkošanā var piemērot 200 kHz frekvenču atdalījumu starp šo sistēmu kanāla nominālajām malām pie 925 MHz frekvenču robežas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17. sadaļā (17. LM-900-1) attiecībā uz kanāla piekļuves un lietošanas noteikumiem ietverta norāde: "Atkarībā no apstākļiem valstī tādu zemes sistēmu ierīkošanā, kas spēj nodrošināt elektronisko sakaru pakalpojumus, un dzelzceļa mobilo radiosistēmu ierīkošanā var piemērot 200 kHz frekvenču atdalījumu starp šo sistēmu kanāla nominālajām malām pie 925 MHz frekvenču robežas šādos gadījumos: [..]". Lūdzam anotācijā izvērstāk skaidrot normas piemērošanu, īpaši to, par kādiem apstākļiem valstī ir runa. Ja nepieciešams, aicinām precizēt normu, lai nodrošināt skaidru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 pielikumā 17. sadaļā (17. LM-900-1):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sistēmu ierīkošanā, kas spēj nodrošināt elektronisko sakaru pakalpojumus, un dzelzceļa mobilo radiosistēmu ierīkošanā var piemērot 200 kHz frekvenču atdalījumu starp šo sistēmu kanāla nominālajām malām pie 925 MHz frekvenču robežas šādos gadījumos: (...)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Radiosaskarnes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9.8. sadaļas 1. punkta aprakstā, šķiet, ir nepabeigts teikums ("Zemes izpētes satelītu"). Attiecīgi lūdzam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termins projekta 3. pielikuma 9.8. sadaļas 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izpētes satelītu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- 20.09.2022.)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8. sadaļas 4. punktā norādīts: "Nacionālajā radiofrekvenču plānā iekļauto SRD tehniskajās prasībās un izmantošanas nosacījumos ietvertas normas atbilstoši4. pielikuma 1.4., 1,8., 1.11., 1.14., 1.16., 1.19., 1.28., 1.35., 1.45. un 3.18. punktā norādītajiem lēmumiem un rekomendācijām." AIcinām izvērtēt šādas norādes nepieciešamību, ņemot vērā, ka tai, šķiet, nav juridiskās slodzes, kā arī to, ka grozījumu 4. pielikumā gadījumā būs, iespējams, nepieciešams grozīt arī attiecīgo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 pielikuma 8. sadaļa precizēta. Teikums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 pielikumā ietverta informācija par noteikumu atbilstību starptautiskajiem radiofrekvenču spektra izmantošanas nosacījumiem, tostarp Eiropas Komisijas lēmumiem, un, kā minēts anotācijā, 4. pielikumam, kā arī atsaucēm citviet noteikumu projektā uz 4. pielikuma vienībām, ir informatīva nozīme. Vēršam uzmanību, ka projekta 3. pielikumā vēl ir ietverta atsauce uz Eiropas Komisijas lēmumu: "atbilstoši EK Lēmuma 2006/804/EK noteikumiem līdz dienai pirms atcelšanas datuma". Lūdzam atsauci svītrot un tā vietā norādīt konkrētu datumu.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3. pielikuma  8.14.2. apakšpunkts, svītrojot atsauci: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rtl w:val="0"/>
              </w:rPr>
              <w:t xml:space="preserve">RFID ierīču nolasītājus, kas laisti tirgū pirms 2018. gada 1.janvāra, ir “vecākā paaudze”, t. i., tos joprojām atļauts izmantot ar sākotnējiem parametriem.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Koplietojama radiofrekvences piešķīruma lietošanas atļauja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"Ar šo Noteikumu projektu tiek pārņemti seši ES Īstenošanas lēmumi, kuri aprakstīti šīs anotācijas 5. sadaļā." Aicinām precizēt, ņemot vērā, ka noteikumu projekts ir jaunu Ministru kabineta noteikumu projekts un tajā pārņemti arī jau Noteikumos Nr. 1151 pārņemtie lēmumi.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šo Noteikumu projektu tiek pārņemti seši ES Īstenošanas lēmumi: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17. jūnija Īstenošanas lēmums (ES) 2021/1067 par radiofrekvenču spektra saskaņotu lietošanu 5945–6425 MHz radiofrekvenču joslā bezvadu piekļuves sistēmu, ieskaitot lokālos tīklus (WAS/RLAN),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2021. gada 28. septembra Īstenošanas lēmums (ES) 2021/1730 par 874,4–880,0 MHz un 919,4–925,0 MHz sapāroto frekvenču joslu un 1900–1910 MHz nesapārotās frekvenču joslas saskaņotu izmantošanu dzelzceļa mobilajiem sakariem;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7. februāra Īstenošanas lēmums (ES) 2022/172 par grozījumiem Īstenošanas lēmumā (ES) 2018/1538 par radiofrekvenču spektra harmonizēšanu izmantošanai maza darbības attāluma ierīcēm 874–876 un 915–921 MHz frekvenču joslās;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7. februāra Īstenošanas lēmums (ES) 2022/173 par 900 MHz un 1800 MHz frekvenču joslu harmonizāciju zemes sistēmām, kuras Savienībā spēj nodrošināt elektronisko sakaru pakalpojumus, un Lēmuma 2009/766/EK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8. februāra Īstenošanas lēmums (ES) 2022/179 par radiofrekvenču spektra harmonizētu lietošanu 5 GHz frekvenču joslā bezvadu piekļuves sistēmu, ieskaitot lokālos radiotīklus, darbības nodrošināšanai un Lēmuma 2005/513/EK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2022. gada 8. februāra Īstenošanas lēmums (ES) 2022/180, kas groza Lēmumu 2006/771/EK, atjauninot harmonizētos tehniskos noteikumus radiofrekvenču spektra izmantošanai maza darbības attāluma ierīcēs."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dažviet informācija ietverta dubultā (sk., piemēram, skaidrojumu par projekta 37. punktu (38. punktu)). Attiecīgi aicinām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1.3.punkts.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minēts: "Noteikumu projektā ietvertas atsauces uz Eiropas Savienības direktīvām, kuras detālāk aprakstītas anotācijas 5.sadaļā." Lūdzam precizēt informāciju, norādot, ka noteikumu projektā ietvertas </w:t>
            </w:r>
            <w:r w:rsidR="00000000" w:rsidRPr="00000000" w:rsidDel="00000000">
              <w:rPr>
                <w:u w:val="single"/>
                <w:rtl w:val="0"/>
              </w:rPr>
              <w:t xml:space="preserve">informatīvās</w:t>
            </w:r>
            <w:r w:rsidR="00000000" w:rsidRPr="00000000" w:rsidDel="00000000">
              <w:rPr>
                <w:rtl w:val="0"/>
              </w:rPr>
              <w:t xml:space="preserve"> atsauces uz Eiropas Savienības direktīvām.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ietvertas informatīvās atsauces uz Eiropas Savienības direktīvām, kuras detālāk aprakstītas anotācijas 5.sadaļā."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dažviet minēts noteikumu projekts "Radiofrekvences piešķīruma lietošanas atļauju noteikumi" (22-TA-2498). Saistībā ar minēto projektu aicinām izvērtēt nepieciešamību aizpildīt anotācijas 4. sadaļu, ja projekts ir saistītais tiesību akta projekts, vai 4.2.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4.2.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radiofrekvenču plāna 1.pielikuma informācija par radiofrekvenču spektra joslu izmantošanas vispārīgiem nosacījumiem un radiosaskarnes 2.pielikumā, nosaka radiofrekvences piešķīruma lietošanas atļauju izsniegšanu:  "Radiofrekvences piešķīruma lietošanas atļauju noteikumi" (22-TA-2498)."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22-TA-1822</w:t>
    </w:r>
    <w:r>
      <w:br/>
    </w:r>
    <w:r w:rsidR="00000000" w:rsidRPr="00000000" w:rsidDel="00000000">
      <w:rPr>
        <w:rtl w:val="0"/>
      </w:rPr>
      <w:t xml:space="preserve">13.12.2022. 21.14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22-TA-1822</w:t>
    </w:r>
    <w:r>
      <w:br/>
    </w:r>
    <w:r w:rsidR="00000000" w:rsidRPr="00000000" w:rsidDel="00000000">
      <w:rPr>
        <w:rtl w:val="0"/>
      </w:rPr>
      <w:t xml:space="preserve">13.12.2022. 21.14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Izziņa_22-TA-1822.docx</dc:title>
</cp:coreProperties>
</file>

<file path=docProps/custom.xml><?xml version="1.0" encoding="utf-8"?>
<Properties xmlns="http://schemas.openxmlformats.org/officeDocument/2006/custom-properties" xmlns:vt="http://schemas.openxmlformats.org/officeDocument/2006/docPropsVTypes"/>
</file>