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23-TA-685: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veiktajiem krāpšanas apkarošanas un Eiropas Savienības finanšu interešu aizsardzības pasākumiem 2022.gadā un AFCOS darbības stratēģijas un pasākumu plāna 2020.-2022. gadam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2022.gadu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informatīvā ziņojuma Satura rādītājā un D sadaļā Atveseļošanas fonda nosaukumu (šobrīd – Atveseļošan</w:t>
            </w:r>
            <w:r w:rsidR="00000000" w:rsidRPr="00000000" w:rsidDel="00000000">
              <w:rPr>
                <w:b w:val="1"/>
                <w:rtl w:val="0"/>
              </w:rPr>
              <w:t xml:space="preserve">ā</w:t>
            </w:r>
            <w:r w:rsidR="00000000" w:rsidRPr="00000000" w:rsidDel="00000000">
              <w:rPr>
                <w:rtl w:val="0"/>
              </w:rPr>
              <w:t xml:space="preserv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ja attiecināms, precizēt 2.attēlā norādītos datus par 2022. gadā konstatētajām neatbilstībām un neatbilstību summu (attēlā norādīts, ka 2022. gadā kopumā konstatētas 2 155 neatbilstības par kopējo summu 39 765 587 EUR, savukārt kopsavilkuma un B.1. daļā – 2 157 neatbilstības par kopējo summu 39 883 616.43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pārskatīt B.1. sadaļā iekļauto informāciju un, ja attiecināms, precizēt,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ELFLA ietvaros 2022. gadā konstatēto neatbilstību skaita procentuālo īpatsvaru pret kopējo skaitu (jābūt 38 %, šobrīd – 37 %). Papildus aicinām šeit un citviet informatīvajā ziņojumā lietot vienotu pieeju skaitļu vērtības atspoguļošanai (šobrīd dažiem skaitļiem vērtība tiek noapaļota līdz veselam skaitlim, savukārt citiem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ERAF ietvaros 2022. gadā konstatēto neatbilstību skaitu un tā procentuālo īpatsvaru pret kopējo skaitu (jābūt 258 neatbilstības jeb 12 %, šobrīd – 286 neatbilstības jeb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ERAF ietvaros 2022. gadā konstatēto neatbilstību apjoma finanšu izteiksmē procentuālo īpatsvaru pret kopējo neatbilstību apjomu finanšu izteiksmē (jābūt 68,6 %, šobrīd – 68,8 %);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iepirkumu jomā konstatēto neatbilstību apjoma finanšu izteiksmē procentuālo īpatsvaru pret kopējo neatbilstību apjomu (jābūt 42 %, šobrīd – 43 %);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preventīvi novērsto aizdomīgo darījumu apjoma finanšu izteiksmē procentuālo īpatsvaru pret kopējo konstatēto neatbilstību saistībā ar krāpšanu/ aizdomām par krāpšanu apjomu finanšu izteiksmē (jābūt 37 %, šobrīd – 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papildināt 4.attēlā iekļauto informāciju par personāla vai administratīvo izmaksu pārkāpumiem, pievienojot datu etiķeti (71).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papildināt 5.attēlā iekļauto informāciju par neatbilstību saistībā ar krāpšanu/ aizdomām par krāpšanu skaitu ERAF un ETS ietvaros, pievienojot datu etiķetes (attiecīgi 12 un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pārskatīt B.1.2. sadaļā iekļauto informāciju un, ja attiecināms, precizēt,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ELGF ietvaros 2022. gadā atgūtā finansējuma procentuālo īpatsvaru pret kopējo neatbilstību apjomu finanšu izteiksmē (jābūt 77 %, šobrīd – 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EJZF ietvaros 2022. gadā atgūtā finansējuma procentuālo īpatsvaru pret kopējo neatbilstību apjomu finanšu izteiksmē (jābūt 108 %, šobrīd – 76 %);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konstatēto neatbilstību saistībā ar krāpšanu/ aizdomām par krāpšanu apjomu finanšu izteiksmē (šobrīd – 311 953,14 EUR, atbilstoši 2.pielikumā iekļautajai informācijai – 429 982,37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pārskatīt un, ja attiecināms, precizēt B.1.3. sadaļā iekļauto informāciju par 2022. gadā ETS ietvaros konstatēto neatbilstību skaitu (attiecīgi VARAM – 43 neatbilstības un Revīzijas iestāde – divas neatbilstības, savukārt 2.pielikumā – kopā 43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Aicinām precizēt 5.tabulā iekļauto informāciju par 2022. gadā IDF un PMIF ietvaros atgūto neatbilstoši veikto izdevumu procentuālo īpatsvaru, to precizējot vai dzēšot (šobrīd tabulā norādītās vērtības - 0,4 % un 0,1 % ir nevis atgūto neatbilstoši veikto izdevumu īpatsvars pret kopējiem neatbilstoši veiktajiem izdevumiem, bet gan neatbilstoši veikto izdevumu īpatsvars pret kopējo attiecināmo izdevumu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pārskatīt un, ja attiecināms, precizēt B.1.5. sadaļā iekļauto informāciju par 2022. gadā IDF un PMIF ietvaros visvairāk konstatētajām neatbilstībām (šobrīd informatīvajā ziņojumā norādīts, ka visvairāk neatbilstības tika konstatētas projekta ieviešanas nosacījumu neizpildē un iepirkumos, savukārt, atbilstoši informatīvā ziņojuma 2.pielikumā iekļautajai informācijai – skaitliski visvairāk konstatētas ieviešanas nosacījumu neizpildes un personāla vai administratīvo izmaksu pārkāpumi, savukārt finanšu apjoma izteiksmē  – ieviešanas nosacījumu neizpildes un iepirkumu normu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Aicinām pārskatīt un, ja attiecināms, precizēt 7.attēlā iekļauto informāciju par ELFLA ietvaros konstatēto neatbilstību apjomu finanšu izteiksmē un procentuālo īpatsvaru (šobrīd attēlā – 2007.-2013. gada plānošanas periodā 60,88 % jeb 3 857 418,72 EUR un 2014.-2020. gada plānošanas periodā 39,12 % jeb 2 360 886,08 EUR, savukārt, atbilstoši informatīvā ziņojuma 2.pielikumā iekļautajai informācijai – 2007.-2013. gada plānošanas periodā 47,94 % jeb 2 282 832,48 EUR un 2014.-2020. gada plānošanas periodā 52,06 % jeb 2 478 915,31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Aicinām pārskatīt un, ja attiecināms, precizēt 8.attēlā iekļauto informāciju par ELFLA ietvaros konstatēto neatbilstību skaitu un procentuālo īpatsvaru (šobrīd attēlā – 2007.-2013. gada plānošanas periodā 19,33 % jeb 196 un 2014.-2020. gada plānošanas periodā 80,67 % jeb 816, savukārt, atbilstoši informatīvā ziņojuma 2.pielikumā iekļautajai informācijai – 2007.-2013. gada plānošanas periodā 18,77 % jeb 189 un 2014.-2020. gada plānošanas periodā 81,23 % jeb 818).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attēli precizēti atbilstoši priekšlikumiem (2., 4., 5, 10. un 11.punktiem).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priekšlikumiem 1., 3., lielākā daļa 6., 8.punktos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norādītā priekšlikumam par </w:t>
            </w:r>
            <w:r w:rsidR="00000000" w:rsidRPr="00000000" w:rsidDel="00000000">
              <w:rPr>
                <w:i w:val="1"/>
                <w:rtl w:val="0"/>
              </w:rPr>
              <w:t xml:space="preserve">"2022. gadā konstatēto neatbilstību saistībā ar krāpšanu/ aizdomām par krāpšanu apjomu finanšu izteiksmē (šobrīd – 311 953,14 EUR, atbilstoši 2.pielikumā iekļautajai informācijai – 429 982,37 EUR)"</w:t>
            </w:r>
            <w:r w:rsidR="00000000" w:rsidRPr="00000000" w:rsidDel="00000000">
              <w:rPr>
                <w:rtl w:val="0"/>
              </w:rPr>
              <w:t xml:space="preserve"> redakcija precizēta uz </w:t>
            </w:r>
            <w:r w:rsidR="00000000" w:rsidRPr="00000000" w:rsidDel="00000000">
              <w:rPr>
                <w:i w:val="1"/>
                <w:rtl w:val="0"/>
              </w:rPr>
              <w:t xml:space="preserve">"2022.gadā tika identificēti 7 krāpšanas / aizdomas par krāpšanu neatbilstību gadījumi ar finanšu ietekmi 5 projektos 311 953.14 EUR apmērā (vēl 2 projektos aizdomas par krāpšanu tika identificētas pirms maksājumu veikšanas, līdz ar to tika ietekmēta šajos projektos neizmaksātā summa 118 029,23 EUR apmērā), gan kā interešu konfliktu, gan darbu veikšanu pašu spēkiem, gan iekārtu piegādēm. Visi gadījumi nodoti EPPO."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7.punktā minētais ierosinājums ziņojumā tiek saglabāts tā sākotnējā redakcjā, kas savstarpēji atbilst 2.pielikumā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9.punkta ierosinājums ir ņemts vērā precizējot ziņojuma redakciju uz</w:t>
            </w:r>
            <w:r w:rsidR="00000000" w:rsidRPr="00000000" w:rsidDel="00000000">
              <w:rPr>
                <w:i w:val="1"/>
                <w:rtl w:val="0"/>
              </w:rPr>
              <w:t xml:space="preserve"> "Visvairāk neatbilstības tika konstatētas projekta ieviešanas nosacījumu neizpildē." </w:t>
            </w:r>
            <w:r w:rsidR="00000000" w:rsidRPr="00000000" w:rsidDel="00000000">
              <w:rPr>
                <w:rtl w:val="0"/>
              </w:rPr>
              <w:t xml:space="preserve">dzēšot vārdus </w:t>
            </w:r>
            <w:r w:rsidR="00000000" w:rsidRPr="00000000" w:rsidDel="00000000">
              <w:rPr>
                <w:i w:val="1"/>
                <w:rtl w:val="0"/>
              </w:rPr>
              <w:t xml:space="preserve">"un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2.pielikuma izklājlapas nosaukumu (šobrīd –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informatīvajam ziņojumam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veiktajiem krāpšanas apkarošanas un Eiropas Savienības finanšu interešu aizsardzības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pasākumiem 2022.gadā un AFCOS darbības stratēģijas un pasākumu plāna 2020.-2022. gadam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23-TA-685</w:t>
    </w:r>
    <w:r>
      <w:br/>
    </w:r>
    <w:r w:rsidR="00000000" w:rsidRPr="00000000" w:rsidDel="00000000">
      <w:rPr>
        <w:rtl w:val="0"/>
      </w:rPr>
      <w:t xml:space="preserve">17.04.2023. 17.45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23-TA-685</w:t>
    </w:r>
    <w:r>
      <w:br/>
    </w:r>
    <w:r w:rsidR="00000000" w:rsidRPr="00000000" w:rsidDel="00000000">
      <w:rPr>
        <w:rtl w:val="0"/>
      </w:rPr>
      <w:t xml:space="preserve">17.04.2023. 17.45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Izziņa_23-TA-685.docx</dc:title>
</cp:coreProperties>
</file>

<file path=docProps/custom.xml><?xml version="1.0" encoding="utf-8"?>
<Properties xmlns="http://schemas.openxmlformats.org/officeDocument/2006/custom-properties" xmlns:vt="http://schemas.openxmlformats.org/officeDocument/2006/docPropsVTypes"/>
</file>