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23-TA-1024: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noteikumu projekta 20. punktu. LDDK kopumā atbalsta nepieciešamību palielināt viena kupona vērtības likmes, ņemot vērā energoresursu sadārdzinājumu. Vienlaikus norādām, ka palielinājums būtu apsverams arī citu apmācību kuponu vērtībai. Vēršam uzmanību, ka pēdējā pusotra gada laikā ir vērojama augsta inflācija, kas nebija raksturīga ilgstošā laika periodā pirms straujā cenu kāpuma, kas saistīts ar dažādiem faktoriem, bet lielā mērā ar energoresursu cenu kāpumu. Ņemot vērā straujo cenu kāpumu, LDDK ieskatā tomēr būtu apsverama atkārtota kuponu vērtību pārskatīšana, kaut arī tā ir veikta salīdzinoši nesen.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pie 28.09.2023. 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noteikumu projekta 12. punktu. Aicinām nesamazināt avansa maksājuma apmēru izglītības iestādēm. LDDK ieskatā ar noteikumu grozījumiem nebūtu atbalstāma situācijas pasliktināšana izglītības iestādēm, kuras īsteno bezdarbnieku vai darba meklētāju apmācības. LDDK izprot LM argumentāciju, vienlaikus vēršam uzmanību, ka privātās izglītības iestādes aicina pārskatīt NVA un VIAA Eiropas fondu ietvaros finansēto apmācību finansēšanas kārtību, nodrošinot izglītības iestādēm samaksu par faktiski veikto apmācību. Šobrīd finansējums ir pilnībā attiecināms tikai tad, ja izglītojamais iegūst kvalifikāciju, bet diemžēl ir gana daudz gadījumu, kad izglītojamais pamet mācības, ar mācību iestādi nesaistītu iemeslu dēļ. Šī situācija ļoti iespējams skaidro, kāpēc ir izveidojies apjomīgs debitoru parāds.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sniegts pie 28.09.2023. iebilduma.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Finanšu ministrijas, kā ES fondu vadošās iestādes, iepriekš sniegtajai informācijai, ES fondu 2021. – 2027. gada plānošanas periodā būtisks akcents tiek likts uz vienkāršoto izmaksu iespējami plašu piemērošanu, kas pamatoja metodikas "Vienības izmaksu standarta likmes aprēķina un piemērošanas metodika profesionālās un neformālās izglītības mācību programmas apguves un stipendijas izmaksām" ieviešanas nepieciešamību ES fondu īstenoto projektu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141.</w:t>
            </w:r>
            <w:r w:rsidR="00000000" w:rsidRPr="00000000" w:rsidDel="00000000">
              <w:rPr>
                <w:vertAlign w:val="superscript"/>
                <w:rtl w:val="0"/>
              </w:rPr>
              <w:t xml:space="preserve">9</w:t>
            </w:r>
            <w:r w:rsidR="00000000" w:rsidRPr="00000000" w:rsidDel="00000000">
              <w:rPr>
                <w:rtl w:val="0"/>
              </w:rPr>
              <w:t xml:space="preserve"> 5. apakšpunktu. Anotācijas 9.lpp. teikts, ka  turpmāk bezdarbnieku iesaistes koordinēšanu pašvaldība nodrošinās esošo resursu ietvaros, nesaņemot papildu dotāciju darba koordinētājam 150 euro mēnesī. Vienlaikus anotācijā nav norādīta ietekme uz pašvaldību budžetu, ja tiek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algoto pagaidu sabiedrisko darbu (turpmāk – APSD) darba koordinētāja pienākumos ietilpst organizēt APSD procesu. Darba koordinētājs organizē APSD darbu vietu izveidi, koordinē darba vadītāju darbu, koordinē dalībnieku saraksta sagatavošanu un izdevumus pamatojošo dokumentu sagatavošanu un iesniegšanu NVA CV un Vakanču portālā (CVVP), kā arī iesniedz apdrošinātājam nepieciešamos dokumentus cietušā dalībnieka apdrošināšanas atlīdzības iespējamai izmaksāšanai.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darba pienākumus norīkotais darba koordinators pašvaldībās veic papildus saviem tiešajiem darba pienākumiem, līdz ar to darba koordinatoram būtu jāsaņem papildus samaksa par darbiem, kurus veic, lai nodrošinātu veiksmīgu APSD norisi.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Ventspils valstpilsētas pašvaldība norāda, ka kopējās izmaksas par darba koordinatoru darba devējam 2022. gadā 2136 EUR t.sk., VSAOI darba devējam. Gadījumā, ja valsts turpmāk neparedzēs dotāciju darba koordinētājam, tad tas radīs papildus finansiālo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apakšpunkta redakciju un paredzēt nepieciešamo finansējumu: 141.</w:t>
            </w:r>
            <w:r w:rsidR="00000000" w:rsidRPr="00000000" w:rsidDel="00000000">
              <w:rPr>
                <w:vertAlign w:val="superscript"/>
                <w:rtl w:val="0"/>
              </w:rPr>
              <w:t xml:space="preserve">9</w:t>
            </w:r>
            <w:r w:rsidR="00000000" w:rsidRPr="00000000" w:rsidDel="00000000">
              <w:rPr>
                <w:rtl w:val="0"/>
              </w:rPr>
              <w:t xml:space="preserve"> 5. ikmēneša dotācijai 150 euro apmērā vienam darba koordinētājam pašvaldībā proporcionāli nostrādātajām darba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 iebildumu un, ievērojot, ka pasākuma "Algoti pagaidu sabiedriskie darbi" organizēšanai un īstenošanai paredzēto finansējumu plānots būtiski samazināt dotācija darba koordinētajam tiek saglabāta, pārskatot dotācijas apmēru - 100 euro mēnesī proporcionāli nostrādātajām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141.9 5. apakšpunktā skaitli "150" ar skaitli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 punktu. Aicinām nesamazināt avansa maksājuma apmēru izglītības iestādēm. LDDK ieskatā ar noteikumu grozījumiem nebūtu atbalstāma situācijas pasliktināšana izglītības iestādēm, kuras īsteno bezdarbnieku vai darba meklētāju apmācības. LDDK ieskatā izglītības iestādēm ir iespēja izvērtēt riskus, kas saistīti ar nepieciešamību atgriezt līdzekļus par priekšfinansēto mācību pasākumu dalībnieku daļu, kas mācības pārtrauc vai nenokārto gala pārbaudījumus. LDDK ieskatā būtu nepieciešams iegūt izglītības iestāžu viedokli par avansa maksājuma apjoma samazinājumu, ņemot vārā, ka primārais risks attiecībā uz avansa atgriešanu ir jāuzņemas tieši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atsevišķās mācību programmās mācības nepabeigušo un gala pārbaudījumu nenokārtojošo bezdarbnieku skaits vidēji pārsniedz 50% (tas tika ņemts vērā arī nosakot kupona vērtību atbilstoši vienas vienības metodikai). Turklāt atsevišķu izglītības iestāžu sniegums ir krietni zemāks, tādējādi jau šobrīd Aģentūrai ir izveidojies apjomīgs debitoru parāds, kas finansējuma lietderīgu un efektīvu izlietošanu, līdz ar to avansa apmēra samazināšana ir nepieciešama, lai līdzsvarotu bezdarbnieku apmācību pasākumu finansēšanu atbilstoši jaunajai norēķinu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17. punktu. LDDK kopumā atbalsta nepieciešamību palielināt viena kupona vērtības likmes, ņemot vērā energoresursu sadārdzinājumu. Vienlaikus aicinām skaidrot, kāpēc energoresursu sadārdzinājuma kontekstā tiek palielinātas viena kupona vērtības likmes tikai traktortehnikas vadīšanas apmācībām?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līdztekus  metodikas "Vienības izmaksu standarta likmes aprēķina un piemērošanas metodika profesionālās un neformālās izglītības mācību programmas apguves un stipendijas izmaksām" ieviešanai ar 2022.gada jūnija grozījumiem MK noteikumos tika pārskatīta un par 10% palielināta profesionālās tālākizglītības programmu kupona vērtība. Tādējādi traktortehnikas vadītāju mācību apmācību kupona vērtība tiek palielināta atbilstoši mācību pakalpojumu sniedzēju izteiktajiem ierosinājumiem, balstoties uz tirgus izpētes rezultātiem. Savukārt citās mācību programmās, mācību kupona vērtības pārskatīšana patreiz netiek paredzēta.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grozījumu projekta 40.punktā noteikto par 174.</w:t>
            </w:r>
            <w:r w:rsidR="00000000" w:rsidRPr="00000000" w:rsidDel="00000000">
              <w:rPr>
                <w:vertAlign w:val="superscript"/>
                <w:rtl w:val="0"/>
              </w:rPr>
              <w:t xml:space="preserve">9</w:t>
            </w:r>
            <w:r w:rsidR="00000000" w:rsidRPr="00000000" w:rsidDel="00000000">
              <w:rPr>
                <w:rtl w:val="0"/>
              </w:rPr>
              <w:t xml:space="preserve"> punktā plānoto redakciju, t.i. kā noteikts ierobežojums ikmēneša finanšu atbalstam transporta izmaksu segšanai (nepārsniedzot 10 euro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ierobežojums transporta vai dzīvojamās telpas īres izdevumiem 10 euro apmērā noteikts, ievērojot spēkā esošo kārtību atbalstam reģionālajai mobilitātei darba devējam, kā arī reģionālās mobilitātes atbalsta piešķiršanai nodarbinātajiem un nodarbinātības pasākumu dalībniekiem.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grozījumu projekta 10.punktu skaidri un nepārprotami norādot, vai noteikumu projekta 22.punkta apakšpunkti (22.1. - 22.3.) būtu svītrojami vai atstājami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MK noteikumu 22.punktu jaunā redakcijā, proti, grozījums attiecas gan uz punkta ievaddaļu, gan uz tā apakšpunktiem. Jauna 22.panta redakcija nesatur apakšpunktus, līdz ar to tas nepārprotami norāda, ka spēkā esoši 22.1.- 22.3.apakšpunkts netiek saglabāti.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grozījumu noteikumu projekts nebūtu papildināms ar grozījumu veikšanu arīdzan noteikumu 141.</w:t>
            </w:r>
            <w:r w:rsidR="00000000" w:rsidRPr="00000000" w:rsidDel="00000000">
              <w:rPr>
                <w:vertAlign w:val="superscript"/>
                <w:rtl w:val="0"/>
              </w:rPr>
              <w:t xml:space="preserve">16</w:t>
            </w:r>
            <w:r w:rsidR="00000000" w:rsidRPr="00000000" w:rsidDel="00000000">
              <w:rPr>
                <w:rtl w:val="0"/>
              </w:rPr>
              <w:t xml:space="preserve"> 4.  apakšpunktā, svītrojot no tā vārdu "ilgstošajam".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 priekšlikumu, secināts, ka izmaiņas MK noteikumu 141.</w:t>
            </w:r>
            <w:r w:rsidR="00000000" w:rsidRPr="00000000" w:rsidDel="00000000">
              <w:rPr>
                <w:vertAlign w:val="superscript"/>
                <w:rtl w:val="0"/>
              </w:rPr>
              <w:t xml:space="preserve">16</w:t>
            </w:r>
            <w:r w:rsidR="00000000" w:rsidRPr="00000000" w:rsidDel="00000000">
              <w:rPr>
                <w:rtl w:val="0"/>
              </w:rPr>
              <w:t xml:space="preserve"> 4. apakšpunktā nav nepieciešamas.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23.punktu, aizstājot skaitli “88.3.” ar skaitli “88.2.”.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noteikumu (grozījumu) projektā 16. punktā noteiktā lieguma personām, kuras neattaisnotu iemeslu dēļ pārtrauca mācības, nākamos 24 mēnešus iesaistīties mācību pasākumos, samērīgumu, jo īpaši attiecībā uz darba meklētājiem. Mācības ir viens no būtiskākajiem instrumentiem, lai veicinātu nodarbinātību. Divu gadu laikā personai var būtiski mainīties sociālā situācija, mācību vajadzības un nodarbinātības vieta vai 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meklētājiem un bezdarba riskam pakļautajām personām netiek piemērotas finansiāla rakstura sankcijas, jo stipendija netiek izmaksāta, ka arī atbilstoši jaunai mācību apmaksas kārtībai izglītības iestāde nesaņem samaksu par izglītojamo, kas nav nokārtojis gala pārbaudījumu, attiecīgi arī Aģentūrai nerodas tiešie zaudējumi, kas būtu piedzenami no apmācību pasākuma dalībnieka, kurš neattaisnotu iemeslu dēļ pārtrauca mācības. Tomēr ir svarīgi veicināt mācību pasākumu dalībnieku atbildību un godprātību, iesaistoties mācību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izskatot jautājumu par liegumu atkārtoti iesaistīties mācību pasākumos, tiek izvērtēti arī mācību pārtraukšanas iemesli un atkārtota iesaiste tiks liegta tikai tādos gadījumos, kad mācības pārtrauktas bez objektīviem attaisnojošiem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(grozījumu) projekta 10. punktu atbilstoši 2023. gada 9. augusta Cilvēkkapitāla attīstības padomes lēmumam (turpmāk – CAP lēmums) par komisijas izveidi, kas paredz komisijai uzdevumu uzraudzīt īstenoto pasākumu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CAP lēmumam, aicinām izmantot deleģējuma redakciju, kas 2023. gada 15. septembrī  tika savstarpēji pārrunāta Ekonomikas ministrijas organizētajā sanāksmē: “Ekonomikas ministrijas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Ekonomikas ministrijas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22.punkts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sniedz priekšlikumu mainīt esošo redakciju grozījumu projektā : 10. "22. Ekonomikas ministrijas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padomes noteiktajām prioritātēm un atbilstoši darba tirgus pieprasījumam un tautsaimniecības nozaru attīstības prognozēm nosaka un aktualizē mācību piedāvājumu bezdarbniekiem, darba meklētājiem un bezdarba riskam pakļautajām personām. Komisijas sastāvu un nolikumu apstiprina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Cilvēkkapitāla attīstības padomē nolemto starp Labklājības ministri, Izglītības un zinātnes ministri, Ekonomikas ministri, tad visu trīs ministriju attiecīgajos normatīvajos aktos (MK noteikumi) savstarpēji jāsaskaņo redakcijas, paredzot juridisko deleģējumu EM izveidotajai komisijai.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sniedz priekšlikumu mainīt redakciju grozījumu projektā uz 10. "22. Ekonomikas ministrijas izveidota komisija, kuras sastāvā iekļauj Ekonomikas ministrijas, Labklājības ministrijas, Izglītības un zinātnes ministrijas, Latvijas Darba devēju konfederācijas, Latvijas Brīvo arodbiedrību savienības un citu kompetento institūciju vai biedrību un nodibinājumu pārstāvjus un ekspertus,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22.punkts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ietvaros atbalsts tiek sniegts saskaņā ar </w:t>
            </w:r>
            <w:r w:rsidR="00000000" w:rsidRPr="00000000" w:rsidDel="00000000">
              <w:rPr>
                <w:i w:val="1"/>
                <w:rtl w:val="0"/>
              </w:rPr>
              <w:t xml:space="preserve">Komisijas regulas Nr.1407/2013, par Līguma par Eiropas Savienības darbību 107. un 108. panta piemērošanu de minimis atbalstam </w:t>
            </w:r>
            <w:r w:rsidR="00000000" w:rsidRPr="00000000" w:rsidDel="00000000">
              <w:rPr>
                <w:rtl w:val="0"/>
              </w:rPr>
              <w:t xml:space="preserve">(turpmāk – Komisijas regula Nr.1407/2013), lai nodrošinātu Eiropas Savienības tiesu judikatūrai atbilstošu pienākumu atgūt nelikumīgo komercdarbības atbalstu, aicinām precizēt noteikumu projekta 192.20 .punktu, izsakot to,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Nr.1407/2013, Komisijas regulas Nr.717/2014 un Komisijas regulas Nr.1408/2013 nosacījumi, atbalsta saņēmējam ir pienākums atmaksāt finansējuma saņēmējam visu projekta ietvaros saņemto </w:t>
            </w:r>
            <w:r w:rsidR="00000000" w:rsidRPr="00000000" w:rsidDel="00000000">
              <w:rPr>
                <w:u w:val="single"/>
                <w:rtl w:val="0"/>
              </w:rPr>
              <w:t xml:space="preserve">nelikumīgo de minimis atbalstu</w:t>
            </w:r>
            <w:r w:rsidR="00000000" w:rsidRPr="00000000" w:rsidDel="00000000">
              <w:rPr>
                <w:rtl w:val="0"/>
              </w:rPr>
              <w:t xml:space="preserve">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grozījumu MK noteikumu 192.</w:t>
            </w:r>
            <w:r w:rsidR="00000000" w:rsidRPr="00000000" w:rsidDel="00000000">
              <w:rPr>
                <w:vertAlign w:val="superscript"/>
                <w:rtl w:val="0"/>
              </w:rPr>
              <w:t xml:space="preserve">20</w:t>
            </w:r>
            <w:r w:rsidR="00000000" w:rsidRPr="00000000" w:rsidDel="00000000">
              <w:rPr>
                <w:rtl w:val="0"/>
              </w:rPr>
              <w:t xml:space="preserve"> punkta pirmajā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192. </w:t>
            </w:r>
            <w:r w:rsidR="00000000" w:rsidRPr="00000000" w:rsidDel="00000000">
              <w:rPr>
                <w:vertAlign w:val="superscript"/>
                <w:rtl w:val="0"/>
              </w:rPr>
              <w:t xml:space="preserve">20</w:t>
            </w:r>
            <w:r w:rsidR="00000000" w:rsidRPr="00000000" w:rsidDel="00000000">
              <w:rPr>
                <w:rtl w:val="0"/>
              </w:rPr>
              <w:t xml:space="preserve"> punkta pirmajā teikumā vārdus "saņemto atbalstu, kas piešķirts saskaņā ar attiecīgo regulu" ar vārdiem "saņemto "nelikumīgo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ir izvērtēti alternatīvie risinājumi. Attiecīgā informācija projekta anotācijā šobrīd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attiecīgais anotācijas 1.3.sadaļas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anotācijas 1.3.sadaļā "Risinājuma apraksts"  attiecībā uz problēmu saistībā ar publisko iepirkumu iekļauto atsauci uz Publisko iepirkumu likumu no 42.punkta uz 42.pantu.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skaidrotajam, minētais pasākums atbalsts reģionālajai mobilitātei tiek finansēts no valsts speciālā budžeta, lūdzam skaidrot, vai darbība netiek un to nav plānots finansēt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mobilitātes atbalsta pasākumi nodarbinātajiem un darba devējiem tiek finansēti vienīgi no valsts speciālā budžeta līdzekļiem un šobrīd nav plānota minēto pasākumu finansēšana no ES fondu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izmaiņu pamatojumu (attiecībā uz grozījumiem noteikumu 174.</w:t>
            </w:r>
            <w:r w:rsidR="00000000" w:rsidRPr="00000000" w:rsidDel="00000000">
              <w:rPr>
                <w:vertAlign w:val="superscript"/>
                <w:rtl w:val="0"/>
              </w:rPr>
              <w:t xml:space="preserve">9</w:t>
            </w:r>
            <w:r w:rsidR="00000000" w:rsidRPr="00000000" w:rsidDel="00000000">
              <w:rPr>
                <w:rtl w:val="0"/>
              </w:rPr>
              <w:t xml:space="preserve"> punktā) par komplicētu atbalsta aprēķinu, ņemot vērā, ka 1 km metodika vienkāršo atbalsta aprēķinu, jo atbalsta apmēra noteikšanai nepieciešama informācija tikai par nobrauktajiem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projekta anotācijas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punktu “Problēmas apraksts”, skaitļa “15.5.” vietā lietojot skaitli “15.9.”.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“Pašreizējā situācija, problēmas un risinājumi” punktā “Problēmas apraksts” (12.lpp.) lietoto vārdu “sānemšami”.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aizstājot vārdus un skaitļus "...Eiropas Sociālā fonda + 2021.- 2027.gada plānošanas periodā..." ar vārdiem un skaitļiem "...Eiropas Savienības fondu 2021.-2027.gada plānošanas periodā Eiropas Savienības kohēzijas politikas programma 2021.–2027.gadam ietvaros...". Papildus aicinām anotācijā izmantot šādu atšifrējumu “Eiropas Sociālais fonds Plus  (turpmāk - ESF+)”.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2.1. sadaļu, sniedzot informāciju par sabiedrības grupām, kuras tiesiskais regulējums ietekmē, vai varētu ietekmēt, ņemot vērā to, ka projekts paredz izmaiņas tādai sabiedrības grupai kā - bezdarbnieki, darba meklētāji vai bezdarba riskam pakļautās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informāciju par sabiedrības grupām, kuras tiesiskais regulējums ietekmē, vai varētu ietekmēt, jo vairāki Ministru kabineta noteikumu (grozījumu) projekta punkti paredz izmaiņas bezdarbnieku, darba meklētāju vai bezdarba riskam pakļauto personu atbalsta pasākumos, tostarp uzlabojot tiem pieejamos pakalpojumus vai mainot to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norādot ka bezdarbnieku, darba meklētāju un bezdarba riskam pakļauto personu apmācību pasākumi tiek īstenoti Eiropas Savienības struktūrfondu un Kohēzijas fonda 2014.–2020.gada plānošanas perioda darbības programmas "Izaugsme un nodarbinātība" 7.1.1. specifiskā atbalsta mērķa "Paaugstināt bezdarbnieku kvalifikāciju un prasmes atbilstoši darba tirgus pieprasījumam" un 14.1.2. specifiskā atbalsta mērķa "Atveseļošanas pasākumi labklājības jomā" projekta Nr. 7.1.1.0/15/I/001 "“Atbalsts bezdarbnieku izglītībai”"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saīsinājuma "ESF" atšifrējumu, t.i. Eiropas Sociālais fonds (turpmāk –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4. sadaļu, jo nav sniegta informācija, vai projektam ir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5.sadaļu atbilstoši TAP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sabiedrības līdzdalību, 19.07.2023. tika izsludināta publiskā apspriede, kuras rezultātā viedokļi par Noteikumu projektu netika saņemti. Informācija par publisko apspriedi ir ietverta Noteikumu projekta 6.2.sadaļā.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 Ekonomikas ministriju, Nodarbinātības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23-TA-1024</w:t>
    </w:r>
    <w:r>
      <w:br/>
    </w:r>
    <w:r w:rsidR="00000000" w:rsidRPr="00000000" w:rsidDel="00000000">
      <w:rPr>
        <w:rtl w:val="0"/>
      </w:rPr>
      <w:t xml:space="preserve">06.11.2023. 16.38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23-TA-1024</w:t>
    </w:r>
    <w:r>
      <w:br/>
    </w:r>
    <w:r w:rsidR="00000000" w:rsidRPr="00000000" w:rsidDel="00000000">
      <w:rPr>
        <w:rtl w:val="0"/>
      </w:rPr>
      <w:t xml:space="preserve">06.11.2023. 16.38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Izziņa_23-TA-1024.docx</dc:title>
</cp:coreProperties>
</file>

<file path=docProps/custom.xml><?xml version="1.0" encoding="utf-8"?>
<Properties xmlns="http://schemas.openxmlformats.org/officeDocument/2006/custom-properties" xmlns:vt="http://schemas.openxmlformats.org/officeDocument/2006/docPropsVTypes"/>
</file>