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22-TA-3149: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Pamatnolīgumu par visaptverošu partnerību un sadarbību starp Eiropas Savienību un tās dalībvalstīm, no vienas puses, un Taizemes Karalisti, no otras puses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Pamatnolīgumu par visaptverošu partnerību un sadarbību starp Eiropas Savienību un tās dalībvalstīm, no vienas puses, un Taizemes Karalisti, no otras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22.panta 2.punktā minēts, ka ar minēto līgumu tiks veicināta “[..]Pušu attiecīgo uzraudzības iestāžu tiesībaizsardzības [..]” sadarbība, tostarp daudzpusējos forumos. No Līguma 22.panta 2.punkta nav saprotams, kas Latvijas kontekstā būtu saprotams ar “uzraudzības iestādi”, proti, vai ar to saprotama uzraudzības iestāde Eiropas Parlamenta un Padomes 2016. gada 27. aprīļa Regulas (ES) 2016/679 Par fizisku personu datu aizsardzību attiecībā uz personas datu apstrādi un šādu datu brīvu apriti un ar ko atceļ Direktīvu 95/46/EK (Vispārīgā datu aizsardzības regula) (turpmāk – Datu regula) 51.panta izpratnē, kas Latvijas gadījumā ir Datu valsts inspekcija, vai ar to saprotama, kāda cita institūcija. Ņemot vērā minēto, lai Līgums būtu izpildāms arī no Latvijas puses, svarīgi izprast, kuras/u institūcijas/u kompetencē būtu 22.panta 2.punktā noteiktais, attiecīgi to norādot arī likumprojekta anotācijā. Gadījumā, ja ar 22.panta 2.punktā minēto uzraudzības iestādi saprotama Datu regulas 51.pantā minētā uzraudzības iestāde, lūgums likumprojektu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saskaņojusi </w:t>
            </w:r>
            <w:r w:rsidR="00000000" w:rsidRPr="00000000" w:rsidDel="00000000">
              <w:rPr>
                <w:i w:val="1"/>
                <w:rtl w:val="0"/>
              </w:rPr>
              <w:t xml:space="preserve">Pamatnolīgumu par visaptverošu partnerību un sadarbību starp Eiropas Savienību un tās dalībvalstīm, no vienas puses, un Taizemes Karalisti, no otras puses </w:t>
            </w:r>
            <w:r w:rsidR="00000000" w:rsidRPr="00000000" w:rsidDel="00000000">
              <w:rPr>
                <w:rtl w:val="0"/>
              </w:rPr>
              <w:t xml:space="preserve">ar Datu valsts inspekciju.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ĀM izvērtēt vai tiesību akta projekta "Par Pamatnolīgumu par visaptverošu partnerību un sadarbību starp Eiropas Savienību un tās dalībvalstīm, no vienas puses, un Taizemes Karalisti, no otras puses" anotāciju nebūtu lietderīgi papildināt ar informāciju par ieguvumiem uzņēmējiem, piem. "Puses apņemas panākt labākus tirgus piekļuves nosacījumus; Puses apņemas veicināt savstarpējas tirdzniecības attīstību un dažādošanu pēc iespējas augstākā līmenī un savstarpēji izdevīgā veidā saskaņā ar PTO principiem un noteikumiem u.c." pēc šī dokumenta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ir nozīmīgs arī uzņēmējiem, jo tas sekmēs pārredzamākus tirgus piekļuves nosacījumus, kā arī savstarpējās tirdzniecības attīstību un dažādošanu pēc iespējas augstākā līmenī un savstarpēji izdevīgā veidā saskaņā ar PTO principiem un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22-TA-3149</w:t>
    </w:r>
    <w:r>
      <w:br/>
    </w:r>
    <w:r w:rsidR="00000000" w:rsidRPr="00000000" w:rsidDel="00000000">
      <w:rPr>
        <w:rtl w:val="0"/>
      </w:rPr>
      <w:t xml:space="preserve">17.04.2023. 16.51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22-TA-3149</w:t>
    </w:r>
    <w:r>
      <w:br/>
    </w:r>
    <w:r w:rsidR="00000000" w:rsidRPr="00000000" w:rsidDel="00000000">
      <w:rPr>
        <w:rtl w:val="0"/>
      </w:rPr>
      <w:t xml:space="preserve">17.04.2023. 16.51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Izziņa_22-TA-3149.docx</dc:title>
</cp:coreProperties>
</file>

<file path=docProps/custom.xml><?xml version="1.0" encoding="utf-8"?>
<Properties xmlns="http://schemas.openxmlformats.org/officeDocument/2006/custom-properties" xmlns:vt="http://schemas.openxmlformats.org/officeDocument/2006/docPropsVTypes"/>
</file>