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22-TA-1787: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un 13.1.3. specifiskā atbalsta mērķa "Atveseļošanas pasākumi vides un reģionālās attīstības jomā" 13.1.3.2. pasākuma "Atkritumu atkārtota izmantošana, pārstrāde un reģenerācija"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4.punktu,  vārdus "valsts budžeta finansējums" aizstājot ar vārdiem "Kohēzijas fonda virssaistību finansējums", vienlaikus precizējot citus saistītos noteikumu projekta punktus un 1.pielikumu, kā arī anotāijā norādīto informāciju, lai nodrošinātu vienotu pieeju ar citiem ES fondu 2014.–2020. gada plānošanas perioda pasākumiem, kur ir paredzētas virssaistības.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precizēti noteikumu projekta 1.4., 4., 5.4., 5.</w:t>
            </w:r>
            <w:r w:rsidR="00000000" w:rsidRPr="00000000" w:rsidDel="00000000">
              <w:rPr>
                <w:vertAlign w:val="superscript"/>
                <w:rtl w:val="0"/>
              </w:rPr>
              <w:t xml:space="preserve">1</w:t>
            </w:r>
            <w:r w:rsidR="00000000" w:rsidRPr="00000000" w:rsidDel="00000000">
              <w:rPr>
                <w:rtl w:val="0"/>
              </w:rPr>
              <w:t xml:space="preserve">, 9., 11., 34. punkti un apakšpunkti, 1. pielikums, kā arī attiecīgās sadaļas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nepieciešams, svītrot šajā sadaļā norādīto tekstu, ņemot vērā, ka minētā informācija dublē anotācijas 2.1.punkta sadaļu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8.2. punkta sadaļā "Cita informācija" minētā informācija dublē anotācijas 2.1. punkta sadaļu "Ietekmes apraksts", teksts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"ES fondu" ar vārdiem "Eiropas Savienības struktūrfondu un Kohēzijas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"ES fondu" aizstāti ar vārdiem "Eiropas Savienības struktūrfondu un Kohēzijas fonda".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2022.gadam ailē “izmaiņas kārtējā gadā, salīdzinot ar valsts budžetu kārtējam gadam” un 2023. un 2024.gadam ailē “izmaiņas, salīdzinot ar vidēja termiņa budžeta ietvaru” 2.1.apakšpunktu, norādot nulli. Vienlaikus atzīmējam, ka anotācijas 3.punktā norādītais virssaistību finansējuma apmērs sanāk 17 482 182 euro nevis 17 482 183 euro, attiecīgi arī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precizēta anotācijas 3. sadaļa "Budžets".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3.sadaļas 6.punktā  informāciju par izdevumu līdzšinējo izpildi, lai tiktu sniegta pilna informācija, ka veiktie un plānoti izdevumi kopā nepārsniedz maksimāli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informācija anotācijas 3. sadaļas 6.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izdevumus sedz no valsts budžeta programmas 80.00.00 “Nesadalītais finansējums Eiropas Savienības politiku instrumentu un pārējās ārvalstu finanšu palīdzības līdzfinansēto projektu un pasākumu īstenošanai”, ja tie vēl nav ieplānoti Centrālās finanšu un līgumu aģentūras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papildināts anotācijas 3. sadaļas punkts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1.1.sadaļas "Pamatojums" apakšsadaļā "Apraksts" norādīto atsauci par darbības programmas "Izaugsme un nodarbinātība" grozījumiem, papildinot, ka minētie grozījumi 22.07.2022. apstiprināti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apstiprinātos darbības programmas "Izaugsme un nodarbinātība" grozījumus, aicinām izvērtēt nepieciešamību precizēt  noteikumu projekta 8.punktā noteiktā iznākuma rādītāja "atkritumu pārstrādes jaudas pieaugums" sasniedzamo vērtību, t.sk. nepieciešamības gadījumā precizējot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anotācijas 1.1. sadaļas "Pamatojums" apakšsadaļa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lai arī darbības programmas "Izaugsme un nodarbinātība" grozījumi Nr. 8 paredz precizēt tostarp arī iznākuma rādītāja "Atkritumu pārstrādes jaudas pieaugums" sasniedzamo vērtību, tas noteikumu projektā netiek precizēts, jo rādītājs noteikts, balstoties uz īstenošanā esošo projektu plānoto iznākuma rādītāju 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1.3.sadaļas "Pašreizējā situācija, problēmas un risinājumi" apakšsadaļā "Risinājuma apraksts" pirmās rindkopas pēdējo teikumu, norādot, ka 13.1.3.2.pasākumā “Atkritumu atkārtota izmantošana, pārstrāde un reģenerācija” esošos projektus plānots īstenot 5.2.1.specifiskā atbalsta mērķa “Veicināt dažāda veida atkritumu atkārtotu izmantošanu, pārstrādi un reģenerāciju" 5.2.1.2. pasākuma “Atkritumu pārstrādes veicināšana” ceturtās atlases kārtas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precizēta anotācijas 1.3. sadaļas "Pašreizējā situācija, problēmas un risinājumi" apakšsadaļa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Pasākumam plānotais kopējais attiecināmais finansējums ir ir vismaz 84 293 286 </w:t>
            </w:r>
            <w:r w:rsidR="00000000" w:rsidRPr="00000000" w:rsidDel="00000000">
              <w:rPr>
                <w:i w:val="1"/>
                <w:rtl w:val="0"/>
              </w:rPr>
              <w:t xml:space="preserve">euro</w:t>
            </w:r>
            <w:r w:rsidR="00000000" w:rsidRPr="00000000" w:rsidDel="00000000">
              <w:rPr>
                <w:rtl w:val="0"/>
              </w:rPr>
              <w:t xml:space="preserve">, tai skaitā Kohēzijas fonda finansējums – 46 435 671 </w:t>
            </w:r>
            <w:r w:rsidR="00000000" w:rsidRPr="00000000" w:rsidDel="00000000">
              <w:rPr>
                <w:i w:val="1"/>
                <w:rtl w:val="0"/>
              </w:rPr>
              <w:t xml:space="preserve">euro </w:t>
            </w:r>
            <w:r w:rsidR="00000000" w:rsidRPr="00000000" w:rsidDel="00000000">
              <w:rPr>
                <w:rtl w:val="0"/>
              </w:rPr>
              <w:t xml:space="preserve">un valsts budžeta finansējums - 17 482 183 </w:t>
            </w:r>
            <w:r w:rsidR="00000000" w:rsidRPr="00000000" w:rsidDel="00000000">
              <w:rPr>
                <w:i w:val="1"/>
                <w:rtl w:val="0"/>
              </w:rPr>
              <w:t xml:space="preserve">euro</w:t>
            </w:r>
            <w:r w:rsidR="00000000" w:rsidRPr="00000000" w:rsidDel="00000000">
              <w:rPr>
                <w:rtl w:val="0"/>
              </w:rPr>
              <w:t xml:space="preserve">, un nacionālais finansējums, ko veido pašvaldību finansējums un privātais finansējums, – vismaz 20 375 432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4.punktu un noteikumu projekta konsolidētās versijas 4.punktu, svītrojot vārdu "ir", kas atkārtojas.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noteikumu projekta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Pasākumam plānotais kopējais attiecināmais finansējums ir vismaz 84 293 286 </w:t>
            </w:r>
            <w:r w:rsidR="00000000" w:rsidRPr="00000000" w:rsidDel="00000000">
              <w:rPr>
                <w:i w:val="1"/>
                <w:rtl w:val="0"/>
              </w:rPr>
              <w:t xml:space="preserve">euro</w:t>
            </w:r>
            <w:r w:rsidR="00000000" w:rsidRPr="00000000" w:rsidDel="00000000">
              <w:rPr>
                <w:rtl w:val="0"/>
              </w:rPr>
              <w:t xml:space="preserve">, tai skaitā Kohēzijas fonda finansējums – 46 435 671 </w:t>
            </w:r>
            <w:r w:rsidR="00000000" w:rsidRPr="00000000" w:rsidDel="00000000">
              <w:rPr>
                <w:i w:val="1"/>
                <w:rtl w:val="0"/>
              </w:rPr>
              <w:t xml:space="preserve">euro </w:t>
            </w:r>
            <w:r w:rsidR="00000000" w:rsidRPr="00000000" w:rsidDel="00000000">
              <w:rPr>
                <w:rtl w:val="0"/>
              </w:rPr>
              <w:t xml:space="preserve">un Kohēzijas fonda virssaistību finansējums - 17 482 183 </w:t>
            </w:r>
            <w:r w:rsidR="00000000" w:rsidRPr="00000000" w:rsidDel="00000000">
              <w:rPr>
                <w:i w:val="1"/>
                <w:rtl w:val="0"/>
              </w:rPr>
              <w:t xml:space="preserve">euro</w:t>
            </w:r>
            <w:r w:rsidR="00000000" w:rsidRPr="00000000" w:rsidDel="00000000">
              <w:rPr>
                <w:rtl w:val="0"/>
              </w:rPr>
              <w:t xml:space="preserve">, un nacionālais finansējums, ko veido pašvaldību finansējums un privātais finansējums, – vismaz 20 375 432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pasākuma iznākuma rādītājs – līdz 2023. gada 31. decembrim sasniedzamais atkritumu pārstrādes jaudas pieaugums atbalstītajos projektos pasākuma pirmās, otrās un trešās atlases kārtas ietvaros ir 172 000 t/gadā un pasākuma ceturtās atlases kārtas ietvaros ir 51 000 t/gadā;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noteikto termiņu pasākuma iznākumu rādītāju sasniegšanai, vai nevajag pagarināt par v ienu gadu-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jūnija – jūlija informatīvajā ziņojumā par Eiropas Savienības fondu investīciju ieviešanas statusu (ikmēneša ziņojums) minēto, reaģējot uz ģeopolitiskās situācijas izraisītiem bezprecedenta sarežģījumiem arī ekonomiskajā un investīciju ieviešanas sfērā, lai nodrošinātu lielāku elastīgumu, Finanšu ministrija gan individuāli, gan kopā ar citām dalībvalstīm vērsusi Eiropas Komisijas uzmanību uz nepieciešamību rast Eiropas Komisijas līmeņa risinājumus sekmīgai Eiropas Savienības fondu projektu pabeigšanai. No dažādu līmeņu sanāksmēsm un darba grupām var secināt, ka </w:t>
            </w:r>
            <w:r w:rsidR="00000000" w:rsidRPr="00000000" w:rsidDel="00000000">
              <w:rPr>
                <w:b w:val="1"/>
                <w:rtl w:val="0"/>
              </w:rPr>
              <w:t xml:space="preserve">Eiropas Komisija stingri uztur pozīciju nepagarināt izdevumu attiecināmības periodu</w:t>
            </w:r>
            <w:r w:rsidR="00000000" w:rsidRPr="00000000" w:rsidDel="00000000">
              <w:rPr>
                <w:rtl w:val="0"/>
              </w:rPr>
              <w:t xml:space="preserve">. Attiecīgi projektu īstenotājiem ir jāņem vērā spēkā esošais regulējums, t. sk. </w:t>
            </w:r>
            <w:r w:rsidR="00000000" w:rsidRPr="00000000" w:rsidDel="00000000">
              <w:rPr>
                <w:b w:val="1"/>
                <w:rtl w:val="0"/>
              </w:rPr>
              <w:t xml:space="preserve">izdevumu attiecināmības termiņš 2023. gada 31. decembris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pasākuma iznākuma rādītājs – līdz 2023. gada 31. decembrim sasniedzamais atkritumu pārstrādes jaudas pieaugums atbalstītajos projektos pasākuma pirmās, otrās un trešās atlases kārtas ietvaros ir 172 000 t/gadā un pasākuma ceturtās atlases kārtas ietvaros ir 51 000 t/gadā;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pasākuma rezultāta rādītājs – līdz 2023. gada 31. decembrim pārstrādātais un reģenerētais atkritumu daudzums attiecībā pret attiecīgajā gadā radīto atkritumu daudzumu ir 59 procenti;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noteikto termiņu, vai iespējams sasniegt pasākuma rezultāta rādītāju līdz 2023.gada 31.decembrim vai noteikt to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jūnija – jūlija informatīvajā ziņojumā par Eiropas Savienības fondu investīciju ieviešanas statusu (ikmēneša ziņojums) minēto, reaģējot uz ģeopolitiskās situācijas izraisītiem bezprecedenta sarežģījumiem arī ekonomiskajā un investīciju ieviešanas sfērā, lai nodrošinātu lielāku elastīgumu, Finanšu ministrija gan individuāli, gan kopā ar citām dalībvalstīm vērsusi Eiropas Komisijas uzmanību uz nepieciešamību rast Eiropas Komisijas līmeņa risinājumus sekmīgai Eiropas Savienības fondu projektu pabeigšanai. No dažādu līmeņu sanāksmēsm un darba grupām var secināt, ka </w:t>
            </w:r>
            <w:r w:rsidR="00000000" w:rsidRPr="00000000" w:rsidDel="00000000">
              <w:rPr>
                <w:b w:val="1"/>
                <w:rtl w:val="0"/>
              </w:rPr>
              <w:t xml:space="preserve">Eiropas Komisija stingri uztur pozīciju nepagarināt izdevumu attiecināmības periodu</w:t>
            </w:r>
            <w:r w:rsidR="00000000" w:rsidRPr="00000000" w:rsidDel="00000000">
              <w:rPr>
                <w:rtl w:val="0"/>
              </w:rPr>
              <w:t xml:space="preserve">. Attiecīgi projektu īstenotājiem ir jāņem vērā spēkā esošais regulējums, t. sk. </w:t>
            </w:r>
            <w:r w:rsidR="00000000" w:rsidRPr="00000000" w:rsidDel="00000000">
              <w:rPr>
                <w:b w:val="1"/>
                <w:rtl w:val="0"/>
              </w:rPr>
              <w:t xml:space="preserve">izdevumu attiecināmības termiņš 2023. gada 31. decembris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pasākuma rezultāta rādītājs – līdz 2023. gada 31. decembrim pārstrādātais un reģenerētais atkritumu daudzums attiecībā pret attiecīgajā gadā radīto atkritumu daudzumu ir 59 procenti;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tiek pārkāptas šajos noteikumos noteiktās komercdarbības atbalsta piešķiršanas prasības, atbalsta saņēmējam ir pienākums atmaksāt sadarbības iestādei visu projekta ietvaros saņemto nelikumīgo komercdarbības atbalstu kopā ar procentiem, kuru likmi publicē Eiropas Komisija saskaņā ar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w:t>
            </w:r>
            <w:r w:rsidR="00000000" w:rsidRPr="00000000" w:rsidDel="00000000">
              <w:rPr>
                <w:rtl w:val="0"/>
              </w:rPr>
              <w:t xml:space="preserve">794/2004</w:t>
            </w:r>
            <w:r w:rsidR="00000000" w:rsidRPr="00000000" w:rsidDel="00000000">
              <w:rPr>
                <w:rtl w:val="0"/>
              </w:rPr>
              <w:t xml:space="preserve">), 10. pantu, tiem pieskaitot 100 bāzes punktus, no dienas, kad nelikumīgais komercdarbības atbalsts tika izmaksāts finansējuma saņēmējam, līdz tā atgūšanas dienai, ievērojot Komisijas regulas Nr.  </w:t>
            </w:r>
            <w:r w:rsidR="00000000" w:rsidRPr="00000000" w:rsidDel="00000000">
              <w:rPr>
                <w:rtl w:val="0"/>
              </w:rPr>
              <w:t xml:space="preserve">794/2004</w:t>
            </w:r>
            <w:r w:rsidR="00000000" w:rsidRPr="00000000" w:rsidDel="00000000">
              <w:rPr>
                <w:rtl w:val="0"/>
              </w:rPr>
              <w:t xml:space="preserve">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2021.gada 8.jūnijā stājās spēkā grozījumi Komercdarbības atbalsta kontroles likumā, kā arī to, ka nelikumīgs komercdarbības atbalsta ir atgūstams no līdzekļiem, kas ir brīvi no komercdarbības atbalsta, lūdzam precizēt atgūšanas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atbalsta saņēmējam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precizēta 57.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tiek pārkāptas šajos noteikumos noteiktās komercdarbības atbalsta normas, atbalsta saņēmējam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22-TA-1787</w:t>
    </w:r>
    <w:r>
      <w:br/>
    </w:r>
    <w:r w:rsidR="00000000" w:rsidRPr="00000000" w:rsidDel="00000000">
      <w:rPr>
        <w:rtl w:val="0"/>
      </w:rPr>
      <w:t xml:space="preserve">18.08.2022. 13.18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22-TA-1787</w:t>
    </w:r>
    <w:r>
      <w:br/>
    </w:r>
    <w:r w:rsidR="00000000" w:rsidRPr="00000000" w:rsidDel="00000000">
      <w:rPr>
        <w:rtl w:val="0"/>
      </w:rPr>
      <w:t xml:space="preserve">18.08.2022. 13.18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Izziņa_22-TA-1787.docx</dc:title>
</cp:coreProperties>
</file>

<file path=docProps/custom.xml><?xml version="1.0" encoding="utf-8"?>
<Properties xmlns="http://schemas.openxmlformats.org/officeDocument/2006/custom-properties" xmlns:vt="http://schemas.openxmlformats.org/officeDocument/2006/docPropsVTypes"/>
</file>