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24-TA-831: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(11.08.2023.)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 (Latvijas Vēstnesis, 2023, 153.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8. augusta noteikumu Nr. 443 "Eiropas Savienības Atveseļošanas un noturības mehānisma plāna 1.2. reformu un investīciju virziena "Energoefektivitātes uzlabošana" 1.2.1.4.i. investīcijas "Energoefektivitātes uzlabošana valsts sektora ēkās, t. sk. vēsturiskajās ēkās" īstenošanas noteikumi" (turpmāk - MK noteikumi Nr.443) 30.4. apakšpunkts paredz, ka investīcijas ietvaros projekta attiecināmās izmaksas ir projekta vadības personāla atlīdzības izmaksas, kas radušās uz darba līguma, rīkojuma vai uzņēmuma (pakalpojuma) līguma pamata, tai skaitā valsts sociālās apdrošināšanas obligātās iemaksas no apliekamajām attiecināmajām izmaksām, nepārsniedzot 5 %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kvalitatīvu projektu vadības un koordinācijas procesu nodrošināšanai nepieciešama atbilstoša cilvēkresursu un administratīvā kapacitāte, kā rezultātā papildus projekta vadības personāla atlīdzības izmaksām rodas papildus projekta īstenošanas izmaksas, kas nav tieši saistītas ar projekta rezultātu sasniegšanu, bet atbalsta un nodrošina atbilstošus apstākļus projekta veicamo darbību realizācijai un projekta rezultātu sasniegšanai. Piemēram, finansējuma saņēmēja projekta vadības un projekta īstenošanas administratīvās izmaksas, kas paredzētas iestādes ikdienas darbības nodrošināšanai – izmaksas, kuras nepieciešamas, lai organizācija varētu darboties un kuras nav tieši saistītas ar projekta īstenošanu, piemēram, telpu uzturēšanas un iekārtu izmantošanas izmaksas, kancelejas preces, komunālie un sakaru maksājumi, iestādes vadības un atbalsta struktūrvienību (IT, lietvedība, personālvadība, auditori, komunikācijas vadītāji, u.c.)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MK Noteikumu Nr.443 30.4.punktā noteiktās projekta vadības personāla atlīdzības izmaksas, kas radušās uz darba līguma, rīkojuma vai uzņēmuma (pakalpojuma) līguma pamata, tai skaitā valsts sociālās apdrošināšanas obligātās iemaksas no apliekamajām attiecināmajām izmaksām, nepārsniedzot 5 % no projekta kopējām attiecināmajām izmaksām, nav pietiekamas kvalitatīvai projekta vadības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līdzības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54.pantā noteikto, </w:t>
            </w:r>
            <w:r w:rsidR="00000000" w:rsidRPr="00000000" w:rsidDel="00000000">
              <w:rPr>
                <w:u w:val="single"/>
                <w:rtl w:val="0"/>
              </w:rPr>
              <w:t xml:space="preserve">MK Noteikumu Nr.443 30.punktu papildināt ar jaunu apakšpunktu</w:t>
            </w:r>
            <w:r w:rsidR="00000000" w:rsidRPr="00000000" w:rsidDel="00000000">
              <w:rPr>
                <w:rtl w:val="0"/>
              </w:rPr>
              <w:t xml:space="preserve">, paredzot, ka projekta īstenošanas attiecināmās izmaksas plāno kā vienu izmaksu pozīciju, piemērojot vienoto likmi 7 procentu apmērā no šo noteikumu 30. punktā minētajām izmaksām, </w:t>
            </w:r>
            <w:r w:rsidR="00000000" w:rsidRPr="00000000" w:rsidDel="00000000">
              <w:rPr>
                <w:b w:val="1"/>
                <w:rtl w:val="0"/>
              </w:rPr>
              <w:t xml:space="preserve">vai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MK noteikumu Nr.443 30.punktu papildināt ar jaunu apakšpunktu,</w:t>
            </w:r>
            <w:r w:rsidR="00000000" w:rsidRPr="00000000" w:rsidDel="00000000">
              <w:rPr>
                <w:rtl w:val="0"/>
              </w:rPr>
              <w:t xml:space="preserve"> paredzot, ka projekta īstenošanas attiecināmās izmaksas plāno kā vienu izmaksu pozīciju, piemērojot vienoto likmi 50 procentu apmērā no šo noteikumu 30.4 apakšpunktā minētajām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projekta īstenošanas izmaksas noteiktas 50 procentu apmērā no 30.4. apakšpunktā norādītajām personāla atlīdzības izmaksām un attiecināmās izmaksas, piemēram projektā “Energoefektivitātes paaugstināšana ēkā Bezdelīgu ielā 1a, Rīgā” aprēķinātas šādā apmērā: telpu uzturēšanas un iekārtu izmantošanas izmaksas, kancelejas preces, komunālie un sakaru maksājumi izmaksas – 12 143 euro, biroja tehnikas, sakaru līdzekļu, datoru un nemateriālo ieguldījumu nolietojums – 5 669 euro, iestādes vadības un atbalsta struktūrvienību personāla izmaksas – 43 115 euro, t.i., kopā 60 927 euro jeb, lai vienkāršotu projekta īstenošanas izmaksu vienotās likmes piemērošanu un izmaksu uzskaiti, tā tiek noapaļota no 48,65 procentiem līdz veseliem 50 procentiem no projekta vadības personāla atlīdzības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ierosinām MK Noteikumus Nr.443 papildināt ar nosacījumu, ka gadījumā ja projekta īstenošanas laikā veidojas finansējuma ietaupījums no projekta īstenošanas izmaksām, kurām piemērota vienotā likme, finansējuma saņēmējs to novirza ar projekta rezultātu sasniegšanu saistīto darbību īstenošanai un uzturēšanai.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30.4. apakšpunkts un noteikumu projekts papildināts ar jaunu 30.4.</w:t>
            </w:r>
            <w:r w:rsidR="00000000" w:rsidRPr="00000000" w:rsidDel="00000000">
              <w:rPr>
                <w:vertAlign w:val="superscript"/>
                <w:rtl w:val="0"/>
              </w:rPr>
              <w:t xml:space="preserve">1</w:t>
            </w:r>
            <w:r w:rsidR="00000000" w:rsidRPr="00000000" w:rsidDel="00000000">
              <w:rPr>
                <w:rtl w:val="0"/>
              </w:rPr>
              <w:t xml:space="preserve"> apakšpunktu. Izvērtēts iebildumā minētais attiecībā uz finansējuma ietaupījuma novirzīšanu projekta ar rezultātu sasniegšanu saistīto darbību īstenošanai un uzturēšanai un noteikumu projekts papildināts ar jaunu 37.</w:t>
            </w:r>
            <w:r w:rsidR="00000000" w:rsidRPr="00000000" w:rsidDel="00000000">
              <w:rPr>
                <w:vertAlign w:val="superscript"/>
                <w:rtl w:val="0"/>
              </w:rPr>
              <w:t xml:space="preserve">1</w:t>
            </w:r>
            <w:r w:rsidR="00000000" w:rsidRPr="00000000" w:rsidDel="00000000">
              <w:rPr>
                <w:rtl w:val="0"/>
              </w:rPr>
              <w:t xml:space="preserve"> punktu, paredzot iespēju projekta īstenošanas laikā radušos finansējuma ietaupījumu no projekta vadības izmaksām, kam tiek piemērota vienotā izmaksu likme, novirzīt ar projekta rezultātu sasniegšanu saistīto darbību īstenošanai. Skaidrojam, ka MK noteikumu Nr. 443 49. punkts nosaka finansējuma saņēmēja pienākumus pēc projekta īstenošanas projekta dzīves ciklā, cita starpā 49.1. apakšpunkts nosaka: "nodrošina līdzekļus projektā sasniegto rezultātu uzturēšanai un uztur sasniegtos rādītājus", attiecīgi Atveseļošanas fonda finansējuma ietvaros radušais finansējuma ietaupījums nav pieejams projekta rezultātu uzturēšanai.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saņēmusi VAS “Valsts nekustamie īpašumi”  16.09.2024. vēstuli Nr.7/2-8/6842  “Par projekta “Energoefektivitātes paaugstināšana ēkā Slokas ielā 16, Rīgā" un "Energoefektivitātes paaugstināšana ēkā Bezdelīgu ielā 1a, Rīgā" tālāku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vēstulē informē, ka projektu Nr. 1.2.1.4.i.0/1/23/I/CFLA/007 “Energoefektivitātes paaugstināšana ēkā Slokas ielā 16, Rīgā” (turpmāk- Projekts Nr.1) un Nr. 1.2.1.4.i.0/1/23/I/CFLA/008 “Energoefektivitātes paaugstināšana ēkā Bezdelīgu ielā 1a, Rīgā” (turpmāk- Projekts Nr.2) ietvaros 2024. gada 23. aprīlī VNĪ noslēdz  līgumu ar SIA “Livland Group” par projektēšanas uzdevuma sagatavošanu, t.sk tehniskās apsekošanas atzinuma sagatavošanu, energoaudita pārskata un energosertifikāta aktualizēšanu, kultūrvēsturiskās izpētes atzinuma sagatavošanu, logu un durvju inventarizācijas un būvgaldniecības atzinuma sagatavošanu Projektā Nr. 1 un tehniskās apsekošanas atzinuma sagatavošanu, energoaudita pārskata un energosertifikāta aktualizēšanu Projektā Nr. 2. 2024. gada 5. septembrī VNĪ saņēma SIA “Livland Group” sagatavotos tehniskās apsekošanas atzinumus abos projektos, pēc kuriem secināms, ka bez energoefektivitātes paaugstināšanas pasākumiem ēkās ir nepieciešami papildu būvniecības darbi un izmaksas, lai ēkas spētu pilnvērtīgi funkcionēt un tās varētu nodot ekspluatācijā pēc energoefektivitātes paaugstināšanas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informāciju, VNĪ ieskatā, ir neracionāli un nesaimnieciski veikt tikai energoefektivitātes paaugstināšanas pasākumus abos projektos, jo pēc pasākumu īstenošanas ēkas nebūs iespējams pieņemt ekspluatācijā. Savukārt, visu nepieciešamo pārbūves darbu veikšanai, kā arī arhīvu telpu atbrīvošanai, VNĪ nav nepieciešamo finanšu līdzekļu un laika resursu, tādēļ ir apdraudēta abu projektu sekmīga realizācija.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budžetā nav pieejami papildus līdzekļi projektu neattiecināmo izmaksu segšanai, lūdzam no projektu saraksta izslēgt projektu Nr. 1.2.1.4.i.0/1/23/I/CFLA/007 “Energoefektivitātes paaugstināšana ēkā Slokas ielā 16, Rīgā”.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Daļu projekta (Nr. 1.2.1.4.i.0/1/23/I/CFLA/007 ) īstenošanai paredzētā finansējuma lūdzam pārdalīt projekta “Energoefektivitātes pasākumu veikšana Latvijas Nacionālās operas vēsturiskajā ēkā Aspazijas bulvārī 3, Rīgā” (Nr. 1.2.1.4.i.0/1/23/I/CFLA/005) īstenošanai, ņemot vērā, ka ir noslēdzies Projektē – būvē iepirkums, kura rezultātā nepieciešamas papildus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Kultūras ministrija ir saņēmusi 16.09.2024. VSIA “Latvijas Nacionālā opera un balets” vēstuli Nr. 1.01-5-24/244, kurā informē par projekta aktuālo statusu un nepieciešamo papildus finansējuma apjomu projekta īstenošanai un lūdz palielināt pieejamā finansējuma apjomu no 4 455 125 </w:t>
            </w:r>
            <w:r w:rsidR="00000000" w:rsidRPr="00000000" w:rsidDel="00000000">
              <w:rPr>
                <w:i w:val="1"/>
                <w:rtl w:val="0"/>
              </w:rPr>
              <w:t xml:space="preserve">euro</w:t>
            </w:r>
            <w:r w:rsidR="00000000" w:rsidRPr="00000000" w:rsidDel="00000000">
              <w:rPr>
                <w:rtl w:val="0"/>
              </w:rPr>
              <w:t xml:space="preserve"> uz 11 663 982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anotācijas 3.1.apakšpunkta “Pašreizējā situācija, problēmas un risinājumi” sadaļas “Risinājuma apraksts” 4.punktā norādīto informāciju, ar finansējuma saņēmējiem ir notikušas sarunas par projektu īstenošanas gaitu, ir izvērtēti riski, kā rezultātā ir nepieciešams precizēt Ministru kabineta noteikumu projekta pielikumā norādīto projekta iesniedzēja valsts nekustamo īpašumu vai ēku (ēku grupu) sarakstu, no projekta 2.posma īstenošanas (būvniecība) izslēdzot Rēzeknes Mākslas un dizaina vidusskolu (īstenošanas adrese: Baznīcas iela 34A, Rēzekne) un valsts akciju sabiedrību "Valsts nekustamie īpašumi" (īstenošanas adrese: Bezdelīgu 1A, Rīga). Lai nodrošinātu savstarpēji atbilstošu un skaidri izsekojamu informāciju starp anotācijā un Ministru kabineta noteikumu projekta pielikumā norādīto, lūdzam atbilstoši pārskatīt un precizēt noteikumu projekta pielikumā norādīto finansējuma apmēru iepriekš minētajiem objektiem.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skaidrai, nepārprotamai informācijas izsekojamībai lūdzam papildināt pielikumā norādītos skaidrojumus atsaucē “**” un “***” ar norādi, ka attiecīgajiem projektiem 2.kārta (būvniecība) netiks īstenota 1.2.1.4.i. investīcijas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noteikumu projekta pielikumā.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Risinājumu apraksta 3.punktu ar informāciju par valsts akciju sabiedrības "Valsts nekustamie īpašumi" augstas gatavības projekta Amatu iela 6, Rīgā, tehniskās dokumentācijas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precizēti nosacījumi attiecībā uz finansējuma saņēmēju iesniegtās tehniskās dokumentācijas izvērtēšanu, nosakot, ka finansējuma saņēmēju iesniegtā tehniskā dokumentācija vadības informācijas sistēmā tiek izvērtēta, tiklīdz tā tiek iesniegta, lai mazinātu risku īstenot projektus 1.2.1.4.i. investīcijas īstenošanai paredzētajā laika grafikā. Augstas gatavības projektu statuss joprojām tiek piemērots valsts sabiedrībai ar ierobežotu atbildību "Latvijas Nacionālā opera un balets" (projekta īstenošanas adrese – Aspazijas bulvāris 3, Rīga) un valsts akciju sabiedrībai "Valsts nekustamie īpašumi" (projekta īstenošanas adrese – Amatu iela 6, Rīga), ņemot vērā vadības informācijas sistēmā iesniegto, indikatīvo projektu īstenošanas laika grafiku tehniskās dokumentācijas izstrādei, tādējādi pret visiem finansējuma saņēmējiem tiek piemēroti vienādi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"Latvijas Nacionālā opera un balets" (projekta īstenošanas adrese – Aspazijas bulvāris 3, Rīga) īsteno apvienoto projektēšanas un būvdarbu iepirkumu kā rezultātā 2024. gada vasarā plānots noslēgt līgumus ar būvdarbu veicējiem, kuriem būs nepieciešams veikt avansa maksājumus. Ņemot vērā, ka valsts sabiedrības ar ierobežotu atbildību "Latvijas Nacionālā opera un balets" projekts tiek īstenots kā augstas prioritātes un gatavības projekts, nepieciešams paredzēt risinājumu, kad finansējuma saņēmējs vadības informācijas sistēmā iesniedz daļu no tehniskās dokumentācijas dokumentiem, t.i. dokumentus, kas pamato veikto priekšizpēti energoefektivitātes pilnveidošanas pasākumiem ēkās, piemēram, tāmes, ko Ekonomikas ministrija sadarbībā ar Kultūras ministriju izvērtē un pieņem lēmumu par projekta turpmākas īstenošanas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akciju sabiedrība "Valsts nekustamie īpašumi" (projekta īstenošanas adrese – Amatu iela 6, Rīga) 2024.gada 10.maijā noslēdza apvienoto projektēšanas un būvdarbu līgumu, kas paredz gan ēkas pārbūvi (Eiropas Savienības kohēzijas politikas programmas 2021.–2027. gadam 5.1.1.5. pasākuma ietvaros), gan ēkas energoefektivitātes uzlabošanas pasākumus 1.2.1.4.i. investīcijas ietvaros. 2022.gadā ēkas Amatu ielā 6, Rīgā pārbūvei izstrādāts būvprojekts, kura ietvaros paredzēti energoefektivitātes uzlabošanas pasākumi ar primārās enerģijas ietaupījumu 18% (atbilstoši 2022.gada ēkas pagaidu energosertifikātam). Atbilstoši noslēgtajam apvienotajam projektēšanas un būvdarbu līgumam, Uzņēmējam vēl papildus jau būvprojektā paredzētajiem energoefektivitātes risinājumiem ir jāveic lielās zāles jumta siltināšanas un logu restaurācijas projektēšana darbus un būvdarbus, kuru rezultātā tiks sasniegts 20,28% primārās enerģijas ietaupījums. Minēto papildus projektēšanas un būvdarbu energoefektifitātes pasākumu ieguvumu un atbilstību noteikumu pielikumā noteiktajam minimālam primārās enerģijas ietaupījumam apliecina 2024.gada 6. martā veiktais energoaudits.</w:t>
            </w:r>
            <w:r w:rsidR="00000000" w:rsidRPr="00000000" w:rsidDel="00000000">
              <w:rPr>
                <w:b w:val="1"/>
                <w:rtl w:val="0"/>
              </w:rPr>
              <w:t xml:space="preserve">Ņemot vērā, to ka 2024. gada jūlijā plānots uzsākt būvdarbus par kuriem būs nepieciešams veikt avansa maksājumus, pielīgt papildus energoefektivitātes uzlabošanas darbus un valsts akciju sabiedrība "Valsts nekustamie īpašumi" projekts tiek īstenots kā augstas prioritātes un gatavības projekts, nepieciešams paredzēt risinājumu, kad finansējuma saņēmējs vadības informācijas sistēmā iesniedz daļu no tehniskās dokumentācijas dokumentiem, t.i. dokumentus, kas pamato veikto priekšizpēti energoefektivitātes pilnveidošanas pasākumiem ēkās, piemēram, apstiprinātā būvprojekta pagaidu energosertifikāts, kas apliecina primārās enerģijas ietaupījumu un 2024. gada 6. marta aktualizētais energoaudits, kas apliecina papildus risinājumu izstrādes rezultātā paredzamo primārās enerģijas ietaupījumu, ko Ekonomikas ministrija sadarbībā ar Kultūras ministriju izvērtē un pieņem lēmumu par projekta turpmākas īstenošanas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tiek precizēts MK noteikumu Nr. 443 42. un 44. punkts, 45. punkts tiek svītrots, tā normas pārceļot uz MK noteikumu Nr.443 42. un 44.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 līdz 2026. gada 30. septembrim projektu īstenošanas rezultātā sasniegts kopējās primārās enerģijas patēriņa samazinājums valsts ēkās ar uzlabotu energoefektivitāti vismaz 3875 MWh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Atveseļošanas un noturības mehānisma plāna investīciju projektu izdevumu veikšanas termiņš un investīciju ieviešanas termiņš ir līdz 2026. gada 31. augustam. Attiecīgi līdz 2026. gada 31. augustam ir nepieciešams nodrošināt noteikto rādītāju sasniegšanu, investīcijas darbību veikšanu, maksājumu veikšanu, kā arī nodrošināt visu nepieciešamo pārbaužu veikšanu, lai pārliecinātos par rādītāju sasniegšanu un izdevumu attiecināmību. Ņemot vērā minēto, lūdzam svītrot ierosināto grozījumu MK noteikumu Nr. 443 5.3.2. apakšpunktā attiecībā uz investīcijas ietvaros sasniedzamā mērķa izpildes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noteikumu projekta 5.3.2. apakšpunktā svītrots rādītāja sasniegšanas termiņš 2026. gada 30. septembris.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 līdz 2026. gada 30. jūnijam projektu īstenošanas rezultātā sasniegts kopējās primārās enerģijas patēriņa samazinājums valsts ēkās ar uzlabotu energoefektivitāti vismaz 3875 MWh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Investīcijas ietvaros izdevumi ir attiecināmi, ja tie radušies līdz 2026. gada 1. martam.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plāna rādītājiem, tostarp 1.2.1.4.i. investīcijai “Energoefektivitātes uzlabošana valsts sektora ēkās, t. sk. vēsturiskajās ēkās” (turpmāk - 1.2.1.4.i. investīcija), termiņi noteikti Latvijas atveseļošanas un noturības (turpmāk - AF) plāna 2.pielikumā un Padomes īstenošanas lēmumā par Latvijas atveseļošanas un noturības mehānisma plāna novērtējuma apstiprināšanu (turpmāk – CID). Līdz 2026.gada 31.augustam nepieciešams nodrošināt noteikto rādītāju sasniegšanu, investīcijas darbību veikšanu, maksājumu veikšanu, kā arī nodrošināt visu nepieciešamo pārbaužu veikšanu, lai pārliecinātos par rādītāju sasniegšanu un izdevumu attiecināmību.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AF plāna 2.pielikumā noteiktajam, 1.2.1.4.i. investīcijas īstenošana plānota 2026.gada 3.ceturksnī.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ministrijas vadlīniju “Vadlīnijas informatīvā ziņojuma vai Ministru kabineta noteikumu izstrādei par Eiropas Savienības Atveseļošanas un noturības mehānisma plāna reformas vai investīcijas ieviešanu” (Variants:3) 60.punktā noteikto, lai līgumslēdzējs, nozares ministrija vai Valsts kanceleja varētu veikt visas nepieciešamās pārbaudes, noslēguma maksājumus un sagatavot nepieciešamo informāciju pārvaldības deklarācijas un audita kopsavilkuma sagatavošanai saskaņā ar Eiropas Savienības Atveseļošanas un noturības mehānisma un nacionālā ekonomikas un atveseļošanas un noturības plāna īstenošanas uzraudzības kārtību, AF plāna investīciju projekti ir jāīsteno un rādītāji ir jāsasniedz, pievienojot to sasniegšanu pamatojošo dokumentāciju, vēlākais līdz 2026.gada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ēkas Amatu ielā 6, Bonaventuras iela 10 un Slokas iela 16 ir kultūrvēsturiskas ēkas, kuru energoefektivitātes uzlabošanas pasākumu īstenošanai nepieciešama saudzīga un profesionāla pieeja, ņemot vērā ēku vecumu un nolietojumu. Kultūrvēsturisku ēku gadījumā nav pieļaujami klasiskie risinājumi, piemēram fasādes siltināšana. Ievērojot ēku vēsturisko vērtību, enerģijas patēriņa mazināšanai nepieciešami kompleksi risinājumi ēku norobežojošajās konstrukcijās un ēku inženiertehniskajās sistēmās, t.sk. jāveic apjomīgi logu restaurācijas darbi, lai nodrošinātu ēkas sākotnējo arhitektonisko detaļu vizuālo un tehnisko stāvokli. Turklāt izstrādājot kultūrvēsturisku ēku pārbūves būvprojektu vai būvdarbu izpildes laikā konstatējot nepieciešamību veikt izmaiņas, risinājumi ir jāsaskaņo ar Nacionālās kultūras mantojuma pārvaldi, kas rada papildus riskus attiecībā uz darbu izpildes termiņiem. Tā pat veicot būvdarbus pastāv augsts risks atklāt iepriekš neparedzamus apstākļus, kas veicina nepieciešamību veikt būvprojekta, risinājumu vai tehnoloģiju maiņu, kas būtiski ietekmē plānoto projektu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1.2.1.4.i. investīcijas projektu sarežģītību, arhitektonisko nozīmi un darbu izpildei nepieciešamo optimālo termiņu, kas noteikts pamatojoties uz veiktajām arhitektoniskajām izpētēm, energopārskatiem un tehniskās apsekošanas atzinumiem, optimāli nepieciešamais laiks investīcijas projektu īstenošanai, neiekļaujot laika rezervi, ir 2026.gada 30.jūnijs.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riskus attiecībā uz 1.2.1.4.i. investīcijas projektu īstenošanu šobrīd noteikumos paredzētajā termiņā, rada apstāklis, ka projektos, kuri nav augstas gatavības projekti un tiem nav veiktas priekšizpētes attiecībā uz sasniedzamo primārās enerģijas ietaupījumu, nav iespējams prognozēt tā turpmāko īstenošanu un finansējuma pieejamību būvdarbiem. Attiecīgi paskaidrojam, ka minētajos gadījumos, ir jāveic atsevišķi iepirkumi projektēšanai un būvniecībai, lai pamatojoties uz projektēšanas (t.sk. izpēšu) rezultātā izstrādātajiem risinājumiem gūtu pārliecību par primārās enerģijas ietaupījumu, kas nav mazāks par šo noteikumu pielikumā norādīto, un pieņemtu lēmumu par projekta turpmāko īstenošanu – būvniecību. Izvērtējot projektu īstenošanas laika grafiku, veicamie procesi pagarina projektu īstenošanai nepieciešamo laiku par vismaz 1 - 3 mēnešiem, atkarībā no projekta sarežģītības pakāpes.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aicinām MK noteikumu Nr. 443 8. un 40.punktā veikt attiecīgus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Investīcijas ietvaros izdevumi ir attiecināmi, ja tie radušies līdz 2026. gada 30.jūnijam.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40. punkts un papildināta informācija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Investīcijas ietvaros izdevumi ir attiecināmi, ja tie radušies līdz 2026. gada 30. jūnijam.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projekta iesniegumā norādītais kopējais finansējums atbilst šo noteikumu </w:t>
            </w:r>
            <w:r w:rsidR="00000000" w:rsidRPr="00000000" w:rsidDel="00000000">
              <w:rPr>
                <w:rtl w:val="0"/>
              </w:rPr>
              <w:t xml:space="preserve">​pielikumā</w:t>
            </w:r>
            <w:r w:rsidR="00000000" w:rsidRPr="00000000" w:rsidDel="00000000">
              <w:rPr>
                <w:rtl w:val="0"/>
              </w:rPr>
              <w:t xml:space="preserve"> norādītajai avansa summai vai priekšfinansējumam, kas nav lielāks par 10 % no paredzamās būvdarbu līguma summas (ar pievienotās vērtības nodokli) un kuru paredzēts izlietot atbilstoši šo noteikumu </w:t>
            </w:r>
            <w:r w:rsidR="00000000" w:rsidRPr="00000000" w:rsidDel="00000000">
              <w:rPr>
                <w:rtl w:val="0"/>
              </w:rPr>
              <w:t xml:space="preserve">30.1.</w:t>
            </w:r>
            <w:r w:rsidR="00000000" w:rsidRPr="00000000" w:rsidDel="00000000">
              <w:rPr>
                <w:rtl w:val="0"/>
              </w:rPr>
              <w:t xml:space="preserve"> un </w:t>
            </w:r>
            <w:r w:rsidR="00000000" w:rsidRPr="00000000" w:rsidDel="00000000">
              <w:rPr>
                <w:rtl w:val="0"/>
              </w:rPr>
              <w:t xml:space="preserve">30.2.</w:t>
            </w:r>
            <w:r w:rsidR="00000000" w:rsidRPr="00000000" w:rsidDel="00000000">
              <w:rPr>
                <w:rtl w:val="0"/>
              </w:rPr>
              <w:t xml:space="preserve"> apakšpunktam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anotācijas 1.3. sadaļas Risinājumu apraksta 2.punktā minēto ([ .. ] Plānotā izmaksu sliekšņa paaugstināšana ir taisnīga, objektīva, izsekojama, balstās uz vienotu pieeju un ir attiecināma uz visiem finansējuma saņēmējiem projektu abu posmu īstenošanā, kas to plāno izmantot. [ .. ]), skaidrības labad lūdzam precizēt noteikumu 21.1.3.apakšpunktu, 31.punktu un noteikumu pielikuma kolonnas “10 %* no būvdarbu līguma summas (ar PVN), </w:t>
            </w:r>
            <w:r w:rsidR="00000000" w:rsidRPr="00000000" w:rsidDel="00000000">
              <w:rPr>
                <w:i w:val="1"/>
                <w:rtl w:val="0"/>
              </w:rPr>
              <w:t xml:space="preserve">euro</w:t>
            </w:r>
            <w:r w:rsidR="00000000" w:rsidRPr="00000000" w:rsidDel="00000000">
              <w:rPr>
                <w:rtl w:val="0"/>
              </w:rPr>
              <w:t xml:space="preserve">” atsauci, nosakot, ka attiecīgā projekta priekšfinansējumu, kas nav lielāks par 10 % no paredzamās būvdarbu līguma summas, pieļaujams izlietot atbilstoši noteikumu 30.1. un 30.2. apakšpunktam, tostarp iekļaujot noteikumu 30.4.apakšpunktā noteiktās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MK noteikumu Nr.443 21.1.3.apakšpunktu lūdzam izteikt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projekta iesniegumā norādītais kopējais finansējums atbilst šo noteikumu ​pielikumā norādītajai avansa summai vai priekšfinansējumam, kas nav lielāks par 10 % no paredzamās būvdarbu līguma summas (ar pievienotās vērtības nodokli) un kuru paredzēts izlietot atbilstoši šo noteikumu 30.1. un 30.2. apakšpunktam, tostarp iekļaujot 30.4.apakšpunktā minētās izmaksas par projekta pirmā posma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21.1.3. apakšpunkts, 31. punkts, pielikums, kā arī papildināta informācija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projekta iesniegumā norādītais kopējais finansējums atbilst šo noteikumu </w:t>
            </w:r>
            <w:r w:rsidR="00000000" w:rsidRPr="00000000" w:rsidDel="00000000">
              <w:rPr>
                <w:rtl w:val="0"/>
              </w:rPr>
              <w:t xml:space="preserve">​pielikumā</w:t>
            </w:r>
            <w:r w:rsidR="00000000" w:rsidRPr="00000000" w:rsidDel="00000000">
              <w:rPr>
                <w:rtl w:val="0"/>
              </w:rPr>
              <w:t xml:space="preserve"> norādītajai avansa summai vai priekšfinansējumam, kas nav lielāks par 10 % no paredzamās būvdarbu līguma summas (ar pievienotās vērtības nodokli) un kuru paredzēts izlietot atbilstoši šo noteikumu </w:t>
            </w:r>
            <w:r w:rsidR="00000000" w:rsidRPr="00000000" w:rsidDel="00000000">
              <w:rPr>
                <w:rtl w:val="0"/>
              </w:rPr>
              <w:t xml:space="preserve">30.1.</w:t>
            </w:r>
            <w:r w:rsidR="00000000" w:rsidRPr="00000000" w:rsidDel="00000000">
              <w:rPr>
                <w:rtl w:val="0"/>
              </w:rPr>
              <w:t xml:space="preserve"> un </w:t>
            </w:r>
            <w:r w:rsidR="00000000" w:rsidRPr="00000000" w:rsidDel="00000000">
              <w:rPr>
                <w:rtl w:val="0"/>
              </w:rPr>
              <w:t xml:space="preserve">30.2.</w:t>
            </w:r>
            <w:r w:rsidR="00000000" w:rsidRPr="00000000" w:rsidDel="00000000">
              <w:rPr>
                <w:rtl w:val="0"/>
              </w:rPr>
              <w:t xml:space="preserve"> apakšpunktam</w:t>
            </w:r>
            <w:r w:rsidR="00000000" w:rsidRPr="00000000" w:rsidDel="00000000">
              <w:rPr>
                <w:rtl w:val="0"/>
              </w:rPr>
              <w:t xml:space="preserve">, tostarp iekļaujot 30.4. un 30.4.</w:t>
            </w:r>
            <w:r w:rsidR="00000000" w:rsidRPr="00000000" w:rsidDel="00000000">
              <w:rPr>
                <w:vertAlign w:val="superscript"/>
                <w:rtl w:val="0"/>
              </w:rPr>
              <w:t xml:space="preserve">1</w:t>
            </w:r>
            <w:r w:rsidR="00000000" w:rsidRPr="00000000" w:rsidDel="00000000">
              <w:rPr>
                <w:rtl w:val="0"/>
              </w:rPr>
              <w:t xml:space="preserve"> apakšpunktā minētās izmaksas par projekta pirmā posma īstenošanu. Nosacījums neattiecas uz šo noteikumu pielikumā minēto projekta iesniedzēju Latvijas Kultūras akadēmija (projekta īstenošanas adrese – Miera iela 58a, Rīga) un projekta iesniedzēju valsts akciju sabiedrība "Valsts nekustamie īpašumi" (projekta īstenošanas adrese – Meirānu iela 2, Rīga, Pulka iela 8, Rīga, Lāčplēša iela 4, Valmiera, Skandu iela 14, Rīga, Talejas iela 1, Rīga);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projekta vadības personāla atlīdzības izmaksas, kas radušās uz darba līguma, rīkojuma vai uzņēmuma (pakalpojuma) līguma pamata, tai skaitā valsts sociālās apdrošināšanas obligātās iemaksas no apliekamajām attiecināmajām izmaksām, nepārsniedzot 5 %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projekta vadības un īstenošanas personāla atalgojuma jautājumu, kā arī virzītu VAS "Valsts nekustamie īpašumi" uz Eiropas Savienības Atveseļošanas un noturības mehānisma plāna 1.2. reformu un investīciju virziena “Energoefektivitātes uzlabošana” 1.2.1.4.i. investīcijas “Energoefektivitātes uzlabošana valsts sektora ēkās, t. sk. vēsturiskajās ēkās” līgumu par projektu īstenošanu parakstīšanu, kas ļautu sekmīgi ieviest programmu un sasniegt sākotnēji plānotos rezultātus, grozījumos lūdzam paredzēt, ka projekta vadības personāla atlīdzības izmaksas, kas radušās uz darba līguma, rīkojuma vai uzņēmuma (pakalpojuma) līguma pamata, tai skaitā valsts sociālās apdrošināšanas obligātās iemaksas no apliekamajām attiecināmajām izmaksām, var būt lielākas par 5 procentiem, piemērojot vienoto likmi 7 procentu apmērā no šo noteikumu 30. punktā minētajām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kvalitatīvu projektu vadības un koordinācijas procesu nodrošināšanai nepieciešama atbilstoša cilvēkresursu un administratīvā kapacitāte, kā rezultātā papildu projekta vadības izmaksām, projekta īstenošanā rodas netiešās attiecināmās izmaksas, kas nav tieši saistītas ar projekta rezultātu sasniegšanu, bet atbalsta un nodrošina atbilstošus apstākļus projekta veicamo darbību realizācijai un projekta rezultātu sasniegšanai. Piemēram, Finansējuma saņēmēja projekta vadības un projekta īstenošanas personāla administratīvās izmaksas, kas paredzētas iestādes ikdienas darbības nodrošināšanai – izmaksas, kuras nepieciešamas, lai organizācija varētu darboties un kuras nav tieši saistītas ar projekta īstenošanu, piemēram, telpu īre un iekārtu izmantošanas izmaksas, kancelejas preces, komunālie un sakaru maksājumi, iestādes vadības un atbalsta struktūrvienību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personāla atlīdzības izmaksas, kas radušās uz darba līguma, rīkojuma vai uzņēmuma (pakalpojuma) līguma pamata, tai skaitā valsts sociālās apdrošināšanas obligātās iemaksas no apliekamajām attiecināmajām izmaksām, nepārsniedzot 7 %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30.4. apakšpunkts un noteikumu projekts papildināts ar jaunu 30.4.</w:t>
            </w:r>
            <w:r w:rsidR="00000000" w:rsidRPr="00000000" w:rsidDel="00000000">
              <w:rPr>
                <w:vertAlign w:val="superscript"/>
                <w:rtl w:val="0"/>
              </w:rPr>
              <w:t xml:space="preserve">1 </w:t>
            </w:r>
            <w:r w:rsidR="00000000" w:rsidRPr="00000000" w:rsidDel="00000000">
              <w:rPr>
                <w:rtl w:val="0"/>
              </w:rPr>
              <w:t xml:space="preserve">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projekta vadības personāla atlīdzības izmaksas, kas radušās uz darba līguma, rīkojuma vai uzņēmuma (pakalpojuma) līguma pamata, tai skaitā valsts sociālās apdrošināšanas obligātās iemaksas no apliekamajām attiecināmajām izmaksām, projekta administrēšanas izmaksas un īstenošanas personāla atlīdzības izmaksas - projekta netiešās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w:t>
            </w:r>
            <w:r w:rsidR="00000000" w:rsidRPr="00000000" w:rsidDel="00000000">
              <w:rPr>
                <w:vertAlign w:val="superscript"/>
                <w:rtl w:val="0"/>
              </w:rPr>
              <w:t xml:space="preserve">1</w:t>
            </w:r>
            <w:r w:rsidR="00000000" w:rsidRPr="00000000" w:rsidDel="00000000">
              <w:rPr>
                <w:rtl w:val="0"/>
              </w:rPr>
              <w:t xml:space="preserve"> šo noteikumu 30.4. apakšpunktā minētās izmaksas plāno kā vienu izmaksu pozīciju, piemērojot vienoto izmaksu likmi līdz 7 % apmērā no šo noteikumu pielikumā minētām paredzēto būvdarbu līgumu summām;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izmantot vienotu likmi netiešo izmaksu segšanai, lūdzam noteikumu projekta 4.punktā izteiktā 30.4.apakšpunktā noteiktās izmaksas noteikt Ministru kabineta 2023.gada 8.augusta noteikumos Nr.443 “Eiropas Savienības Atveseļošanas un noturības mehānisma plāna 1.2. reformu un investīciju virziena "Energoefektivitātes uzlabošana" 1.2.1.4.i. investīcijas "Energoefektivitātes uzlabošana valsts sektora ēkās, t. sk. vēsturiskajās ēkās" īstenošanas noteikumi" (turpmāk - noteikumi Nr. 443) kā netiešās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atkārtoti izvērtēt noteikumu Nr. 443 30. punktā noteiktās izmaksas, kuras varētu klasificēt kā netiešās attiecināmās izmaksas, kā piemēram, publicitātes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Eiropas Parlamenta un Padomes 2021. gada 14.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54. pantam, ja darbības netiešo izmaksu segšanai izmanto vienotu likmi, tā var pamatoties uz likmi līdz 7 % apmērā no attiecināmajām tiešajām izmaksām. Ņemot vērā iepriekšminēto, lūdzam precizēt noteikumu projekta 5. punktu, skaidri nosakot, ka projekta vadības personāla atlīdzības izmaksas, kas radušās uz darba līguma, rīkojuma vai uzņēmuma (pakalpojuma) līguma pamata, tai skaitā valsts sociālās apdrošināšanas obligātās iemaksas no apliekamajām attiecināmajām izmaksām, projekta administrēšanas izmaksas un īstenošanas personāla atlīdzības izmaksas plāno kā vienu izmaksu pozīciju, piemērojot vienoto izmaksu likmi, kas ir 7 % no noteikumu Nr. 443 30. punktā noteiktajām izmaksām, nevis būvdarbu izmaksām, kas nav atbilstoši iepriekšminētās regulas prasībām, vienlaikus precizējot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30.4</w:t>
            </w:r>
            <w:r w:rsidR="00000000" w:rsidRPr="00000000" w:rsidDel="00000000">
              <w:rPr>
                <w:vertAlign w:val="superscript"/>
                <w:rtl w:val="0"/>
              </w:rPr>
              <w:t xml:space="preserve">1</w:t>
            </w:r>
            <w:r w:rsidR="00000000" w:rsidRPr="00000000" w:rsidDel="00000000">
              <w:rPr>
                <w:rtl w:val="0"/>
              </w:rPr>
              <w:t xml:space="preserve"> un 37.</w:t>
            </w:r>
            <w:r w:rsidR="00000000" w:rsidRPr="00000000" w:rsidDel="00000000">
              <w:rPr>
                <w:vertAlign w:val="superscript"/>
                <w:rtl w:val="0"/>
              </w:rPr>
              <w:t xml:space="preserve">1</w:t>
            </w:r>
            <w:r w:rsidR="00000000" w:rsidRPr="00000000" w:rsidDel="00000000">
              <w:rPr>
                <w:rtl w:val="0"/>
              </w:rPr>
              <w:t xml:space="preserve"> apakšpunkts un papildināta informācija anotācijas 1.3. sadaļā.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w:t>
            </w:r>
            <w:r w:rsidR="00000000" w:rsidRPr="00000000" w:rsidDel="00000000">
              <w:rPr>
                <w:vertAlign w:val="superscript"/>
                <w:rtl w:val="0"/>
              </w:rPr>
              <w:t xml:space="preserve">1</w:t>
            </w:r>
            <w:r w:rsidR="00000000" w:rsidRPr="00000000" w:rsidDel="00000000">
              <w:rPr>
                <w:rtl w:val="0"/>
              </w:rPr>
              <w:t xml:space="preserve"> šo noteikumu 30.4. apakšpunktā norādītās izmaksas plāno kā vienu izmaksu pozīciju, piemērojot netiešo izmaksu vienoto likmi septiņu procentu apmērā no šo noteikumu 30.1., 30.2., 30.3., 30.5., 30.6., 30.7., 30.8., 30.9. un 30.10. apakšpunktā minētajām tiešajām attiecināmajām izmaksām saskaņā ar Eiropas Parlamenta un Padomes 2021. gada 14.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54. panta pirmās daļas "a" apakšpunktu;”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w:t>
            </w:r>
            <w:r w:rsidR="00000000" w:rsidRPr="00000000" w:rsidDel="00000000">
              <w:rPr>
                <w:vertAlign w:val="superscript"/>
                <w:rtl w:val="0"/>
              </w:rPr>
              <w:t xml:space="preserve">1</w:t>
            </w:r>
            <w:r w:rsidR="00000000" w:rsidRPr="00000000" w:rsidDel="00000000">
              <w:rPr>
                <w:rtl w:val="0"/>
              </w:rPr>
              <w:t xml:space="preserve"> šo noteikumu 30.4. apakšpunktā minētās izmaksas plāno kā vienu izmaksu pozīciju, piemērojot vienoto izmaksu likmi 7 % apmērā no šo noteikumu pielikumā minētām paredzēto būvdarbu līgumu summām;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un noturības mehānisma projektos var noteiktām izmaksu pozīcijām piemērot vienkāršotās izmaksas, bet šādā gadījumā aicinām izmantot labo praksi atbilstoši Eiropas Savienības fondu 2021.-2027. gada plānošanas periodā (turpmāk - Eiropas Savienības fondi) esošajai pieejai. Ņemot vērā minēto, vēršam uzmanību, ka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54. pantam </w:t>
            </w:r>
            <w:r w:rsidR="00000000" w:rsidRPr="00000000" w:rsidDel="00000000">
              <w:rPr>
                <w:b w:val="1"/>
                <w:rtl w:val="0"/>
              </w:rPr>
              <w:t xml:space="preserve">netiešajām izmaksām var piemērot likmi līdz 7 % apmērā no attiecināmajām tiešajām izmaksām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noteikumu projekta 30.4.</w:t>
            </w:r>
            <w:r w:rsidR="00000000" w:rsidRPr="00000000" w:rsidDel="00000000">
              <w:rPr>
                <w:vertAlign w:val="superscript"/>
                <w:rtl w:val="0"/>
              </w:rPr>
              <w:t xml:space="preserve">1 </w:t>
            </w:r>
            <w:r w:rsidR="00000000" w:rsidRPr="00000000" w:rsidDel="00000000">
              <w:rPr>
                <w:rtl w:val="0"/>
              </w:rPr>
              <w:t xml:space="preserve">punktu un veikt nepieciešamos precizējumus anotācijā, korekti pārņemot Eiropas Savienības fondu praksi, ievērojot Regulā 2021/1060 ietvertās prasības attiecībā uz vienotajām likmēm, kā arī ES fondu 2021.-2027.gada plānošanas periodā noteiktos nosacījumus vienkāršoto izmaksu izmantošanas iespējām un to piemērošanai.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30.4.</w:t>
            </w:r>
            <w:r w:rsidR="00000000" w:rsidRPr="00000000" w:rsidDel="00000000">
              <w:rPr>
                <w:vertAlign w:val="superscript"/>
                <w:rtl w:val="0"/>
              </w:rPr>
              <w:t xml:space="preserve">1</w:t>
            </w:r>
            <w:r w:rsidR="00000000" w:rsidRPr="00000000" w:rsidDel="00000000">
              <w:rPr>
                <w:rtl w:val="0"/>
              </w:rPr>
              <w:t xml:space="preserve"> apakšpunkts un papildināta informācija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w:t>
            </w:r>
            <w:r w:rsidR="00000000" w:rsidRPr="00000000" w:rsidDel="00000000">
              <w:rPr>
                <w:vertAlign w:val="superscript"/>
                <w:rtl w:val="0"/>
              </w:rPr>
              <w:t xml:space="preserve">1</w:t>
            </w:r>
            <w:r w:rsidR="00000000" w:rsidRPr="00000000" w:rsidDel="00000000">
              <w:rPr>
                <w:rtl w:val="0"/>
              </w:rPr>
              <w:t xml:space="preserve"> šo noteikumu 30.4. apakšpunktā norādītās izmaksas plāno kā vienu izmaksu pozīciju, piemērojot netiešo izmaksu vienoto likmi septiņu procentu apmērā no šo noteikumu 30.1., 30.2., 30.3., 30.5., 30.6., 30.7., 30.8., 30.9. un 30.10. apakšpunktā minētajām tiešajām attiecināmajām izmaksām saskaņā ar Eiropas Parlamenta un Padomes 2021. gada 14.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54. panta pirmās daļas "a" apakšpunktu;”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w:t>
            </w:r>
            <w:r w:rsidR="00000000" w:rsidRPr="00000000" w:rsidDel="00000000">
              <w:rPr>
                <w:rtl w:val="0"/>
              </w:rPr>
              <w:t xml:space="preserve">30.1.</w:t>
            </w:r>
            <w:r w:rsidR="00000000" w:rsidRPr="00000000" w:rsidDel="00000000">
              <w:rPr>
                <w:rtl w:val="0"/>
              </w:rPr>
              <w:t xml:space="preserve"> un </w:t>
            </w:r>
            <w:r w:rsidR="00000000" w:rsidRPr="00000000" w:rsidDel="00000000">
              <w:rPr>
                <w:rtl w:val="0"/>
              </w:rPr>
              <w:t xml:space="preserve">30.2.</w:t>
            </w:r>
            <w:r w:rsidR="00000000" w:rsidRPr="00000000" w:rsidDel="00000000">
              <w:rPr>
                <w:rtl w:val="0"/>
              </w:rPr>
              <w:t xml:space="preserve"> apakšpunktā</w:t>
            </w:r>
            <w:r w:rsidR="00000000" w:rsidRPr="00000000" w:rsidDel="00000000">
              <w:rPr>
                <w:rtl w:val="0"/>
              </w:rPr>
              <w:t xml:space="preserve"> minēto attiecināmo izmaksu kopsumma nepārsniedz 10 % no būvdarbu līguma summas. Ierobežojumu var nepiemērot, ja projekta iesniedzējs pamato, ka šīs prasības piemērošana nav iespējama.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anotācijas 1.3. sadaļas Risinājumu apraksta 2.punktā minēto ([ .. ] Plānotā izmaksu sliekšņa paaugstināšana ir taisnīga, objektīva, izsekojama, balstās uz vienotu pieeju un ir attiecināma uz visiem finansējuma saņēmējiem projektu abu posmu īstenošanā, kas to plāno izmantot. [ .. ]), skaidrības labad lūdzam precizēt noteikumu 21.1.3.apakšpunktu, 31.punktu un noteikumu pielikuma kolonnas “10 %* no būvdarbu līguma summas (ar PVN), euro” atsauci, nosakot, ka attiecīgā projekta priekšfinansējumu, kas nav lielāks par 10 % no paredzamās būvdarbu līguma summas, pieļaujams izlietot atbilstoši noteikumu 30.1. un 30.2. apakšpunktam, tostarp iekļaujot noteikumu 30.4.apakšpunktā noteiktās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MK noteikumu Nr.443 31.punktu lūdzam izteikt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30.1. un 30.2. apakšpunktā minēto attiecināmo izmaksu kopsumma (tai skaitā 30.4.apakšpunktā minētās izmaksas par projekta pirmā posma īstenošanu) nepārsniedz 10 % no būvdarbu līguma summas. Ierobežojumu var nepiemērot, ja projekta iesniedzējs pamato, ka šīs prasības piemērošana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21.1.3. apakšpunkts, 31. punkts, pielikums, kā arī papildināta informācija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w:t>
            </w:r>
            <w:r w:rsidR="00000000" w:rsidRPr="00000000" w:rsidDel="00000000">
              <w:rPr>
                <w:rtl w:val="0"/>
              </w:rPr>
              <w:t xml:space="preserve">30.1.</w:t>
            </w:r>
            <w:r w:rsidR="00000000" w:rsidRPr="00000000" w:rsidDel="00000000">
              <w:rPr>
                <w:rtl w:val="0"/>
              </w:rPr>
              <w:t xml:space="preserve"> un </w:t>
            </w:r>
            <w:r w:rsidR="00000000" w:rsidRPr="00000000" w:rsidDel="00000000">
              <w:rPr>
                <w:rtl w:val="0"/>
              </w:rPr>
              <w:t xml:space="preserve">30.2.</w:t>
            </w:r>
            <w:r w:rsidR="00000000" w:rsidRPr="00000000" w:rsidDel="00000000">
              <w:rPr>
                <w:rtl w:val="0"/>
              </w:rPr>
              <w:t xml:space="preserve"> apakšpunktā</w:t>
            </w:r>
            <w:r w:rsidR="00000000" w:rsidRPr="00000000" w:rsidDel="00000000">
              <w:rPr>
                <w:rtl w:val="0"/>
              </w:rPr>
              <w:t xml:space="preserve"> minēto attiecināmo izmaksu kopsumma, tai skaitā šo noteikumu 30.4. un 30.4.</w:t>
            </w:r>
            <w:r w:rsidR="00000000" w:rsidRPr="00000000" w:rsidDel="00000000">
              <w:rPr>
                <w:vertAlign w:val="superscript"/>
                <w:rtl w:val="0"/>
              </w:rPr>
              <w:t xml:space="preserve">1</w:t>
            </w:r>
            <w:r w:rsidR="00000000" w:rsidRPr="00000000" w:rsidDel="00000000">
              <w:rPr>
                <w:rtl w:val="0"/>
              </w:rPr>
              <w:t xml:space="preserve"> apakšpunktā minētās izmaksas par projekta pirmā posma īstenošanu, nepārsniedz 10 % no būvdarbu līguma summas. Ierobežojumu var nepiemērot, ja projekta iesniedzējs pamato, ka šīs prasības piemērošana nav iespējama.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projektu īsteno  līdz 2026. gada 1. martam un visus dokumentus, kas apliecina projekta īstenošanas pabeigšanu un visu uzņemto saistību izpildi, iesniedz aģentūrā ne vēlāk kā 2026. gada 1. jūnijā.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plāna rādītājiem, tostarp 1.2.1.4.i. investīcijai “Energoefektivitātes uzlabošana valsts sektora ēkās, t. sk. vēsturiskajās ēkās” (turpmāk - 1.2.1.4.i. investīcija), termiņi noteikti Latvijas atveseļošanas un noturības (turpmāk - AF) plāna 2.pielikumā un Padomes īstenošanas lēmumā par Latvijas atveseļošanas un noturības mehānisma plāna novērtējuma apstiprināšanu (turpmāk – CID). Līdz 2026.gada 31.augustam nepieciešams nodrošināt noteikto rādītāju sasniegšanu, investīcijas darbību veikšanu, maksājumu veikšanu, kā arī nodrošināt visu nepieciešamo pārbaužu veikšanu, lai pārliecinātos par rādītāju sasniegšanu un izdevumu attiecināmību.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AF plāna 2.pielikumā noteiktajam, 1.2.1.4.i. investīcijas īstenošana plānota 2026.gada 3.ceturksnī.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ministrijas vadlīniju “Vadlīnijas informatīvā ziņojuma vai Ministru kabineta noteikumu izstrādei par Eiropas Savienības Atveseļošanas un noturības mehānisma plāna reformas vai investīcijas ieviešanu” (Variants:3) 60.punktā noteikto, lai līgumslēdzējs, nozares ministrija vai Valsts kanceleja varētu veikt visas nepieciešamās pārbaudes, noslēguma maksājumus un sagatavot nepieciešamo informāciju pārvaldības deklarācijas un audita kopsavilkuma sagatavošanai saskaņā ar Eiropas Savienības Atveseļošanas un noturības mehānisma un nacionālā ekonomikas un atveseļošanas un noturības plāna īstenošanas uzraudzības kārtību, AF plāna investīciju projekti ir jāīsteno un rādītāji ir jāsasniedz, pievienojot to sasniegšanu pamatojošo dokumentāciju, vēlākais līdz 2026.gada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ēkas Amatu ielā 6, Bonaventuras iela 10 un Slokas iela 16 ir kultūrvēsturiskas ēkas, kuru energoefektivitātes uzlabošanas pasākumu īstenošanai nepieciešama saudzīga un profesionāla pieeja, ņemot vērā ēku vecumu un nolietojumu. Kultūrvēsturisku ēku gadījumā nav pieļaujami klasiskie risinājumi, piemēram fasādes siltināšana. Ievērojot ēku vēsturisko vērtību, enerģijas patēriņa mazināšanai nepieciešami kompleksi risinājumi ēku norobežojošajās konstrukcijās un ēku inženiertehniskajās sistēmās, t.sk. jāveic apjomīgi logu restaurācijas darbi, lai nodrošinātu ēkas sākotnējo arhitektonisko detaļu vizuālo un tehnisko stāvokli. Turklāt izstrādājot kultūrvēsturisku ēku pārbūves būvprojektu vai būvdarbu izpildes laikā konstatējot nepieciešamību veikt izmaiņas, risinājumi ir jāsaskaņo ar Nacionālās kultūras mantojuma pārvaldi, kas rada papildus riskus attiecībā uz darbu izpildes termiņiem. Tā pat veicot būvdarbus pastāv augsts risks atklāt iepriekš neparedzamus apstākļus, kas veicina nepieciešamību veikt būvprojekta, risinājumu vai tehnoloģiju maiņu, kas būtiski ietekmē plānoto projektu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1.2.1.4.i. investīcijas projektu sarežģītību, arhitektonisko nozīmi un darbu izpildei nepieciešamo optimālo termiņu, kas noteikts pamatojoties uz veiktajām arhitektoniskajām izpētēm, energopārskatiem un tehniskās apsekošanas atzinumiem, optimāli nepieciešamais laiks investīcijas projektu īstenošanai, neiekļaujot laika rezervi, ir 2026.gada 30.jūnijs.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riskus attiecībā uz 1.2.1.4.i. investīcijas projektu īstenošanu šobrīd noteikumos paredzētajā termiņā, rada apstāklis, ka projektos, kuri nav augstas gatavības projekti un tiem nav veiktas priekšizpētes attiecībā uz sasniedzamo primārās enerģijas ietaupījumu, nav iespējams prognozēt tā turpmāko īstenošanu un finansējuma pieejamību būvdarbiem. Attiecīgi paskaidrojam, ka minētajos gadījumos, ir jāveic atsevišķi iepirkumi projektēšanai un būvniecībai, lai pamatojoties uz projektēšanas (t.sk. izpēšu) rezultātā izstrādātajiem risinājumiem gūtu pārliecību par primārās enerģijas ietaupījumu, kas nav mazāks par šo noteikumu pielikumā norādīto, un pieņemtu lēmumu par projekta turpmāko īstenošanu – būvniecību. Izvērtējot projektu īstenošanas laika grafiku, veicamie procesi pagarina projektu īstenošanai nepieciešamo laiku par vismaz 1 - 3 mēnešiem, atkarībā no projekta sarežģītības pakāpes.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aicinām MK noteikumu Nr. 443 8. un 40.punktā veikt attiecīgus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projektu īsteno  līdz 2026. gada 30.jūnijam un visus dokumentus, kas apliecina projekta īstenošanas pabeigšanu un visu uzņemto saistību izpildi, iesniedz aģentūrā ne vēlāk kā 2026. gada 30. jūnijā.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40. punkts un papildināta informācija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projektu īsteno līdz 2026. gada 30. jūnijam un visus dokumentus, kas apliecina projekta īstenošanas pabeigšanu un visu uzņemto saistību izpildi, iesniedz aģentūrā ne vēlāk kā 2026. gada 30. jūnijā.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Ja visu apstiprināto projektu kopējās izmaksas pārsniedz šo noteikumu ietvaros investīcijai pieejamo finansējumu, aģentūra atļauj turpināt projekta īstenošanu tiem pozitīvu nozares ministrijas un Kultūras ministrijas atzinumu saņēmušajiem projektiem, kuriem ir visaugstākais kopējās primārās enerģijas ietaupījums attiecībā pret finansējumu.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par 45.punktu, un lūdzam salāgot to ar 42.punktu, jo starp 42.punktu un 45.punktu ir pretruna.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42.punkts nosaka, ka pēc tehniskās dokumentācijas saņemšanas, EM un KM mēneša laikā sniedz atzinumu par iespēju turpināt projekta īstenošanu, atzinumā norādot kopējo projekta finansējumu un sasniedzamos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45.punkts atļauj turpināt projekta īstenošanu tikai tiem projektiem kuriem ir lielāks ietaupījums, ja visu apstiprināto projektu kopējās izmaksas pārsniedz šo noteikumu ietvaros investīcijai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45.punktā tiek norādīts, ka aģentūra atļauj turpināt projekta īstenošanu tiem pozitīvu EM un KM atzinumu saņēmušajiem projektiem, kuriem ir visaugstākais kopējās primārās enerģijas ietaupījums attiecībā pret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labojumus, jo CFLA nepieņem šāda veida lēmumus. Šim lēmumam ir jābūt pieņemtam tajā brīdī, kad EM un KM piešķir finansējumu otrai kārtai, un kad atbilstoši progresam finansējuma saņēmējs ir iesniedzis tehnisko dokumentāciju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 kas iesniegs tehnisko dokumentāciju vēlāk, un kuriem pietrūks finansējums, tie attiecīgi nesaņems finansējumu būvniecības daļai šīs investīcijas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42. punkts, 45. punkts tiek svītrots. Informācija papildināta arī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iesniedzēja valsts nekustamo īpašumu vai ēku (ēku grupu)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anotācijas 1.3. sadaļas Risinājumu apraksta 2.punktā minēto ([ .. ] Plānotā izmaksu sliekšņa paaugstināšana ir taisnīga, objektīva, izsekojama, balstās uz vienotu pieeju un ir attiecināma uz visiem finansējuma saņēmējiem projektu abu posmu īstenošanā, kas to plāno izmantot. [ .. ]), skaidrības labad lūdzam precizēt noteikumu 21.1.3.apakšpunktu, 31.punktu un noteikumu pielikuma kolonnas “10 %* no būvdarbu līguma summas (ar PVN), euro” atsauci, nosakot, ka attiecīgā projekta priekšfinansējumu, kas nav lielāks par 10 % no paredzamās būvdarbu līguma summas, pieļaujams izlietot atbilstoši noteikumu 30.1. un 30.2. apakšpunktam, tostarp iekļaujot noteikumu 30.4.apakšpunktā noteiktās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Noteikumu projekta pielikuma atsauci (“*”) lūdzam izteikt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noteikumu apakšpunktiem 30.1., 30.2., 30.4.: 30.1. izmaksas, kas saistītas ar energosertifikācijas, tehniskās apsekošanas (kas veikta atbilstoši periodiskās tehniskās apsekošanas, kas ir veicama būves ekspluatācijas laikā, prasībām, saskaņā ar normatīvajiem aktiem būvju tehniskās apsekošanas būvnormatīvu jomā), būvniecības izmaksu tāmes, būvprojekta, būvdarbu ieceres dokumentācijas, būvprojekta minimālā sastāvā, ēkas fasādes apliecinājuma kartes izstrādāšanu, kā arī būvprojekta ekspertīzes izmaksas; 30.2. kultūrvēsturiskās, arheoloģiskās un arhitektoniski mākslinieciskās izpētes un kultūrvēsturiskās inventarizācijas izmaksas; 30.4. projekta vadības personāla atlīdzības izmaksas, kas radušās uz darba līguma, rīkojuma vai uzņēmuma (pakalpojuma) līguma pamata, tai skaitā valsts sociālās apdrošināšanas obligātās iemaksas no apliekamajām attiecināmajām izmaksām, projekta administrēšanas izmaksas un īstenošanas personāla atlīdzības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iesniedzēja valsts nekustamo īpašumu vai ēku (ēku grupu) saraksts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Nr.1 lūdzam nenorādīt turpmāk  summas kolonnā “Paredzamā būvdarbu līguma summa (ar PVN), </w:t>
            </w:r>
            <w:r w:rsidR="00000000" w:rsidRPr="00000000" w:rsidDel="00000000">
              <w:rPr>
                <w:i w:val="1"/>
                <w:rtl w:val="0"/>
              </w:rPr>
              <w:t xml:space="preserve">euro</w:t>
            </w:r>
            <w:r w:rsidR="00000000" w:rsidRPr="00000000" w:rsidDel="00000000">
              <w:rPr>
                <w:rtl w:val="0"/>
              </w:rPr>
              <w:t xml:space="preserve">”, lai mazinātu administratīvo slogu un samazinātu Ministru kabineta noteikumu grozījumu veikšanas biežumu  un laikietilpību, ņemot vērā, ka projektu īstenotājiem, noslēdzoties iepirkumiem būs nepieciešams veikt izmaiņas 1.pielikumā.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veikt projektos pieejamā finansējuma apjomu precizēt, Kultūras ministrijai nosūtot vēstuli Ekonomikas ministrijai ar pamatojumu par veicamajām izmaiņām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sev pieejamā publiskā finansējuma ietvaros var mainīt šo noteikumu 1.pielikumā noteiktās summas  sniedzot apliecinājumu un norādot finansējuma sadalījumu starp projektiem. Sadarbības iestādē iesniedz pamatojumu par izmaiņu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47.</w:t>
            </w:r>
            <w:r w:rsidR="00000000" w:rsidRPr="00000000" w:rsidDel="00000000">
              <w:rPr>
                <w:vertAlign w:val="superscript"/>
                <w:rtl w:val="0"/>
              </w:rPr>
              <w:t xml:space="preserve">1 </w:t>
            </w:r>
            <w:r w:rsidR="00000000" w:rsidRPr="00000000" w:rsidDel="00000000">
              <w:rPr>
                <w:rtl w:val="0"/>
              </w:rPr>
              <w:t xml:space="preserve">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pielikuma 4. un 6.punkts ir precizēts atbilstoši anotācijā "Risinājumu apraksts" 4.punktā noteiktam, ka noteikumu projekta pielikums tiek precizēts, kolonnā "Paredzamā būvdarbu līguma summa (ar PVN), euro" norādot faktisko izmaksu apmēru VNĪ projektiem par tehniskās dokumentācijas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pielikuma 4. un 6.punktā norādītiem projektiem būvniecība netiks īstenota 1.2.1.4.i. investīcijas ietvaros (skatīt pielikumā atsauces uz ** un ****), tad kolonnā "Paredzamā būvdarbu līguma summa (ar PVN), euro" lūdzam norādīt 0.00 euro. Faktisko izmaksu apmēru VNĪ projektiem par tehniskās dokumentācijas izstrādi būtu jānorāda kolonnā "10 %* no būvdarbu līguma summas (ar PVN), euro" (skatīt pielikumā atsauci uz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pielikums un papildināta informācija anotācijas 1.3. sadaļā, nodrošinot izsekojamu pieeju pielikumā norādītajam finansējuma sadalījumam.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ka finansējuma saņēmēja Profesionālās izglītības kompetences centrs “Nacionālā Mākslu vidusskola” projektā Slokas ielas 52a, Rīgā būvprojekts "PIKC "Nacionālā Mākslu vidusskola" ēku pārbūve Slokas ielā 52A, Rīgā” ir jau izvērtēta atbilstoši MK noteikumu 42.punktam.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attiecīgi papildināt MK noteikumu 44.punktu, ka arī šis projekts ir izņēmuma gadījums.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44. punkts un papildināta informācija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7. punktā minēto, lūdzam noteikumu projekta anotāciju papildināt ar skaidrojumu, vai finansējuma saņēmējs ir sniedzis piekrišanu noteikumu projektā ietvertām izmaiņām, kuru rezultātā paredzēts izdarīt būtiskus grozījumus līgumos vai vienošanās par projekta īstenošanu, bet kas ir nelabvēlīgāki finansējuma saņēmējiem. Alternatīvi lūdzam sniegt izvērstu pamatojumu attiecīgo grozījumu, piem., 8. punktā minēto, atbilstībai tiesiskās paļāvības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jau pamata 1.2.1.4.i. investīcijas normatīvajā regulējumā (anotācijā) ir sniegts skaidrojums par projektu īstenošanas nosacījumiem, tādējādi potenciālie projekta iesniedzēji tika informēti par iespējamām izmaiņām projekta īstenošanas gaitā, kā arī šī informācija tika atkārtoti sniegta sanāksmē par 1.2.1.4.i. investīcijas nosacījumiem. Kultūras ministrija kā nozares atbildīgā ministrija kopā ar finansējuma saņēmējiem ir izvērtējusi to projektu īstenošanas progresu, riskus (īstenošanas termiņš, projektam pieejamais finansējums) un ar finansējuma saņēmēju piekrišanu informējusi Ekonomikas ministriju, ka 1.2.1.4.i. investīcijas ietvaros finansējuma saņēmējam Rēzeknes Mākslas un dizaina vidusskola ar projekta īstenošanas adresi Baznīcas iela 34A, Rēzekne, Valsts akciju sabiedrība "Valsts nekustamie īpašumi" ar projekta īstenošanas adresi Bezdelīgu iela 1A, Rīga, Profesionālās izglītības kompetences centrs “Nacionālā Mākslu vidusskola” ar projekta īstenošanas adresi Meža iela 15, Kalnciema iela 10 k-2, Rīga tiks izstrādāta tikai projekta tehniskā dokumentācija un attiecinātas būvniecības izmaksas adresē Slokas iela 52a, bet būvdarbi Rēzeknes Mākslas un dizaina vidusskolai ar projekta īstenošanas adresi Baznīcas iela 34A, Rēzekne, Valsts akciju sabiedrībai "Valsts nekustamie īpašumi" ar projekta īstenošanas adresi Bezdelīgu iela 1A, Rīga un Profesionālās izglītības kompetences centram “Nacionālā Mākslu vidusskola” ar projekta īstenošanas adresi Meža iela 15, Kalnciema iela 10 k-2, Rīga, ir iespējami Eiropas Savienības kohēzijas politikas programmas 2021.–2027.gadam 2.1.1.8. pasākuma "Energoefektivitāti veicinoši pasākumi kultūras infrastruktūrā" ietvaros vai cita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papildināta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informāciju, vai plānotie grozījumi tiek uzskatīti par būtiskiem un ietekmē projekta ietvaros veicamo darbību veidu, projekta mērķus vai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 tiešās pārvaldes iestāde vai privāto tiesību juridiska persona, kas pārvalda un apsaimnieko valsts nekustamos īpašumus vai ēku (ēku grupu) (</w:t>
            </w:r>
            <w:r w:rsidR="00000000" w:rsidRPr="00000000" w:rsidDel="00000000">
              <w:rPr>
                <w:rtl w:val="0"/>
              </w:rPr>
              <w:t xml:space="preserve">​pielikums)</w:t>
            </w:r>
            <w:r w:rsidR="00000000" w:rsidRPr="00000000" w:rsidDel="00000000">
              <w:rPr>
                <w:rtl w:val="0"/>
              </w:rPr>
              <w:t xml:space="preserve">, kurā tiek nodrošināta kultūras funkcija vai tiek veiktas valsts deleģētās funkcijas;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noteikuma projektā pielikumā ietvertais projekta iesniedzēju loks ir papildināts ar jauniem projekta iesniedzējiem un ēkām, bet projekta iesniegumu atlase ir noslēgusies, līgumi un vienošanās par projektu īstenošanu un noslēgti, tad lūdzam noteikumu projektā un anotācijā ietvert skaidrojumu, kā noritēs projektu iesniegumu atlases process attiecībā uz jaunajiem projekta iesniedzējiem, t.i., projektu iesniegumu iesniegšana, izvērtēšana, vienlaikus skaidrojot, vai plānota jauna projektu iesniegumu atlases kārta vai jauns uzsaukums.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skaidrot par grozījumu ietekmi uz jau apstiprinātajiem finansējuma saņēmējiem, ņemot vērā, ka noteikumu projekta anotācijā skaidrots, ka plānotie grozījumi uzskatāmi par būtiskiem, jo tiek pilnveidoti projektu īstenošanas nosacījumi abiem posmiem.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 tiešās pārvaldes iestāde vai privāto tiesību juridiska persona, kas pārvalda un apsaimnieko valsts nekustamos īpašumus vai ēku (ēku grupu) (</w:t>
            </w:r>
            <w:r w:rsidR="00000000" w:rsidRPr="00000000" w:rsidDel="00000000">
              <w:rPr>
                <w:rtl w:val="0"/>
              </w:rPr>
              <w:t xml:space="preserve">​pielikums)</w:t>
            </w:r>
            <w:r w:rsidR="00000000" w:rsidRPr="00000000" w:rsidDel="00000000">
              <w:rPr>
                <w:rtl w:val="0"/>
              </w:rPr>
              <w:t xml:space="preserve">, kurā tiek nodrošināta kultūras funkcija vai tiek veiktas valsts deleģētās funkcijas;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 līdz 2026. gada 1. jūnijam projektu īstenošanas rezultātā sasniegts kopējās primārās enerģijas patēriņa samazinājums valsts ēkās ar uzlabotu energoefektivitāti vismaz 3875 MWh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atzinumā izteiktos iebildumus par nepieciešamību pagarināt projektu īstenošanas termiņu un izmaksu attiecināmības termiņu līdz 2026.gada 30.jūnijam, aicinām Ekonomikas ministriju nepieciešamības gadījumā veikt atbilstošus precizējumus noteikumu  5.3.2.apakšpunktā noteiktā rādītāja sasniegšanai, tā sasniegšanas termiņu nosakot līdz 2026.gada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5.3.2. apakšpunkts, kā mērķa izpildes termiņu norādot 2026. gada 30. jūniju, kā arī precizēta informācija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 līdz 2026. gada 30. jūnijam projektu īstenošanas rezultātā sasniegts kopējās primārās enerģijas patēriņa samazinājums valsts ēkās ar uzlabotu energoefektivitāti vismaz 3875 MWh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informāciju par projekta kopējo finansējumu atbilstoši šo noteikumu </w:t>
            </w:r>
            <w:r w:rsidR="00000000" w:rsidRPr="00000000" w:rsidDel="00000000">
              <w:rPr>
                <w:rtl w:val="0"/>
              </w:rPr>
              <w:t xml:space="preserve">​pielikumā</w:t>
            </w:r>
            <w:r w:rsidR="00000000" w:rsidRPr="00000000" w:rsidDel="00000000">
              <w:rPr>
                <w:rtl w:val="0"/>
              </w:rPr>
              <w:t xml:space="preserve"> norādītajam finansējumam, kas nav lielāks par 10 % no paredzamās būvdarbu līguma summas (ar pievienotās vērtības nodokli) un kuru paredzēts izlietot atbilstoši šo noteikumu </w:t>
            </w:r>
            <w:r w:rsidR="00000000" w:rsidRPr="00000000" w:rsidDel="00000000">
              <w:rPr>
                <w:rtl w:val="0"/>
              </w:rPr>
              <w:t xml:space="preserve">30.1.</w:t>
            </w:r>
            <w:r w:rsidR="00000000" w:rsidRPr="00000000" w:rsidDel="00000000">
              <w:rPr>
                <w:rtl w:val="0"/>
              </w:rPr>
              <w:t xml:space="preserve"> un </w:t>
            </w:r>
            <w:r w:rsidR="00000000" w:rsidRPr="00000000" w:rsidDel="00000000">
              <w:rPr>
                <w:rtl w:val="0"/>
              </w:rPr>
              <w:t xml:space="preserve">30.2.</w:t>
            </w:r>
            <w:r w:rsidR="00000000" w:rsidRPr="00000000" w:rsidDel="00000000">
              <w:rPr>
                <w:rtl w:val="0"/>
              </w:rPr>
              <w:t xml:space="preserve"> apakšpunktam</w:t>
            </w:r>
            <w:r w:rsidR="00000000" w:rsidRPr="00000000" w:rsidDel="00000000">
              <w:rPr>
                <w:rtl w:val="0"/>
              </w:rPr>
              <w:t xml:space="preserve">. Nosacījums neattiecas uz šo noteikumu pielikumā minēto projekta iesniedzēju Latvijas Kultūras akadēmija (projekta īstenošanas adrese – Miera iela 58a, Rīga) un projekta iesniedzēju valsts akciju sabiedrība "Valsts nekustamie īpašumi" (projekta īstenošanas adrese – Meirānu iela 2, Rīga, Pulka iela 8, Rīga, Lāčplēša iela 4, Valmiera, Skandu iela 14, Rīga, Talejas iela 1, Rīga) saskaņā ar šo noteikumu 31.1. apakšpunktā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 (turpmāk - MK noteikumi Nr.443)  30.4.</w:t>
            </w:r>
            <w:r w:rsidR="00000000" w:rsidRPr="00000000" w:rsidDel="00000000">
              <w:rPr>
                <w:vertAlign w:val="superscript"/>
                <w:rtl w:val="0"/>
              </w:rPr>
              <w:t xml:space="preserve">1</w:t>
            </w:r>
            <w:r w:rsidR="00000000" w:rsidRPr="00000000" w:rsidDel="00000000">
              <w:rPr>
                <w:rtl w:val="0"/>
              </w:rPr>
              <w:t xml:space="preserve"> punkts iekļauts kā atsevišķa vienība, tiesiskās skaidrības nodrošināšanai lūdzam MK noteikumu  Nr.443 20.3.punktu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informāciju par projekta kopējo finansējumu atbilstoši šo noteikumu pielikumā norādītajam finansējumam, kas nav lielāks par 10 % no paredzamās būvdarbu līguma summas (ar pievienotās vērtības nodokli) un kuru paredzēts izlietot atbilstoši šo noteikumu 30.1.,30.2., </w:t>
            </w:r>
            <w:r w:rsidR="00000000" w:rsidRPr="00000000" w:rsidDel="00000000">
              <w:rPr>
                <w:u w:val="single"/>
                <w:rtl w:val="0"/>
              </w:rPr>
              <w:t xml:space="preserve">30.4. un 30.4.</w:t>
            </w:r>
            <w:r w:rsidR="00000000" w:rsidRPr="00000000" w:rsidDel="00000000">
              <w:rPr>
                <w:u w:val="single"/>
                <w:vertAlign w:val="superscript"/>
                <w:rtl w:val="0"/>
              </w:rPr>
              <w:t xml:space="preserve">1</w:t>
            </w:r>
            <w:r w:rsidR="00000000" w:rsidRPr="00000000" w:rsidDel="00000000">
              <w:rPr>
                <w:rtl w:val="0"/>
              </w:rPr>
              <w:t xml:space="preserve"> apakšpunktam. Nosacījums neattiecas uz šo noteikumu pielikumā minēto projekta iesniedzēju Latvijas Kultūras akadēmija (projekta īstenošanas adrese – Miera iela 58a, Rīga) un projekta iesniedzēju valsts akciju sabiedrība "Valsts nekustamie īpašumi" (projekta īstenošanas adrese – Meirānu iela 2, Rīga, Pulka iela 8, Rīga, Lāčplēša iela 4, Valmiera, Skandu iela 14, Rīga, Talejas iela 1, Rīga) saskaņā ar šo noteikumu 31.1. apakšpunktā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20.3.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informāciju par projekta kopējo finansējumu atbilstoši šo noteikumu </w:t>
            </w:r>
            <w:r w:rsidR="00000000" w:rsidRPr="00000000" w:rsidDel="00000000">
              <w:rPr>
                <w:rtl w:val="0"/>
              </w:rPr>
              <w:t xml:space="preserve">​pielikumā</w:t>
            </w:r>
            <w:r w:rsidR="00000000" w:rsidRPr="00000000" w:rsidDel="00000000">
              <w:rPr>
                <w:rtl w:val="0"/>
              </w:rPr>
              <w:t xml:space="preserve"> norādītajam finansējumam, kas nav lielāks par 10 % no paredzamās būvdarbu līguma summas (ar pievienotās vērtības nodokli) un kuru paredzēts izlietot atbilstoši šo noteikumu </w:t>
            </w:r>
            <w:r w:rsidR="00000000" w:rsidRPr="00000000" w:rsidDel="00000000">
              <w:rPr>
                <w:rtl w:val="0"/>
              </w:rPr>
              <w:t xml:space="preserve">30.1.</w:t>
            </w:r>
            <w:r w:rsidR="00000000" w:rsidRPr="00000000" w:rsidDel="00000000">
              <w:rPr>
                <w:rtl w:val="0"/>
              </w:rPr>
              <w:t xml:space="preserve">, </w:t>
            </w:r>
            <w:r w:rsidR="00000000" w:rsidRPr="00000000" w:rsidDel="00000000">
              <w:rPr>
                <w:rtl w:val="0"/>
              </w:rPr>
              <w:t xml:space="preserve">30.2.</w:t>
            </w:r>
            <w:r w:rsidR="00000000" w:rsidRPr="00000000" w:rsidDel="00000000">
              <w:rPr>
                <w:rtl w:val="0"/>
              </w:rPr>
              <w:t xml:space="preserve">, 30.4. un 30.4.</w:t>
            </w:r>
            <w:r w:rsidR="00000000" w:rsidRPr="00000000" w:rsidDel="00000000">
              <w:rPr>
                <w:vertAlign w:val="superscript"/>
                <w:rtl w:val="0"/>
              </w:rPr>
              <w:t xml:space="preserve">1 </w:t>
            </w:r>
            <w:r w:rsidR="00000000" w:rsidRPr="00000000" w:rsidDel="00000000">
              <w:rPr>
                <w:rtl w:val="0"/>
              </w:rPr>
              <w:t xml:space="preserve">apakšpunktam</w:t>
            </w:r>
            <w:r w:rsidR="00000000" w:rsidRPr="00000000" w:rsidDel="00000000">
              <w:rPr>
                <w:rtl w:val="0"/>
              </w:rPr>
              <w:t xml:space="preserve">. Nosacījums neattiecas uz šo noteikumu pielikumā minēto projekta iesniedzēju Latvijas Kultūras akadēmija (projekta īstenošanas adrese – Miera iela 58a, Rīga) un projekta iesniedzēju valsts akciju sabiedrība "Valsts nekustamie īpašumi" (projekta īstenošanas adrese – Meirānu iela 2, Rīga, Pulka iela 8, Rīga, Lāčplēša iela 4, Valmiera, Skandu iela 14, Rīga, Talejas iela 1, Rīga) saskaņā ar šo noteikumu 31.</w:t>
            </w:r>
            <w:r w:rsidR="00000000" w:rsidRPr="00000000" w:rsidDel="00000000">
              <w:rPr>
                <w:vertAlign w:val="superscript"/>
                <w:rtl w:val="0"/>
              </w:rPr>
              <w:t xml:space="preserve">1 </w:t>
            </w:r>
            <w:r w:rsidR="00000000" w:rsidRPr="00000000" w:rsidDel="00000000">
              <w:rPr>
                <w:rtl w:val="0"/>
              </w:rPr>
              <w:t xml:space="preserve">punktā minēto;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projekta iesniegumā norādītais kopējais finansējums atbilst šo noteikumu </w:t>
            </w:r>
            <w:r w:rsidR="00000000" w:rsidRPr="00000000" w:rsidDel="00000000">
              <w:rPr>
                <w:rtl w:val="0"/>
              </w:rPr>
              <w:t xml:space="preserve">​pielikumā</w:t>
            </w:r>
            <w:r w:rsidR="00000000" w:rsidRPr="00000000" w:rsidDel="00000000">
              <w:rPr>
                <w:rtl w:val="0"/>
              </w:rPr>
              <w:t xml:space="preserve"> norādītajai avansa summai vai priekšfinansējumam, kas nav lielāks par 10 % no paredzamās būvdarbu līguma summas (ar pievienotās vērtības nodokli) un kuru paredzēts izlietot atbilstoši šo noteikumu </w:t>
            </w:r>
            <w:r w:rsidR="00000000" w:rsidRPr="00000000" w:rsidDel="00000000">
              <w:rPr>
                <w:rtl w:val="0"/>
              </w:rPr>
              <w:t xml:space="preserve">30.1.</w:t>
            </w:r>
            <w:r w:rsidR="00000000" w:rsidRPr="00000000" w:rsidDel="00000000">
              <w:rPr>
                <w:rtl w:val="0"/>
              </w:rPr>
              <w:t xml:space="preserve"> un </w:t>
            </w:r>
            <w:r w:rsidR="00000000" w:rsidRPr="00000000" w:rsidDel="00000000">
              <w:rPr>
                <w:rtl w:val="0"/>
              </w:rPr>
              <w:t xml:space="preserve">30.2.</w:t>
            </w:r>
            <w:r w:rsidR="00000000" w:rsidRPr="00000000" w:rsidDel="00000000">
              <w:rPr>
                <w:rtl w:val="0"/>
              </w:rPr>
              <w:t xml:space="preserve"> apakšpunktam</w:t>
            </w:r>
            <w:r w:rsidR="00000000" w:rsidRPr="00000000" w:rsidDel="00000000">
              <w:rPr>
                <w:rtl w:val="0"/>
              </w:rPr>
              <w:t xml:space="preserve">, tostarp iekļaujot 30.4. un 30.4.</w:t>
            </w:r>
            <w:r w:rsidR="00000000" w:rsidRPr="00000000" w:rsidDel="00000000">
              <w:rPr>
                <w:vertAlign w:val="superscript"/>
                <w:rtl w:val="0"/>
              </w:rPr>
              <w:t xml:space="preserve">1</w:t>
            </w:r>
            <w:r w:rsidR="00000000" w:rsidRPr="00000000" w:rsidDel="00000000">
              <w:rPr>
                <w:rtl w:val="0"/>
              </w:rPr>
              <w:t xml:space="preserve"> apakšpunktā minētās izmaksas par projekta pirmā posma īstenošanu. Nosacījums neattiecas uz šo noteikumu 20.3. apakšpunktā minētajiem projekta iesniedzējiem;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visā noteikumu projektā, kur ir ietverta atsauce uz 20.3. apakšpunktu, ievērot un atsaukties nevis uz minēto apakšpunktu, bet uz jaunu punktu, kurā norādīti projekta iesniedzēji vai arī noteikumu pielikumu ar precīzu norādi tieši uz kuru projekta iesniedzēju ir attiecināms konkrētais regulējums, līdzīgi kā noteikumu projekta 26. punktā izteiktajā 44. punkta pirmajā teikumā, jo 20.3. apakšpunkts nav regulējums, kas uzskaita projekta iesniedzēju loku, bet gan nosaka projekta iesniegumā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31.</w:t>
            </w:r>
            <w:r w:rsidR="00000000" w:rsidRPr="00000000" w:rsidDel="00000000">
              <w:rPr>
                <w:vertAlign w:val="superscript"/>
                <w:rtl w:val="0"/>
              </w:rPr>
              <w:t xml:space="preserve">1</w:t>
            </w:r>
            <w:r w:rsidR="00000000" w:rsidRPr="00000000" w:rsidDel="00000000">
              <w:rPr>
                <w:rtl w:val="0"/>
              </w:rPr>
              <w:t xml:space="preserve">., 44.</w:t>
            </w:r>
            <w:r w:rsidR="00000000" w:rsidRPr="00000000" w:rsidDel="00000000">
              <w:rPr>
                <w:vertAlign w:val="superscript"/>
                <w:rtl w:val="0"/>
              </w:rPr>
              <w:t xml:space="preserve">1 </w:t>
            </w:r>
            <w:r w:rsidR="00000000" w:rsidRPr="00000000" w:rsidDel="00000000">
              <w:rPr>
                <w:rtl w:val="0"/>
              </w:rPr>
              <w:t xml:space="preserve">un 56.</w:t>
            </w:r>
            <w:r w:rsidR="00000000" w:rsidRPr="00000000" w:rsidDel="00000000">
              <w:rPr>
                <w:vertAlign w:val="superscript"/>
                <w:rtl w:val="0"/>
              </w:rPr>
              <w:t xml:space="preserve">1 </w:t>
            </w:r>
            <w:r w:rsidR="00000000" w:rsidRPr="00000000" w:rsidDel="00000000">
              <w:rPr>
                <w:rtl w:val="0"/>
              </w:rPr>
              <w:t xml:space="preserve">punkts un 21.1.3., 27.7., 51.1.3.,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projekta iesniegumā norādītais kopējais finansējums atbilst šo noteikumu </w:t>
            </w:r>
            <w:r w:rsidR="00000000" w:rsidRPr="00000000" w:rsidDel="00000000">
              <w:rPr>
                <w:rtl w:val="0"/>
              </w:rPr>
              <w:t xml:space="preserve">​pielikumā</w:t>
            </w:r>
            <w:r w:rsidR="00000000" w:rsidRPr="00000000" w:rsidDel="00000000">
              <w:rPr>
                <w:rtl w:val="0"/>
              </w:rPr>
              <w:t xml:space="preserve"> norādītajai avansa summai vai priekšfinansējumam, kas nav lielāks par 10 % no paredzamās būvdarbu līguma summas (ar pievienotās vērtības nodokli) un kuru paredzēts izlietot atbilstoši šo noteikumu </w:t>
            </w:r>
            <w:r w:rsidR="00000000" w:rsidRPr="00000000" w:rsidDel="00000000">
              <w:rPr>
                <w:rtl w:val="0"/>
              </w:rPr>
              <w:t xml:space="preserve">30.1.</w:t>
            </w:r>
            <w:r w:rsidR="00000000" w:rsidRPr="00000000" w:rsidDel="00000000">
              <w:rPr>
                <w:rtl w:val="0"/>
              </w:rPr>
              <w:t xml:space="preserve"> un </w:t>
            </w:r>
            <w:r w:rsidR="00000000" w:rsidRPr="00000000" w:rsidDel="00000000">
              <w:rPr>
                <w:rtl w:val="0"/>
              </w:rPr>
              <w:t xml:space="preserve">30.2.</w:t>
            </w:r>
            <w:r w:rsidR="00000000" w:rsidRPr="00000000" w:rsidDel="00000000">
              <w:rPr>
                <w:rtl w:val="0"/>
              </w:rPr>
              <w:t xml:space="preserve"> apakšpunktam</w:t>
            </w:r>
            <w:r w:rsidR="00000000" w:rsidRPr="00000000" w:rsidDel="00000000">
              <w:rPr>
                <w:rtl w:val="0"/>
              </w:rPr>
              <w:t xml:space="preserve">, tostarp iekļaujot 30.4. un 30.4.</w:t>
            </w:r>
            <w:r w:rsidR="00000000" w:rsidRPr="00000000" w:rsidDel="00000000">
              <w:rPr>
                <w:vertAlign w:val="superscript"/>
                <w:rtl w:val="0"/>
              </w:rPr>
              <w:t xml:space="preserve">1</w:t>
            </w:r>
            <w:r w:rsidR="00000000" w:rsidRPr="00000000" w:rsidDel="00000000">
              <w:rPr>
                <w:rtl w:val="0"/>
              </w:rPr>
              <w:t xml:space="preserve"> apakšpunktā minētās izmaksas par projekta pirmā posma īstenošanu. Nosacījums neattiecas uz šo noteikumu pielikumā minēto projekta iesniedzēju Latvijas Kultūras akadēmija (projekta īstenošanas adrese – Miera iela 58a, Rīga) un projekta iesniedzēju valsts akciju sabiedrība "Valsts nekustamie īpašumi" (projekta īstenošanas adrese – Meirānu iela 2, Rīga, Pulka iela 8, Rīga, Lāčplēša iela 4, Valmiera, Skandu iela 14, Rīga, Talejas iela 1, Rīga);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 atjaunojamo energoresursu izmantojošu siltumenerģijas un elektroenerģijas ražošanas avotu iegāde un uzstādīšana</w:t>
            </w:r>
            <w:r w:rsidR="00000000" w:rsidRPr="00000000" w:rsidDel="00000000">
              <w:rPr>
                <w:b w:val="1"/>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pasākums papildināts ar atbalstu elektroenerģijas ražošanas avotu iegādei un uzstādīšanai, lai atbalsts šim mērķim nekvalificētos kā komercdarbības atbalsts elektroenerģijas ražošanai, lūdzam noteikumus papildināt ar komercdarbības atbalsta izslēdzošajiem nosacījumiem, t.sk. vismaz 80% no saražotās elektroenerģijas apjoma ir jāizmanto pašpatēriņam. Vienlaikus lūdzam papildināt noteikumu projektu un anotāciju ar attiecīgajiem uzraudzības nosacījumiem iekārtu amortizācijas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56.3. apakšpunkts, 59. punkts, noteikumu projekts papildināts ar 56.</w:t>
            </w:r>
            <w:r w:rsidR="00000000" w:rsidRPr="00000000" w:rsidDel="00000000">
              <w:rPr>
                <w:vertAlign w:val="superscript"/>
                <w:rtl w:val="0"/>
              </w:rPr>
              <w:t xml:space="preserve">1</w:t>
            </w:r>
            <w:r w:rsidR="00000000" w:rsidRPr="00000000" w:rsidDel="00000000">
              <w:rPr>
                <w:vertAlign w:val="subscript"/>
                <w:rtl w:val="0"/>
              </w:rPr>
              <w:t xml:space="preserve"> </w:t>
            </w:r>
            <w:r w:rsidR="00000000" w:rsidRPr="00000000" w:rsidDel="00000000">
              <w:rPr>
                <w:rtl w:val="0"/>
              </w:rPr>
              <w:t xml:space="preserve">un 59.</w:t>
            </w:r>
            <w:r w:rsidR="00000000" w:rsidRPr="00000000" w:rsidDel="00000000">
              <w:rPr>
                <w:vertAlign w:val="superscript"/>
                <w:rtl w:val="0"/>
              </w:rPr>
              <w:t xml:space="preserve">1</w:t>
            </w:r>
            <w:r w:rsidR="00000000" w:rsidRPr="00000000" w:rsidDel="00000000">
              <w:rPr>
                <w:vertAlign w:val="subscript"/>
                <w:rtl w:val="0"/>
              </w:rPr>
              <w:t xml:space="preserve"> </w:t>
            </w:r>
            <w:r w:rsidR="00000000" w:rsidRPr="00000000" w:rsidDel="00000000">
              <w:rPr>
                <w:rtl w:val="0"/>
              </w:rPr>
              <w:t xml:space="preserve">punktu, 56</w:t>
            </w:r>
            <w:r w:rsidR="00000000" w:rsidRPr="00000000" w:rsidDel="00000000">
              <w:rPr>
                <w:vertAlign w:val="superscript"/>
                <w:rtl w:val="0"/>
              </w:rPr>
              <w:t xml:space="preserve">1</w:t>
            </w:r>
            <w:r w:rsidR="00000000" w:rsidRPr="00000000" w:rsidDel="00000000">
              <w:rPr>
                <w:rtl w:val="0"/>
              </w:rPr>
              <w:t xml:space="preserve">1. un 56</w:t>
            </w:r>
            <w:r w:rsidR="00000000" w:rsidRPr="00000000" w:rsidDel="00000000">
              <w:rPr>
                <w:vertAlign w:val="superscript"/>
                <w:rtl w:val="0"/>
              </w:rPr>
              <w:t xml:space="preserve">1</w:t>
            </w:r>
            <w:r w:rsidR="00000000" w:rsidRPr="00000000" w:rsidDel="00000000">
              <w:rPr>
                <w:rtl w:val="0"/>
              </w:rPr>
              <w:t xml:space="preserve">2. apakšpunktu un papildināta informācija anotācijas 1.3.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 atjaunojamo energoresursu izmantojošu siltumenerģijas un elektroenerģijas ražošanas avotu iegāde un uzstādīšana</w:t>
            </w:r>
            <w:r w:rsidR="00000000" w:rsidRPr="00000000" w:rsidDel="00000000">
              <w:rPr>
                <w:b w:val="1"/>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projekta vadības personāla atlīdzības izmaksas, kas radušās uz darba līguma, rīkojuma vai uzņēmuma (pakalpojuma) līguma pamata, tai skaitā valsts sociālās apdrošināšanas obligātās iemaksas no apliekamajām attiecināmajām izmaksām, projekta administrēšanas izmaksas un īstenošanas personāla atlīdzības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grozījumi paredz risinājumu noteikumu 30.4.apakšpunktā noteikt divas dažādas pieejas projektu vadības izmaksu aprēķināšanai. Gala atbildība par regulējumā ietvertajām prasībām un nosacījumiem ir atbildīgajai nozares ministrijai, tomēr no vadošās iestādes puses vēršam uzmanību, ka divu atšķirīgu pieeju/nosacījumu vienlaicīga izmantošana vienām un tām pašām izmaksām viena pasākuma un atlases ietvaros ir rūpīgi jāvērtē/jāpamato no potenciālo audita risku viedokļa vienlīdzīgas pieejas kontekstā. Gadījumā, ja Ekonomikas ministrijas ieskatā šāda pieeja ir objektīvi pamatojama, tad anotācijā jāiekļauj detalizēts skaidrojums, piemēram, skaidrojot, ka investīcijas dizains paredz divu dažādu tvērumu/satura projektus, kam ir objektīvi pamatojama atšķirība projekta vadības izmaksu īpatsvaram, un kas nerada nepamatotas priekšrocības kādam no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atgādinām, ka faktisko izmaksu gadījumā finansējuma saņēmējam ir jānodrošina visa izdevumus pamatojošā dokumentācija.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projekta vadības personāla atlīdzības izmaksas, kas radušās uz darba līguma, rīkojuma vai uzņēmuma (pakalpojuma) līguma pamata, tai skaitā valsts sociālās apdrošināšanas obligātās iemaksas no apliekamajām attiecināmajām izmaksām, projekta administrēšanas izmaksas un īstenošanas personāla atlīdzības izmaksas - projekta netiešās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w:t>
            </w:r>
            <w:r w:rsidR="00000000" w:rsidRPr="00000000" w:rsidDel="00000000">
              <w:rPr>
                <w:vertAlign w:val="superscript"/>
                <w:rtl w:val="0"/>
              </w:rPr>
              <w:t xml:space="preserve">1</w:t>
            </w:r>
            <w:r w:rsidR="00000000" w:rsidRPr="00000000" w:rsidDel="00000000">
              <w:rPr>
                <w:rtl w:val="0"/>
              </w:rPr>
              <w:t xml:space="preserve"> šo noteikumu 30.4. apakšpunktā norādītās izmaksas - projekta netiešās attiecināmās izmaksas plāno kā vienu izmaksu pozīciju, piemērojot netiešo izmaksu vienoto likmi septiņu procentu apmērā no šo noteikumu 30.1., 30.2., 30.3., 30.5., 30.6., 30.7., 30.8., 30.9. un 30.10. apakšpunktā minētajām tiešajām attiecināmajām izmaksām saskaņā ar Eiropas Parlamenta un Padomes 2021. gada 14.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54. panta pirmās daļas "a"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2023. gada 8. augusta noteikumu Nr. 443 "Eiropas Savienības Atveseļošanas un noturības mehānisma plāna 1.2. reformu un investīciju virziena "Energoefektivitātes uzlabošana" 1.2.1.4.i. investīcijas "Energoefektivitātes uzlabošana valsts sektora ēkās, t. sk. vēsturiskajās ēkās" īstenošanas noteikumi" (turpmāk - noteikumi Nr. 443) 30.4. apakšpunktā nav norādītas netiešās attiecināmās izmaksas, tādēļ lūdzam atbilstoši redakcionāli precizēt minēto noteikumu 30.4.</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30.4. un 30.4.</w:t>
            </w:r>
            <w:r w:rsidR="00000000" w:rsidRPr="00000000" w:rsidDel="00000000">
              <w:rPr>
                <w:vertAlign w:val="superscript"/>
                <w:rtl w:val="0"/>
              </w:rPr>
              <w:t xml:space="preserve">1</w:t>
            </w:r>
            <w:r w:rsidR="00000000" w:rsidRPr="00000000" w:rsidDel="00000000">
              <w:rPr>
                <w:rtl w:val="0"/>
              </w:rPr>
              <w:t xml:space="preserve">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w:t>
            </w:r>
            <w:r w:rsidR="00000000" w:rsidRPr="00000000" w:rsidDel="00000000">
              <w:rPr>
                <w:vertAlign w:val="superscript"/>
                <w:rtl w:val="0"/>
              </w:rPr>
              <w:t xml:space="preserve">1</w:t>
            </w:r>
            <w:r w:rsidR="00000000" w:rsidRPr="00000000" w:rsidDel="00000000">
              <w:rPr>
                <w:rtl w:val="0"/>
              </w:rPr>
              <w:t xml:space="preserve"> šo noteikumu 30.4. apakšpunktā norādītās izmaksas plāno kā vienu izmaksu pozīciju, piemērojot netiešo izmaksu vienoto likmi septiņu procentu apmērā no šo noteikumu 30.1., 30.2., 30.3., 30.5., 30.6., 30.7., 30.8., 30.9. un 30.10. apakšpunktā minētajām tiešajām attiecināmajām izmaksām saskaņā ar Eiropas Parlamenta un Padomes 2021. gada 14.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54. panta pirmās daļas "a" apakšpunktu;”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w:t>
            </w:r>
            <w:r w:rsidR="00000000" w:rsidRPr="00000000" w:rsidDel="00000000">
              <w:rPr>
                <w:vertAlign w:val="superscript"/>
                <w:rtl w:val="0"/>
              </w:rPr>
              <w:t xml:space="preserve">1</w:t>
            </w:r>
            <w:r w:rsidR="00000000" w:rsidRPr="00000000" w:rsidDel="00000000">
              <w:rPr>
                <w:rtl w:val="0"/>
              </w:rPr>
              <w:t xml:space="preserve"> šo noteikumu 30.4. apakšpunktā norādītās izmaksas (projekta netiešās attiecināmās izmaksas) plāno kā vienu izmaksu pozīciju, piemērojot netiešo izmaksu vienoto likmi septiņu procentu apmērā no šo noteikumu 30.1., 30.2., 30.3., 30.5., 30.6., 30.7., 30.8., 30.9. un 30.10. apakšpunktā minētajām tiešajām attiecināmajām izmaksām saskaņā ar Eiropas Parlamenta un Padomes 2021. gada 14.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54. panta pirmās daļas "a"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2023. gada 8. augusta noteikumos Nr.443 "Eiropas Savienības Atveseļošanas un noturības mehānisma plāna 1.2. reformu un investīciju virziena "Energoefektivitātes uzlabošana" 1.2.1.4.i. investīcijas "Energoefektivitātes uzlabošana valsts sektora ēkās, t. sk. vēsturiskajās ēkās" īstenošanas noteikumi" paredzēto pieeju par pasākuma īstenošanu secīgi kārtās, t.sk. pieļaujot iespēju, ka projekta ietvaros tiek izstrādāta tikai projekta tehniskā dokumentācija, aicinām līdz noteikumu projekta virzībai apstiprināšanai vēlreiz kopīgi izvērtēt optimālāko projekta vadības izmaksu aprēķina pieeju.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30.4.</w:t>
            </w:r>
            <w:r w:rsidR="00000000" w:rsidRPr="00000000" w:rsidDel="00000000">
              <w:rPr>
                <w:vertAlign w:val="superscript"/>
                <w:rtl w:val="0"/>
              </w:rPr>
              <w:t xml:space="preserve">2​</w:t>
            </w:r>
            <w:r w:rsidR="00000000" w:rsidRPr="00000000" w:rsidDel="00000000">
              <w:rPr>
                <w:rtl w:val="0"/>
              </w:rPr>
              <w:t xml:space="preserve"> un 30.4.</w:t>
            </w:r>
            <w:r w:rsidR="00000000" w:rsidRPr="00000000" w:rsidDel="00000000">
              <w:rPr>
                <w:vertAlign w:val="superscript"/>
                <w:rtl w:val="0"/>
              </w:rPr>
              <w:t xml:space="preserve">3</w:t>
            </w:r>
            <w:r w:rsidR="00000000" w:rsidRPr="00000000" w:rsidDel="00000000">
              <w:rPr>
                <w:rtl w:val="0"/>
              </w:rPr>
              <w:t xml:space="preserve">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w:t>
            </w:r>
            <w:r w:rsidR="00000000" w:rsidRPr="00000000" w:rsidDel="00000000">
              <w:rPr>
                <w:vertAlign w:val="superscript"/>
                <w:rtl w:val="0"/>
              </w:rPr>
              <w:t xml:space="preserve">1</w:t>
            </w:r>
            <w:r w:rsidR="00000000" w:rsidRPr="00000000" w:rsidDel="00000000">
              <w:rPr>
                <w:rtl w:val="0"/>
              </w:rPr>
              <w:t xml:space="preserve"> šo noteikumu 30.4. apakšpunktā norādītās izmaksas plāno kā vienu izmaksu pozīciju, piemērojot netiešo izmaksu vienoto likmi septiņu procentu apmērā no šo noteikumu 30.1., 30.2., 30.3., 30.5., 30.6., 30.7., 30.8., 30.9. un 30.10. apakšpunktā minētajām tiešajām attiecināmajām izmaksām saskaņā ar Eiropas Parlamenta un Padomes 2021. gada 14.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54. panta pirmās daļas "a" apakšpunktu;”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w:t>
            </w:r>
            <w:r w:rsidR="00000000" w:rsidRPr="00000000" w:rsidDel="00000000">
              <w:rPr>
                <w:vertAlign w:val="superscript"/>
                <w:rtl w:val="0"/>
              </w:rPr>
              <w:t xml:space="preserve">1</w:t>
            </w:r>
            <w:r w:rsidR="00000000" w:rsidRPr="00000000" w:rsidDel="00000000">
              <w:rPr>
                <w:rtl w:val="0"/>
              </w:rPr>
              <w:t xml:space="preserve"> šo noteikumu 30.4. apakšpunktā norādītās izmaksas (projekta netiešās attiecināmās izmaksas) plāno kā vienu izmaksu pozīciju, piemērojot netiešo izmaksu vienoto likmi septiņu procentu apmērā no šo noteikumu 30.1., 30.2., 30.3., 30.5., 30.6., 30.7., 30.8., 30.9. un 30.10. apakšpunktā minētajām tiešajām attiecināmajām izmaksām saskaņā ar Eiropas Parlamenta un Padomes 2021. gada 14.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54. panta pirmās daļas "a"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 punktā pieturzīmi iekavas aizstāt ar pieturzīmi domuzīme, jo iekavās ietvertais teksts ir būtisks tiesību normas piemērošanā. Norādām, ka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30.4.</w:t>
            </w:r>
            <w:r w:rsidR="00000000" w:rsidRPr="00000000" w:rsidDel="00000000">
              <w:rPr>
                <w:vertAlign w:val="superscript"/>
                <w:rtl w:val="0"/>
              </w:rPr>
              <w:t xml:space="preserve">1</w:t>
            </w:r>
            <w:r w:rsidR="00000000" w:rsidRPr="00000000" w:rsidDel="00000000">
              <w:rPr>
                <w:rtl w:val="0"/>
              </w:rPr>
              <w:t xml:space="preserve">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w:t>
            </w:r>
            <w:r w:rsidR="00000000" w:rsidRPr="00000000" w:rsidDel="00000000">
              <w:rPr>
                <w:vertAlign w:val="superscript"/>
                <w:rtl w:val="0"/>
              </w:rPr>
              <w:t xml:space="preserve">1</w:t>
            </w:r>
            <w:r w:rsidR="00000000" w:rsidRPr="00000000" w:rsidDel="00000000">
              <w:rPr>
                <w:rtl w:val="0"/>
              </w:rPr>
              <w:t xml:space="preserve"> šo noteikumu 30.4. apakšpunktā norādītās izmaksas plāno kā vienu izmaksu pozīciju, piemērojot netiešo izmaksu vienoto likmi septiņu procentu apmērā no šo noteikumu 30.1., 30.2., 30.3., 30.5., 30.6., 30.7., 30.8., 30.9. un 30.10. apakšpunktā minētajām tiešajām attiecināmajām izmaksām saskaņā ar Eiropas Parlamenta un Padomes 2021. gada 14.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54. panta pirmās daļas "a" apakšpunktu;”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w:t>
            </w:r>
            <w:r w:rsidR="00000000" w:rsidRPr="00000000" w:rsidDel="00000000">
              <w:rPr>
                <w:vertAlign w:val="superscript"/>
                <w:rtl w:val="0"/>
              </w:rPr>
              <w:t xml:space="preserve">3</w:t>
            </w:r>
            <w:r w:rsidR="00000000" w:rsidRPr="00000000" w:rsidDel="00000000">
              <w:rPr>
                <w:rtl w:val="0"/>
              </w:rPr>
              <w:t xml:space="preserve"> no projekta otrā posma īstenošanas izslēgtajiem projektiem projekta netiešās attiecināmās izmaksas plāno kā vienu izmaksu pozīciju, piemērojot netiešo izmaksu vienoto likmi septiņu procentu apmērā no šo noteikumu 30.1. un 30.2. apakšpunktā minētajām tiešajām attiecināmajām izmaksām saskaņā ar Regulas Nr.  2021/1060 54. panta pirmās daļas "a" apakšpunktu;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noteikumu projekta  30.4.</w:t>
            </w:r>
            <w:r w:rsidR="00000000" w:rsidRPr="00000000" w:rsidDel="00000000">
              <w:rPr>
                <w:vertAlign w:val="superscript"/>
                <w:rtl w:val="0"/>
              </w:rPr>
              <w:t xml:space="preserve">3</w:t>
            </w:r>
            <w:r w:rsidR="00000000" w:rsidRPr="00000000" w:rsidDel="00000000">
              <w:rPr>
                <w:rtl w:val="0"/>
              </w:rPr>
              <w:t xml:space="preserve">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w:t>
            </w:r>
            <w:r w:rsidR="00000000" w:rsidRPr="00000000" w:rsidDel="00000000">
              <w:rPr>
                <w:vertAlign w:val="superscript"/>
                <w:rtl w:val="0"/>
              </w:rPr>
              <w:t xml:space="preserve">3</w:t>
            </w:r>
            <w:r w:rsidR="00000000" w:rsidRPr="00000000" w:rsidDel="00000000">
              <w:rPr>
                <w:rtl w:val="0"/>
              </w:rPr>
              <w:t xml:space="preserve"> no projekta otrā posma īstenošanas izslēgtajiem projektiem projekta netiešās attiecināmās izmaksas plāno kā vienu izmaksu pozīciju, piemērojot netiešo izmaksu vienoto likmi septiņu procentu apmērā no šo noteikumu 30.1., 30.2. un 30.4.2   apakšpunktā minētajām tiešajām attiecināmajām izmaksām saskaņā ar Regulas Nr.  2021/1060 54. panta pirmās daļas "a"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30.4.</w:t>
            </w:r>
            <w:r w:rsidR="00000000" w:rsidRPr="00000000" w:rsidDel="00000000">
              <w:rPr>
                <w:vertAlign w:val="superscript"/>
                <w:rtl w:val="0"/>
              </w:rPr>
              <w:t xml:space="preserve">3</w:t>
            </w:r>
            <w:r w:rsidR="00000000" w:rsidRPr="00000000" w:rsidDel="00000000">
              <w:rPr>
                <w:rtl w:val="0"/>
              </w:rPr>
              <w:t xml:space="preserve">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w:t>
            </w:r>
            <w:r w:rsidR="00000000" w:rsidRPr="00000000" w:rsidDel="00000000">
              <w:rPr>
                <w:vertAlign w:val="superscript"/>
                <w:rtl w:val="0"/>
              </w:rPr>
              <w:t xml:space="preserve">3</w:t>
            </w:r>
            <w:r w:rsidR="00000000" w:rsidRPr="00000000" w:rsidDel="00000000">
              <w:rPr>
                <w:rtl w:val="0"/>
              </w:rPr>
              <w:t xml:space="preserve"> no projekta otrā posma īstenošanas izslēgtajiem projektiem projekta netiešās attiecināmās izmaksas plāno kā vienu izmaksu pozīciju, piemērojot netiešo izmaksu vienoto likmi septiņu procentu apmērā no šo noteikumu 30.1., 30.2. un 30.4.</w:t>
            </w:r>
            <w:r w:rsidR="00000000" w:rsidRPr="00000000" w:rsidDel="00000000">
              <w:rPr>
                <w:vertAlign w:val="superscript"/>
                <w:rtl w:val="0"/>
              </w:rPr>
              <w:t xml:space="preserve">2</w:t>
            </w:r>
            <w:r w:rsidR="00000000" w:rsidRPr="00000000" w:rsidDel="00000000">
              <w:rPr>
                <w:rtl w:val="0"/>
              </w:rPr>
              <w:t xml:space="preserve"> apakšpunktā minētajām tiešajām attiecināmajām izmaksām saskaņā ar Regulas Nr.  2021/1060 54. panta pirmās daļas "a" apakšpunktu;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Šo noteikumu 20.3. apakšpunktā minētajiem projekta iesniedzējiem finansējums pieejams 100% apmērā no paredzamās būvdarbu līguma summas, ieskaitot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skaidrot noteikumu projekta 31.1.apakšpunktu, ņemot vērā, ka pievienotās vērtības nodokļa izmaksas Atveseļošanas un noturības mehānisma plāna ietvaros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31.</w:t>
            </w:r>
            <w:r w:rsidR="00000000" w:rsidRPr="00000000" w:rsidDel="00000000">
              <w:rPr>
                <w:vertAlign w:val="superscript"/>
                <w:rtl w:val="0"/>
              </w:rPr>
              <w:t xml:space="preserve">1</w:t>
            </w:r>
            <w:r w:rsidR="00000000" w:rsidRPr="00000000" w:rsidDel="00000000">
              <w:rPr>
                <w:rtl w:val="0"/>
              </w:rPr>
              <w:t xml:space="preserve">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Šo noteikumu 20.3. apakšpunktā minētajiem projekta iesniedzējiem finansējums pieejams 100% apmērā no paredzamās būvdarbu līguma summas, ieskaitot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neveidot apakšpunktu, papildinot 31. punkta ievaddaļu, jo atbilstoši juridiskās tehnikas prasībām apakšpunktus veido vienīgi gadījumos, ja tie ir vismaz divi.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31.1.apakšpunkts izteikts kā 31.</w:t>
            </w:r>
            <w:r w:rsidR="00000000" w:rsidRPr="00000000" w:rsidDel="00000000">
              <w:rPr>
                <w:vertAlign w:val="superscript"/>
                <w:rtl w:val="0"/>
              </w:rPr>
              <w:t xml:space="preserve">1</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Nozares ministrija sadarbībā ar Kultūras ministriju izvērtē un pieņem lēmumu par finansējuma saņēmēja iesniegto tehnisko dokumentāciju vadības informācijas sistēmā tiklīdz tā iesniegta un sniedz atzinumu par projekta tālāku īstenošanu, ņemot vērā paredzēto kopējo primārās enerģijas ietaupījumu, kas nav mazāks par šo noteikumu pielikumā norādīto kopējās primārās enerģijas ietaupījumu attiecībā pret finansējumu. Nosacījums par pilnas tehniskās dokumentācijas iesniegšanu neattiecas uz šo noteikumu 44. punktā minēto finansējuma saņēmēju. Ja projekta īstenošana tiek turpināta, atzinumā norāda kopējo projekta finansējumu un projekta ietvaros sasniedzamo šo noteikumu </w:t>
            </w:r>
            <w:r w:rsidR="00000000" w:rsidRPr="00000000" w:rsidDel="00000000">
              <w:rPr>
                <w:rtl w:val="0"/>
              </w:rPr>
              <w:t xml:space="preserve">5.2.2.</w:t>
            </w:r>
            <w:r w:rsidR="00000000" w:rsidRPr="00000000" w:rsidDel="00000000">
              <w:rPr>
                <w:rtl w:val="0"/>
              </w:rPr>
              <w:t xml:space="preserve"> apakšpunktā</w:t>
            </w:r>
            <w:r w:rsidR="00000000" w:rsidRPr="00000000" w:rsidDel="00000000">
              <w:rPr>
                <w:rtl w:val="0"/>
              </w:rPr>
              <w:t xml:space="preserve"> noteikto uzraudzības rādītāju un </w:t>
            </w:r>
            <w:r w:rsidR="00000000" w:rsidRPr="00000000" w:rsidDel="00000000">
              <w:rPr>
                <w:rtl w:val="0"/>
              </w:rPr>
              <w:t xml:space="preserve">5.3.2.</w:t>
            </w:r>
            <w:r w:rsidR="00000000" w:rsidRPr="00000000" w:rsidDel="00000000">
              <w:rPr>
                <w:rtl w:val="0"/>
              </w:rPr>
              <w:t xml:space="preserve"> apakšpunktā</w:t>
            </w:r>
            <w:r w:rsidR="00000000" w:rsidRPr="00000000" w:rsidDel="00000000">
              <w:rPr>
                <w:rtl w:val="0"/>
              </w:rPr>
              <w:t xml:space="preserve"> noteikto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9. punktā svītrot vārdus "tiklīdz tā iesniegta" vai papildināt minēto punktu ar termiņu, kādā pieņem attiecīgo lēmumu. Norādām, ka šobrīd no minētā punkta neizriet, vai, tiklīdz iesniegta attiecīgā dokumentācija, uzreiz jāpieņem lēmums, kas varētu būt nesamērīgs termiņš dokumentācijas izvērtēšanai un lēmuma pieņemšanai.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Nozares ministrija sadarbībā ar Kultūras ministriju izvērtē finansējuma saņēmēja iesniegto tehnisko dokumentāciju, izņemot šo noteikumu pielikumā minēto projekta iesniedzēju Mākslu izglītības kompetences centrs "Nacionālā Mākslu vidusskola" (projekta īstenošanas adrese Slokas ielas 52a, Rīga), kam tehniskā dokumentācija ir jau izvērtēta, vadības informācijas sistēmā tiklīdz tā iesniegta un sniedz atzinumu par projekta tālāku īstenošanu, ņemot vērā paredzēto kopējo primārās enerģijas ietaupījumu, kas nav mazāks par šo noteikumu pielikumā norādīto kopējās primārās enerģijas ietaupījumu attiecībā pret finansējumu. Nosacījums par pilnas tehniskās dokumentācijas iesniegšanu neattiecas uz šo noteikumu 44. punktā minēto finansējuma saņēmēju. Ja projekta īstenošana tiek turpināta, atzinumā norāda kopējo projekta finansējumu un projekta ietvaros sasniedzamo šo noteikumu </w:t>
            </w:r>
            <w:r w:rsidR="00000000" w:rsidRPr="00000000" w:rsidDel="00000000">
              <w:rPr>
                <w:rtl w:val="0"/>
              </w:rPr>
              <w:t xml:space="preserve">5.2.2.</w:t>
            </w:r>
            <w:r w:rsidR="00000000" w:rsidRPr="00000000" w:rsidDel="00000000">
              <w:rPr>
                <w:rtl w:val="0"/>
              </w:rPr>
              <w:t xml:space="preserve"> apakšpunktā</w:t>
            </w:r>
            <w:r w:rsidR="00000000" w:rsidRPr="00000000" w:rsidDel="00000000">
              <w:rPr>
                <w:rtl w:val="0"/>
              </w:rPr>
              <w:t xml:space="preserve"> noteikto uzraudzības rādītāju un </w:t>
            </w:r>
            <w:r w:rsidR="00000000" w:rsidRPr="00000000" w:rsidDel="00000000">
              <w:rPr>
                <w:rtl w:val="0"/>
              </w:rPr>
              <w:t xml:space="preserve">5.3.2.</w:t>
            </w:r>
            <w:r w:rsidR="00000000" w:rsidRPr="00000000" w:rsidDel="00000000">
              <w:rPr>
                <w:rtl w:val="0"/>
              </w:rPr>
              <w:t xml:space="preserve"> apakšpunktā</w:t>
            </w:r>
            <w:r w:rsidR="00000000" w:rsidRPr="00000000" w:rsidDel="00000000">
              <w:rPr>
                <w:rtl w:val="0"/>
              </w:rPr>
              <w:t xml:space="preserve"> noteikto mērķi.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Nozares ministrija sadarbībā ar Kultūras ministriju izvērtē un pieņem lēmumu par finansējuma saņēmēja iesniegto tehnisko dokumentāciju vadības informācijas sistēmā tiklīdz tā iesniegta un sniedz atzinumu par projekta tālāku īstenošanu, ņemot vērā paredzēto kopējo primārās enerģijas ietaupījumu attiecībā pret finansējumu, kas nav mazāks par šo noteikumu pielikumā norādīto. Nosacījums neattiecas uz šo noteikumu 44. punktā minēto izņēmumu. Ja projekta īstenošana tiek turpināta, atzinumā norāda kopējo projekta finansējumu un projekta ietvaros sasniedzamo šo noteikumu </w:t>
            </w:r>
            <w:r w:rsidR="00000000" w:rsidRPr="00000000" w:rsidDel="00000000">
              <w:rPr>
                <w:rtl w:val="0"/>
              </w:rPr>
              <w:t xml:space="preserve">5.2.2.</w:t>
            </w:r>
            <w:r w:rsidR="00000000" w:rsidRPr="00000000" w:rsidDel="00000000">
              <w:rPr>
                <w:rtl w:val="0"/>
              </w:rPr>
              <w:t xml:space="preserve"> apakšpunktā</w:t>
            </w:r>
            <w:r w:rsidR="00000000" w:rsidRPr="00000000" w:rsidDel="00000000">
              <w:rPr>
                <w:rtl w:val="0"/>
              </w:rPr>
              <w:t xml:space="preserve"> noteikto uzraudzības rādītāju un </w:t>
            </w:r>
            <w:r w:rsidR="00000000" w:rsidRPr="00000000" w:rsidDel="00000000">
              <w:rPr>
                <w:rtl w:val="0"/>
              </w:rPr>
              <w:t xml:space="preserve">5.3.2.</w:t>
            </w:r>
            <w:r w:rsidR="00000000" w:rsidRPr="00000000" w:rsidDel="00000000">
              <w:rPr>
                <w:rtl w:val="0"/>
              </w:rPr>
              <w:t xml:space="preserve"> apakšpunktā</w:t>
            </w:r>
            <w:r w:rsidR="00000000" w:rsidRPr="00000000" w:rsidDel="00000000">
              <w:rPr>
                <w:rtl w:val="0"/>
              </w:rPr>
              <w:t xml:space="preserve"> noteikto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42. punkta pirmajā teikumā precīzi norādīt, kas nav mazāks par šo noteikumu pielikumā norādīto, proti, ietaupījums vai finansējums, izvairoties no interpretācijas iespējām. Līdzīgi lūdzam minētā punkta otrajā teikumā precīzāk norādīt, kurš  nosacījums šajā teikumā ir domāts.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42. punkts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Nozares ministrija sadarbībā ar Kultūras ministriju izvērtē finansējuma saņēmēja iesniegto tehnisko dokumentāciju, izņemot šo noteikumu pielikumā minēto projekta iesniedzēju Mākslu izglītības kompetences centrs "Nacionālā Mākslu vidusskola" (projekta īstenošanas adrese Slokas ielas 52a, Rīga), kam tehniskā dokumentācija ir jau izvērtēta, vadības informācijas sistēmā tiklīdz tā iesniegta un sniedz atzinumu par projekta tālāku īstenošanu, ņemot vērā paredzēto kopējo primārās enerģijas ietaupījumu, kas nav mazāks par šo noteikumu pielikumā norādīto kopējās primārās enerģijas ietaupījumu attiecībā pret finansējumu. Nosacījums par pilnas tehniskās dokumentācijas iesniegšanu neattiecas uz šo noteikumu 44. punktā minēto finansējuma saņēmēju. Ja projekta īstenošana tiek turpināta, atzinumā norāda kopējo projekta finansējumu un projekta ietvaros sasniedzamo šo noteikumu </w:t>
            </w:r>
            <w:r w:rsidR="00000000" w:rsidRPr="00000000" w:rsidDel="00000000">
              <w:rPr>
                <w:rtl w:val="0"/>
              </w:rPr>
              <w:t xml:space="preserve">5.2.2.</w:t>
            </w:r>
            <w:r w:rsidR="00000000" w:rsidRPr="00000000" w:rsidDel="00000000">
              <w:rPr>
                <w:rtl w:val="0"/>
              </w:rPr>
              <w:t xml:space="preserve"> apakšpunktā</w:t>
            </w:r>
            <w:r w:rsidR="00000000" w:rsidRPr="00000000" w:rsidDel="00000000">
              <w:rPr>
                <w:rtl w:val="0"/>
              </w:rPr>
              <w:t xml:space="preserve"> noteikto uzraudzības rādītāju un </w:t>
            </w:r>
            <w:r w:rsidR="00000000" w:rsidRPr="00000000" w:rsidDel="00000000">
              <w:rPr>
                <w:rtl w:val="0"/>
              </w:rPr>
              <w:t xml:space="preserve">5.3.2.</w:t>
            </w:r>
            <w:r w:rsidR="00000000" w:rsidRPr="00000000" w:rsidDel="00000000">
              <w:rPr>
                <w:rtl w:val="0"/>
              </w:rPr>
              <w:t xml:space="preserve"> apakšpunktā</w:t>
            </w:r>
            <w:r w:rsidR="00000000" w:rsidRPr="00000000" w:rsidDel="00000000">
              <w:rPr>
                <w:rtl w:val="0"/>
              </w:rPr>
              <w:t xml:space="preserve"> noteikto mērķi.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Nozares ministrija sadarbībā ar Kultūras ministriju mēneša laikā izvērtē un pieņem lēmumu par finansējuma saņēmēja iesniegto tehnisko dokumentāciju vadības informācijas sistēmā tiklīdz tā iesniegta un sniedz atzinumu par iespēju turpināt projekta  īstenošanu. Ja projekta īstenošana investīcijas ietvaros var tikt turpināta, atzinumā norāda kopējo projekta finansējumu un projekta ietvaros sasniedzamo šo noteikumu </w:t>
            </w:r>
            <w:r w:rsidR="00000000" w:rsidRPr="00000000" w:rsidDel="00000000">
              <w:rPr>
                <w:rtl w:val="0"/>
              </w:rPr>
              <w:t xml:space="preserve">5.2.2.</w:t>
            </w:r>
            <w:r w:rsidR="00000000" w:rsidRPr="00000000" w:rsidDel="00000000">
              <w:rPr>
                <w:rtl w:val="0"/>
              </w:rPr>
              <w:t xml:space="preserve"> apakšpunktā</w:t>
            </w:r>
            <w:r w:rsidR="00000000" w:rsidRPr="00000000" w:rsidDel="00000000">
              <w:rPr>
                <w:rtl w:val="0"/>
              </w:rPr>
              <w:t xml:space="preserve"> noteikto uzraudzības rādītāju un </w:t>
            </w:r>
            <w:r w:rsidR="00000000" w:rsidRPr="00000000" w:rsidDel="00000000">
              <w:rPr>
                <w:rtl w:val="0"/>
              </w:rPr>
              <w:t xml:space="preserve">5.3.2.</w:t>
            </w:r>
            <w:r w:rsidR="00000000" w:rsidRPr="00000000" w:rsidDel="00000000">
              <w:rPr>
                <w:rtl w:val="0"/>
              </w:rPr>
              <w:t xml:space="preserve"> apakšpunktā</w:t>
            </w:r>
            <w:r w:rsidR="00000000" w:rsidRPr="00000000" w:rsidDel="00000000">
              <w:rPr>
                <w:rtl w:val="0"/>
              </w:rPr>
              <w:t xml:space="preserve"> noteikto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ierosinātos grozījumus MK noteikumu Nr. 443 42. punktā, lai no jaunās punkta redakcijas būtu nepārprotami skaidrs normas mērķis un būtība. Papildus lūdzam izvērtēt, vai plānotais grozījums MK noteikumu Nr. 443 42. punktā nepieciešams, ņemot vērā, ka arī iepriekšējā redakcija noteica, ka dokumentācija tiek izvērtēta mēneša laikā no tās iesniegšanas.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Nozares ministrija sadarbībā ar Kultūras ministriju izvērtē finansējuma saņēmēja iesniegto tehnisko dokumentāciju, izņemot šo noteikumu pielikumā minēto projekta iesniedzēju Mākslu izglītības kompetences centrs "Nacionālā Mākslu vidusskola" (projekta īstenošanas adrese Slokas ielas 52a, Rīga), kam tehniskā dokumentācija ir jau izvērtēta, vadības informācijas sistēmā tiklīdz tā iesniegta un sniedz atzinumu par projekta tālāku īstenošanu, ņemot vērā paredzēto kopējo primārās enerģijas ietaupījumu, kas nav mazāks par šo noteikumu pielikumā norādīto kopējās primārās enerģijas ietaupījumu attiecībā pret finansējumu. Nosacījums par pilnas tehniskās dokumentācijas iesniegšanu neattiecas uz šo noteikumu 44. punktā minēto finansējuma saņēmēju. Ja projekta īstenošana tiek turpināta, atzinumā norāda kopējo projekta finansējumu un projekta ietvaros sasniedzamo šo noteikumu </w:t>
            </w:r>
            <w:r w:rsidR="00000000" w:rsidRPr="00000000" w:rsidDel="00000000">
              <w:rPr>
                <w:rtl w:val="0"/>
              </w:rPr>
              <w:t xml:space="preserve">5.2.2.</w:t>
            </w:r>
            <w:r w:rsidR="00000000" w:rsidRPr="00000000" w:rsidDel="00000000">
              <w:rPr>
                <w:rtl w:val="0"/>
              </w:rPr>
              <w:t xml:space="preserve"> apakšpunktā</w:t>
            </w:r>
            <w:r w:rsidR="00000000" w:rsidRPr="00000000" w:rsidDel="00000000">
              <w:rPr>
                <w:rtl w:val="0"/>
              </w:rPr>
              <w:t xml:space="preserve"> noteikto uzraudzības rādītāju un </w:t>
            </w:r>
            <w:r w:rsidR="00000000" w:rsidRPr="00000000" w:rsidDel="00000000">
              <w:rPr>
                <w:rtl w:val="0"/>
              </w:rPr>
              <w:t xml:space="preserve">5.3.2.</w:t>
            </w:r>
            <w:r w:rsidR="00000000" w:rsidRPr="00000000" w:rsidDel="00000000">
              <w:rPr>
                <w:rtl w:val="0"/>
              </w:rPr>
              <w:t xml:space="preserve"> apakšpunktā</w:t>
            </w:r>
            <w:r w:rsidR="00000000" w:rsidRPr="00000000" w:rsidDel="00000000">
              <w:rPr>
                <w:rtl w:val="0"/>
              </w:rPr>
              <w:t xml:space="preserve"> noteikto mērķi.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Šo noteikumu pielikumā minētais projekta iesniedzējs valsts sabiedrība ar ierobežotu atbildību "Latvijas Nacionālā opera un balets" (projekta īstenošanas adrese – Aspazijas bulvāris 3, Rīga), projekta iesniedzējs valsts akciju sabiedrība "Valsts nekustamie īpašumi" (projekta īstenošanas adrese – Amatu iela 6, Rīga), kura projekts tiek īstenots kā augstākās gatavības projekts, ir tiesīgs vadības informācijas sistēmā iesniegt veiktās priekšizpētes pamatojošos dokumentus, ja projektā tiek īstenots apvienotais projektēšanas un būvdarbu iepirkums. Nosacījums par veiktās priekšizpētes pamatojošo dokumentu iesniegšanu vadības informācijas sistēmā neattiecas uz projekta iesniedzēju Mākslu izglītības kompetences centrs "Nacionālā Mākslu vidusskola" (projekta īstenošanas adrese Slokas ielas 52a, Rīga), kam būvprojekts ir jau izvērtēts atbilstoši šo noteikumu 42. punktam, kā arī šo noteikumu 20.3. apakšpunktā minētajiem projekta iesniedzējiem, kuru projekts tiek īstenots kā augstākās gatavības projekts un finansējums pieejams saskaņā ar šo noteikumu 31.1. apakšpunktā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uz mākslu izglītības kompetences centru "Nacionālā Mākslu vidusskola" u.c. jebkurā gadījumā neattiecas nosacījums par veiktās priekšizpētes pamatojošo dokumentu iesniegšanu vadības informācijas sistēmā, jo tas attiecas vienīgi uz valsts sabiedrība ar ierobežotu atbildību "Latvijas Nacionālā opera un balets" (projekta īstenošanas adrese – Aspazijas bulvāris 3, Rīga) un projekta iesniedzēju valsts akciju sabiedrība "Valsts nekustamie īpašumi". Attiecīgi nav nepieciešama noteikumu Nr. 443 44. punkta otrajā teikumā iekļautā norāde par minētā nosacījuma neattiecināšanu, tādēļ lūdzam to svītrot vai citādi precizēt minēto noteikumu 44.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42. punkts un noteikumu projekts papildināts ar jaunu 44.</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Šo noteikumu pielikumā minētais projekta iesniedzējs valsts sabiedrība ar ierobežotu atbildību "Latvijas Nacionālā opera un balets" (projekta īstenošanas adrese – Aspazijas bulvāris 3, Rīga), projekta iesniedzējs valsts akciju sabiedrība "Valsts nekustamie īpašumi" (projekta īstenošanas adrese – Amatu iela 6, Rīga), kura projekts tiek īstenots kā augstākās gatavības projekts, ir tiesīgs vadības informācijas sistēmā iesniegt veiktās priekšizpētes pamatojošos dokumentus, ja projektā tiek īstenots apvienotais projektēšanas un būvdarbu iepirkums.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Šo noteikumu pielikumā minētais projekta iesniedzējs valsts sabiedrība ar ierobežotu atbildību "Latvijas Nacionālā opera un balets" (projekta īstenošanas adrese – Aspazijas bulvāris 3, Rīga), projekta iesniedzējs valsts akciju sabiedrība "Valsts nekustamie īpašumi" (projekta īstenošanas adrese – Amatu iela 6, Rīga) un projekta iesniedzējs Profesionālās izglītības kompetences centrs "Nacionālā Mākslu vidusskola" (projekta īstenošanas adrese Slokas ielas 52a, Rīga), kura projekts tiek īstenots kā augstākās gatavības projekts, ir tiesīgs vadības informācijas sistēmā iesniegt veiktās priekšizpētes pamatojošos dokumentus, ja projektā tiek īstenots apvienotais projektēšanas un būvdarbu iepirkums. Nosacījums par veiktās priekšizpētes pamatojošo dokumentu iesniegšanu vadības informācijas sistēmā neattiecas uz projekta iesniedzēju Profesionālās izglītības kompetences centrs "Nacionālā Mākslu vidusskola" (projekta īstenošanas adrese Slokas ielas 52a, Rīga), kam būvprojekts ir jau izvērtēts atbilstoši šo noteikumu 42.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11. punktu, salāgojot abus tā teikumus. Norādām, ja uz projekta iesniedzēju Profesionālās izglītības kompetences centru "Nacionālā Mākslu vidusskola" (projekta īstenošanas adrese Slokas ielas 52a, Rīga) attiecināmas 11. punkta pirmajā teikumā paredzētās tiesības, nav loģiski pretēji minētajam 11. punkta otrajā teikumā noteikt, ka pirmajā teikumā ietvertais nosacījums (par šīm tiesībām) uz minēto subjektu nav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Šo noteikumu pielikumā minētais projekta iesniedzējs valsts sabiedrība ar ierobežotu atbildību "Latvijas Nacionālā opera un balets" (projekta īstenošanas adrese – Aspazijas bulvāris 3, Rīga), projekta iesniedzējs valsts akciju sabiedrība "Valsts nekustamie īpašumi" (projekta īstenošanas adrese – Amatu iela 6, Rīga), kura projekts tiek īstenots kā augstākās gatavības projekts, ir tiesīgs vadības informācijas sistēmā iesniegt veiktās priekšizpētes pamatojošos dokumentus, ja projektā tiek īstenots apvienotais projektēšanas un būvdarbu iepirkums.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Ja visu apstiprināto projektu kopējās izmaksas pārsniedz šo noteikumu ietvaros investīcijai pieejamo finansējumu, aģentūra atļauj turpināt projekta īstenošanu tiem pozitīvu nozares ministrijas un Kultūras ministrijas atzinumu saņēmušajiem projektiem, kuriem ir visaugstākais kopējās primārās enerģijas ietaupījums attiecībā pret finansējumu.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anotācijā sniegtā skaidrojuma nerodas pārliecība, kā noteikumu projektā paredzētie grozījumi, jo īpaši 3. un 4. punktā ietvertais regulējums, sader ar tiesiskās paļāvības principu un nav skaidrs, kā tie ietekmēs privātpersonas - valsts sabiedrību ar ierobežotu atbildību "Latvijas Nacionālā opera un balets" un valsts akciju sabiedrību "Valsts nekustamie īpašumi", tādēļ lūdzam papildināt anotāciju ar attiecīgu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skaidrojam, ka tiesiskās paļāvības princips noteic, ka privātpersona var paļauties, ka iestādes rīcība ir tiesiska un konsekventa, tai skaitā persona var paļauties, ka tā noteiktajā laikā varēs īstenot tai iegūtās tiesības. Satversmes tiesa ir norādījusi (sk. </w:t>
            </w:r>
            <w:r w:rsidR="00000000" w:rsidRPr="00000000" w:rsidDel="00000000">
              <w:rPr>
                <w:i w:val="1"/>
                <w:rtl w:val="0"/>
              </w:rPr>
              <w:t xml:space="preserve">2009. gada 26. novembra spriedumu lietā Nr. 2009-08-01</w:t>
            </w:r>
            <w:r w:rsidR="00000000" w:rsidRPr="00000000" w:rsidDel="00000000">
              <w:rPr>
                <w:rtl w:val="0"/>
              </w:rPr>
              <w:t xml:space="preserve">), ka gadījumā, kad normatīvā regulējuma grozījumu rezultātā notiek vai ir iespējama privātpersonu tiesiskā stāvokļa pasliktināšanās, tiesiskās paļāvības princips nodrošina šo personu tiesību aizsardzību, proti, persona var paļauties, ka tā noteiktajā laikā varēs īstenot tai iegūtās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projekta anotācijā nepieciešams izvērsti skaidrot, kā paredzētie grozījumi ietekmēs personas, kuras jau ir pieteikušās atbalstam vai kurām atbalsts piešķirts Ministru kabineta 2023. gada 8. augusta noteikumu  Nr. 443 "Eiropas Savienības Atveseļošanas un noturības mehānisma plāna 1.2. reformu un investīciju virziena "Energoefektivitātes uzlabošana" 1.2.1.4.i. investīcijas "Energoefektivitātes uzlabošana valsts sektora ēkās, t. sk. vēsturiskajās ēkās" īstenošanas noteikumi" ietvaros (vai minētajām personām pasliktināsies tiesiski iegūtais stāvoklis), tai skaitā, vai šīs personas ir informētas par iespējamiem grozījumiem un tās brīvprātīgi piekritušas šādiem grozījumiem. Ja minētie grozījumi negatīvi un bez būtiska pamatojuma ietekmēs personu jau iegūtās tiesības, Tieslietu ministrija nevar atbalstīt attiecīgā noteikumu projekta regulējuma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44. punkts netiek svītrots, bet tiek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Kultūras ministrija var mainīt šo noteikumu pielikumā noteikto finansējuma apmēru projekta iesniedzējiem, sniedzot apliecinājumu Ekonomikas ministrijai un norādot finansējuma sadalījumu starp projektiem, ja kādā no projektiem tik konstatēts finansējuma pārpalikums, kurš var tikt novirzīts uz projektu, kura īstenošanai nepieciešams papildu finansējums. Aģentūrā Kultūras ministrija iesniedz pamatojumu par izmaiņu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 punktu nepieciešams izvērtēt un precizēt vai svītrot. Norādām, ka finansējuma apmērs tiek iekļauts projekta iesniegumā, bet pēc tam tas tiek norādīts līgumā par projekta īstenošanu, kura puses ir Centrālā finanšu un līgumu aģentūra un finansējuma saņēmējs, attiecīgi nav saskatāms pamatojums tam, Kultūras ministrija (kura nav līguma dalībniece) var minētā līguma izpildes ietvaros vienpusēji mainīt pielikumā noteikto finansējuma apmēru, uz kā pamata jau ir noslēgts minētais līgums. Paužam bažas, ka tādējādi var tikt aizskarta finansējuma saņēmēja tiesiskā paļāvība.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47.</w:t>
            </w:r>
            <w:r w:rsidR="00000000" w:rsidRPr="00000000" w:rsidDel="00000000">
              <w:rPr>
                <w:vertAlign w:val="superscript"/>
                <w:rtl w:val="0"/>
              </w:rPr>
              <w:t xml:space="preserve">1</w:t>
            </w:r>
            <w:r w:rsidR="00000000" w:rsidRPr="00000000" w:rsidDel="00000000">
              <w:rPr>
                <w:rtl w:val="0"/>
              </w:rPr>
              <w:t xml:space="preserve"> punkts precizēts un papildināta informācija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Kultūras ministrija pēc finansējuma saņēmēja, kura projektā izveidojies finansējuma pārpalikums, pieprasījuma var rosināt mainīt šo noteikumu pielikumā noteikto finansējuma apmēru projekta iesniedzējiem, rakstiski informējot Ekonomikas ministriju un aģentūru ar pamatojumu finansējuma sadalījumam starp projektiem, ja finansējuma pārpalikums var tikt novirzīts uz projektu, kura īstenošanai nepieciešams papildu finansējums.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 šo noteikumu 56.1. un 56.2. apakšpunktā minētie nosacījumi neattiecas uz šo noteikumu 20.3. apakšpunktā minēto projekta iesniedzēju valsts akciju sabiedrība "Valsts nekustamie īpašumi" (projekta īstenošanas adrese –  Talejas iela 1, Rīga).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projektā ir iekļauta jauna ēka Talejas ielā 1, kurā netiek nodrošināti kultūras pakalpojumi, un attiecīgi -  var secināt, ka attiecībā uz šo projektu nav iekļauti komercdarbības atbalstu izslēdzošie nosacījumi, proti, nav paredzēti ne papildpakalpojumi, ne papildinošā saimnieciskā darbība, ne to uzraudzības nosacījumi (pašdeklarēšanās princips, metodes u.c.). Lūdzam papildināt noteikumu grozījumu projektu un anotāciju, iekļaujot papildinošās saimnieciskās darbības uzraudzības aspektus, un nosacījumu, ka atbildīgā iestāde izstrādās papildinošās saimnieciskās darbības uzraudzības metodiku, pretējā gadījumā anotācijā norāda, ka minētajā ēkā nav atļauta ne papildinošā saimnieciskā darbība, ne papildpakalpojumi.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56.3. apakšpunkts, 59. punkts, noteikumu projekts papildināts ar 56.</w:t>
            </w:r>
            <w:r w:rsidR="00000000" w:rsidRPr="00000000" w:rsidDel="00000000">
              <w:rPr>
                <w:vertAlign w:val="superscript"/>
                <w:rtl w:val="0"/>
              </w:rPr>
              <w:t xml:space="preserve">1</w:t>
            </w:r>
            <w:r w:rsidR="00000000" w:rsidRPr="00000000" w:rsidDel="00000000">
              <w:rPr>
                <w:rtl w:val="0"/>
              </w:rPr>
              <w:t xml:space="preserve"> un 59.</w:t>
            </w:r>
            <w:r w:rsidR="00000000" w:rsidRPr="00000000" w:rsidDel="00000000">
              <w:rPr>
                <w:vertAlign w:val="superscript"/>
                <w:rtl w:val="0"/>
              </w:rPr>
              <w:t xml:space="preserve">1</w:t>
            </w:r>
            <w:r w:rsidR="00000000" w:rsidRPr="00000000" w:rsidDel="00000000">
              <w:rPr>
                <w:rtl w:val="0"/>
              </w:rPr>
              <w:t xml:space="preserve"> punktu, 56.</w:t>
            </w:r>
            <w:r w:rsidR="00000000" w:rsidRPr="00000000" w:rsidDel="00000000">
              <w:rPr>
                <w:vertAlign w:val="superscript"/>
                <w:rtl w:val="0"/>
              </w:rPr>
              <w:t xml:space="preserve">1</w:t>
            </w:r>
            <w:r w:rsidR="00000000" w:rsidRPr="00000000" w:rsidDel="00000000">
              <w:rPr>
                <w:rtl w:val="0"/>
              </w:rPr>
              <w:t xml:space="preserve">1. un 56.</w:t>
            </w:r>
            <w:r w:rsidR="00000000" w:rsidRPr="00000000" w:rsidDel="00000000">
              <w:rPr>
                <w:vertAlign w:val="superscript"/>
                <w:rtl w:val="0"/>
              </w:rPr>
              <w:t xml:space="preserve">1</w:t>
            </w:r>
            <w:r w:rsidR="00000000" w:rsidRPr="00000000" w:rsidDel="00000000">
              <w:rPr>
                <w:rtl w:val="0"/>
              </w:rPr>
              <w:t xml:space="preserve">2. apakšpunktu un papildināta informācija anotācijas 1.3.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 šo noteikumu 29.1.2. apakšpunktā minētās atbalstāmās darbības atjaunojamo energoresursu tehnoloģiju iegādei un uzstādīšanai elektroenerģijas ražošanai ietvaros vismaz 80 % no gadā saražotās enerģijas iekārtu amortizācijas periodā tiek izmantoti pašpatēriņam.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 šo noteikumu 56.1. un 56.2. apakšpunktā minētie nosacījumi neattiecas uz šo noteikumu 20.3. apakšpunktā minēto projekta iesniedzēju valsts akciju sabiedrība "Valsts nekustamie īpašumi" (projekta īstenošanas adrese –  Talejas iela 1, Rīga).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projektā paredzēt atsevišķu punktu par noteikumu Nr. 443 56. punkta neattiecināšanu uz projekta iesniedzēju valsts akciju sabiedrība "Valsts nekustamie īpašumi" (projekta īstenošanas adrese –  Talejas iela 1, Rīga), lai izslēgtu šaubas, ka minētajam projekta iesniedzējam finansējumu šo noteikumu 29. punktā minēto atbalstāmo darbību īstenošanai, paredzot energoefektivitātes uzlabošanas pasākumus ēkās, kuras paredzēts ekspluatēt atbilstoši kultūras funkcijai, piešķir.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56.3. apakšpunkts, 59. punkts, noteikumu projekts papildināts ar 56.</w:t>
            </w:r>
            <w:r w:rsidR="00000000" w:rsidRPr="00000000" w:rsidDel="00000000">
              <w:rPr>
                <w:vertAlign w:val="superscript"/>
                <w:rtl w:val="0"/>
              </w:rPr>
              <w:t xml:space="preserve">1</w:t>
            </w:r>
            <w:r w:rsidR="00000000" w:rsidRPr="00000000" w:rsidDel="00000000">
              <w:rPr>
                <w:rtl w:val="0"/>
              </w:rPr>
              <w:t xml:space="preserve"> un 59.</w:t>
            </w:r>
            <w:r w:rsidR="00000000" w:rsidRPr="00000000" w:rsidDel="00000000">
              <w:rPr>
                <w:vertAlign w:val="superscript"/>
                <w:rtl w:val="0"/>
              </w:rPr>
              <w:t xml:space="preserve">1</w:t>
            </w:r>
            <w:r w:rsidR="00000000" w:rsidRPr="00000000" w:rsidDel="00000000">
              <w:rPr>
                <w:rtl w:val="0"/>
              </w:rPr>
              <w:t xml:space="preserve"> punktu, 56.</w:t>
            </w:r>
            <w:r w:rsidR="00000000" w:rsidRPr="00000000" w:rsidDel="00000000">
              <w:rPr>
                <w:vertAlign w:val="superscript"/>
                <w:rtl w:val="0"/>
              </w:rPr>
              <w:t xml:space="preserve">1</w:t>
            </w:r>
            <w:r w:rsidR="00000000" w:rsidRPr="00000000" w:rsidDel="00000000">
              <w:rPr>
                <w:rtl w:val="0"/>
              </w:rPr>
              <w:t xml:space="preserve">1. un 56.</w:t>
            </w:r>
            <w:r w:rsidR="00000000" w:rsidRPr="00000000" w:rsidDel="00000000">
              <w:rPr>
                <w:vertAlign w:val="superscript"/>
                <w:rtl w:val="0"/>
              </w:rPr>
              <w:t xml:space="preserve">1</w:t>
            </w:r>
            <w:r w:rsidR="00000000" w:rsidRPr="00000000" w:rsidDel="00000000">
              <w:rPr>
                <w:rtl w:val="0"/>
              </w:rPr>
              <w:t xml:space="preserve">2. apakšpunktu un papildināta informācija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 šo noteikumu 29.1.2. apakšpunktā minētās atbalstāmās darbības atjaunojamo energoresursu tehnoloģiju iegādei un uzstādīšanai elektroenerģijas ražošanai ietvaros vismaz 80 % no gadā saražotās enerģijas iekārtu amortizācijas periodā tiek izmantoti pašpatēriņam.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Ja ar saimniecisko darbību nesaistīts projekts vai projekts, kas saistīts ar tādu saimniecisko darbību, kurai sniegtais atbalsts nav kvalificējams kā komercdarbības atbalsts, ieviešanas gaitā vai projekta dzīves ciklā kļūst par projektu, kas saistīts ar saimniecisko darbību, kurai sniegtais atbalsts būtu kvalificējams kā komercdarbības atbalsts, finansējuma saņēmējs no finansējuma, kura avots nav publiskie līdzekļi, atmaksā aģentūrai visu nelikumīgi saņemto atbalstu kopā ar procentiem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projektā nodrošinātu vienotu terminoloģiju, aicinām precizēt noteikumu projekta 58. punktu,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saimniecisko darbību nesaistīts projekts vai projekts, kas saistīts ar tādu saimniecisko darbību, kurai sniegtais atbalsts nav kvalificējams kā komercdarbības atbalsts, ieviešanas gaitā vai projekta dzīves ciklā kļūst par projektu, kas saistīts ar saimniecisko darbību, kurai sniegtais atbalsts būtu kvalificējams kā komercdarbības atbalsts, finansējuma saņēmējs atmaksā aģentūrai nelikumīgo komercdarbības atbalstu kopā ar procentiem no līdzekļiem, kas brīvi no komercdarbības atbalsta, saskaņā ar Komercdarbības atbalsta kontroles likuma IV vai V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58.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Ja ar saimniecisko darbību nesaistīts projekts vai projekts, kas saistīts ar tādu saimniecisko darbību, kurai sniegtais atbalsts nav kvalificējams kā komercdarbības atbalsts, ieviešanas gaitā vai projekta dzīves ciklā kļūst par projektu, kas saistīts ar saimniecisko darbību, kurai sniegtais atbalsts būtu kvalificējams kā komercdarbības atbalsts, finansējuma saņēmējs atmaksā aģentūrai nelikumīgo komercdarbības atbalstu kopā ar procentiem no līdzekļiem, kas ir brīvi no komercdarbības atbalsta, saskaņā ar Komercdarbības atbalsta kontroles likuma IV vai V nodaļu.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iesniedzēja valsts nekustamo īpašumu vai ēku (ēku grupu)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pielikumā svītrot noteikumu Nr. 443 30.1., 30.2., 30.4. un 30.4.1 apakšpunktā iekļauto tiesību normu izklāstu, tādējādi atbilstoši juridiskās tehnikas prasībām nedublējot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iesniedzēja valsts nekustamo īpašumu vai ēku (ēku grupu) saraksts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iesniedzēja valsts nekustamo īpašumu vai ēku (ēku grupu)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“Projekta iesniedzēja valsts nekustamo īpašumus vai ēku (ēku grupu) saraksts” 5.un 6.projektam ir norādītas paredzētās būvdarbu līgumu summas, kas vienlaikus nav iekļautas kopējā finansējuma 26 877 771 </w:t>
            </w:r>
            <w:r w:rsidR="00000000" w:rsidRPr="00000000" w:rsidDel="00000000">
              <w:rPr>
                <w:i w:val="1"/>
                <w:rtl w:val="0"/>
              </w:rPr>
              <w:t xml:space="preserve">euro</w:t>
            </w:r>
            <w:r w:rsidR="00000000" w:rsidRPr="00000000" w:rsidDel="00000000">
              <w:rPr>
                <w:rtl w:val="0"/>
              </w:rPr>
              <w:t xml:space="preserve"> ietvaros, jo šo projektu būvniecība netiek īstenota 1.2.1.4.i. investīcijas ietvaros. Ņemot vērā minēto, lūdzam precizēt pielikumā sniegto informāciju, tabulā atspoguļojot tikai 1.2.1.4.i. investīcijas ietvaros projektu īstenošanai paredzēto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iesniedzēja valsts nekustamo īpašumu vai ēku (ēku grupu) saraksts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24-TA-831</w:t>
    </w:r>
    <w:r>
      <w:br/>
    </w:r>
    <w:r w:rsidR="00000000" w:rsidRPr="00000000" w:rsidDel="00000000">
      <w:rPr>
        <w:rtl w:val="0"/>
      </w:rPr>
      <w:t xml:space="preserve">27.11.2024. 17.27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24-TA-831</w:t>
    </w:r>
    <w:r>
      <w:br/>
    </w:r>
    <w:r w:rsidR="00000000" w:rsidRPr="00000000" w:rsidDel="00000000">
      <w:rPr>
        <w:rtl w:val="0"/>
      </w:rPr>
      <w:t xml:space="preserve">27.11.2024. 17.27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Izziņa_24-TA-831.docx</dc:title>
</cp:coreProperties>
</file>

<file path=docProps/custom.xml><?xml version="1.0" encoding="utf-8"?>
<Properties xmlns="http://schemas.openxmlformats.org/officeDocument/2006/custom-properties" xmlns:vt="http://schemas.openxmlformats.org/officeDocument/2006/docPropsVTypes"/>
</file>