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15. septembra noteikumos Nr. 524 "Kārtība, kādā nosaka, aprēķina un uzskaita katra dzīvojamās mājas īpašnieka maksājamo daļu par dzīvojamās mājas uzturēšanai nepieciešamajiem pakalpojumiem"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(04.02.2025.)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15. septembra noteikumos Nr. 524 "Kārtība, kādā nosaka, aprēķina un uzskaita katra dzīvojamās mājas īpašnieka maksājamo daļu par dzīvojamās mājas uzturēšanai nepieciešamajiem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ir izvērtējusi Ekonomikas ministrijas (turpmāk – EM) sagatavotos grozījumus Ministru kabineta 2015. gada 15. septembra noteikumos Nr. 524 "Kārtība, kādā nosaka, aprēķina un uzskaita katra dzīvojamās mājas īpašnieka maksājamo daļu par dzīvojamās mājas uzturēšanai nepieciešamajiem pakalpojumiem" (turpmāk – Noteikumu projekts) un iebilst pret Noteikumu projektu tālāku virzību, jo Noteikumu projekta anotācijā nav veikts pietiekams izvērtējums par Noteikumu projekta ietekmi uz konkurenci, kā arī  ekonomisko ieguvumu un to samērīgu ietekmi uz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Skatīt grozījumu projekta anotāciju Ministru kabineta 2024. gada 14. maija noteikumiem Nr. 289 "Noteikumi par valsts metroloģiskajai kontrolei pakļauto mērīšanas līdzekļu sarakstu" (25-TA-532)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Patērētāju tiesību aizsardzības centra (turpmāk – PTAC) veiktā pētījuma ietvaros identificētās problēmas tās vērtējumā iespējams novērst arī uzlabojot kontroles mehānismus par laboratorijām, kas ir tiesīgas veikt ūdens patēriņa skaitītāju verifikāciju, izstrādājot kritērijus skaitītāju atkārtotai verifikācijai, proti, ierobežojot reižu skaitu, cik lietots skaitītājs var tikt atkārtoti verificēts vai ieviešot ūdens patēriņa skaitītāja derīguma termiņu, ņemot vērā ražošanas gadu, u.c.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arī norāda, ka nav veikts izvērtējums, cik iespējamais ekonomiskais ieguvums (nav izmaksas par skaitītāju verifikāciju, samazinās ūdens zudumi) ir proporcionāls ar izdevumiem, kas radīsies, pārejot uz attālināti nolasāmiem skaitītājiem, ņemot vērā to uzstādīšanas izmaksas, skaitītāju veidu, ja tiek veikta arī skaitītāja nomaiņa (ultraskaņas ūdens patēriņa skaitītājs ir būtiski dārgāks par mehānisko ūdens patēriņa skaitītāju), kā arī izmaksām, kas būs par skaitītāja rādījumu attālināto nolasīšanu. Līdz ar to KP aicina EM veikt un iekļaut anotācijā ekonomisko izvērtējumu, kā arī anotācijā iekļaut analīzi, vai konkrētajā situācijā Noteikumu projekta mērķi nevar sasniegt ar citiem, mazāk konkurenci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Skatīt grozījumu projekta anotāciju Ministru kabineta 2024. gada 14. maija noteikumiem Nr. 289 "Noteikumi par valsts metroloģiskajai kontrolei pakļauto mērīšanas līdzekļu sarakstu" (25-TA-532).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ietverti nepieciešamie papildinošie skaidrojumi šī grozījumu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vērtējumā Noteikumu projekta plānotās izmaiņas – tas, ka turpmāk dzīvokļu īpašnieku kopībām būs jālemj par vienotu skaitītāju uzstādīšanu (nevis katrs dzīvokļu īpašnieks kā tas ir noteikts šobrīd spēkā esošajos noteikumos) sekmēs, ka dzīvokļu īpašnieku kopībām būs būtiski iegūt kvalitatīvi veiktas tirgus izpētes un konkurētspējīgus piedāvājumus. KP norāda, ka nav saprotams, vai ir veikts izvērtējums vai sagaidāms, ka māju apsaimniekotāji vai pašas dzīvokļu īpašnieku kopības būs spējīgas tādus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no anotācijā minētā, ka “izvēloties skaitītājus, ņem vērā pārvaldnieka sagatavoto ekonomisko pamatojumu par iespēju skaitītājus aprīkot ar attālinātās nolasīšanas funkciju. Ekonomiskā pamatojuma izvērtējumu  pārvaldnieks veic ievērojot, Ministru kabineta 2020. gada 10. decembra noteikumos Nr. 730 "Ekspluatējamu ēku energoefektivitātes minimālās prasības"” nav secināms kā EM veikusi pārbaudi par namu apsaimniekotāju/ pārvaldnieku spēju šādus ekonomiskos pamatojumus sagatavot.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arī norāda, ka tās vērtējumā Noteikumu projekts būtiski  ietekmē privātpersonu brīvību pašiem izvēlēties piemērotāko vienotas ūdens patēriņa uzskaites sistēmu, kas var iekļaut arī verifikācijas izmantošanu skaitītājiem. Ņemot vērā minēto, KP lūdz pamatot izvēlētā risinājuma atbilstību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vienlaikus ietverti nepieciešamie papildinošie skaidrojumi grozījumu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Konkurences padomes 23.05.2025. atzinumu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īpašnieku kopība nosaka kārtību vienotas ūdens patēriņa uzskaites sistēmai (tai skaitā prasības ūdens patēriņa skaitītāju tehniskajiem parametriem, papildaprīkojumam un uzstādīšanai), kādā dzīvojamās mājas pārvaldnieks vai cita pilnvarotā persona nodrošina ūdens patēriņa skaitītāju uzstādīšanu, nomaiņu un to pārbaudi. Minētā kārtība ir vienota visā dzīvojamā mājā."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pastāv augsta varbūtība, ka lielāki māju apsaimniekotāji varēs iegūt konkurētspējīgāku cenu piedāvājumu salīdzinājumā ar mazākiem (iegādājoties skaitītājus lielākā apjomā), kas var būtiski ietekmēt gan dzīvokļu īpašnieku kopību izmaksas, piemēram, mazāk attīstītās lauku teritorijās tās var būt būtiski augstākas salīdzinājumā ar lielām pilsētām.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nav pilnvērtīgi izanalizēta ietekme uz tirgu, t.sk. pašreizējiem tirgus dalībniekiem – juridiskām personām, kas veic skaitītāju uzstādīšanu, juridiskām personām, kas veica skaitītāju verifikāciju.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Skatīt grozījumu projekta anotāciju Ministru kabineta 2024. gada 14. maija noteikumiem Nr. 289 "Noteikumi par valsts metroloģiskajai kontrolei pakļauto mērīšanas līdzekļu sarakstu" (25-TA-532)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nav pilnvērtīgi izanalizētas izmaksas un to ietekme uz tirgu, t.sk. administratīvā sloga novērtējums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vērtējumā Noteikumu projekta plānotās izmaiņas – tas, ka turpmāk dzīvokļu īpašnieku kopībām būs jālemj par vienotu skaitītāju uzstādīšanu (nevis katrs dzīvokļu īpašnieks kā tas ir noteikts šobrīd spēkā esošajos noteikumos) sekmēs, ka dzīvokļu īpašnieku kopībām būs būtiski iegūt kvalitatīvi veiktas tirgus izpētes un konkurētspējīgus piedāvājumus. KP norāda, ka nav saprotams, vai ir veikts izvērtējums vai sagaidāms, ka māju apsaimniekotāji vai pašas dzīvokļu īpašnieku kopības būs spējīgas tādus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arī norāda, ka pastāv augsta varbūtība, ka lielāki māju apsaimniekotāji varēs iegūt konkurētspējīgāku cenu piedāvājumu salīdzinājumā ar mazākiem (iegādājoties skaitītājus lielākā apjomā), kas var būtiski ietekmēt gan dzīvokļu īpašnieku kopību izmaksas, piemēram, mazāk attīstītās lauku teritorijās tās var būt būtiski augstākas salīdzinājumā ar lielām 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arī norāda, ka nepieciešams veikt izvērtējumu kā plānotās izmaiņas ietekmēs dzīvokļu īpašnieku kopību iespēju veikt apsaimniekotāja nomaiņu, proti, ņemot vērā izstrādātos tehnoloģiskos risinājumus skaitītāju attālinātai nolasīšanai.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ir būtiski, lai netiktu ierobežota konkurence ne tikai skaitītāju uzstādīšanas pakalpojumā, bet arī skaitītāju nolasīšanas pakalpojumā. KP arī norāda, ka nav pieļaujama situācija, ka izvēloties nomainīt apsaimniekotāju dzīvokļu īpašnieku kopības var būt spiestas lemt par jaunu attālināti nolasāmo skaitītāju iegādi un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Skatīt grozījumu projekta anotāciju Ministru kabineta 2024. gada 14. maija noteikumiem Nr. 289 "Noteikumi par valsts metroloģiskajai kontrolei pakļauto mērīšanas līdzekļu sarakstu" (25-TA-532).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par dzīvojamās mājas īpašnieku brīvību mainīt operatoru attālināti nolasāmo skaitītāju datu savākšanai, grozījumu projekts papildināts ar piebildi par atvērta tipa datu pārraides iespējām, plašāks skaidrojums ietverts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Dzīvojamās mājas īpašnieki līgumā par dzīvojamās mājas uzturēšanai nepieciešamo pakalpojumu nodrošināšanu (ja ir tiešie norēķini) vai pārvaldīšanas līgumā, vai dzīvojamās mājas īpašnieku lēmumā (ja ir netiešie norēķini) noteiktajā termiņā un kārtībā nolasa dzīvoklī, nedzīvojamā telpā un mākslinieka darbnīcā uzstādīto skaitītāju rādījumus un nodod tos personai, kura aprēķina maksājamās daļas apmēru. Skaitītāja rādījumu nolasa pārvaldnieks vai cita dzīvojamās mājas īpašnieku pilnvarota persona, ja tā lēmuši dzīvojamās mājas īpašnieki, kā arī gadījumos, ja dzīvojamā mājā ir ierīkota attālinātā rādījumu nolasīšanas sistēma (ar atvērta tipa datu pārraides iespējām) vai skaitītājiem ir piekļuve no dzīvojamās mājas koplietošanas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Jautājumu par vienotas ūdens patēriņa uzskaites sistēmas ieviešanu dzīvokļu īpašnieku kopība izlemj līdz 2027.gada 1.janvārim, ņemot vērā pārvaldnieka veikto izvērtējumu par ekonomisko pamatotību attālināti nolasāmo ūdens patēriņa skaitītāju uzstādīšanai, kas ietver atvērta tipa datu attālinātu nolasīšanu."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šobrīd publiski pieejama informācija par SIA “Rīgas namu pārvaldnieks”  (turpmāk – RNP) rīkoto iepirkumu “Ultraskaņas ūdens patēriņa skaitītāju ar attālinātās datu un radījumu nolasīšanas iespēju iegāde, uzstādīšana un iestatīšana (Nr. SIA RNP 2025/9)” (turpmāk – Iepirkums), kur var secināt, ka RNP aptuveni plāno iepirkt vienu attālināti nolasāmo ūdens skaitītāju par ~80,00 EUR, kas KP vērtējumā ir būtiskas izmaksas, ievērojot līdzšinējās skaitītāju izmaksas. KP vērtējumā RNP Iepirkumu var vērtēt kā indikatīvu rādītāju tirgus tendencēm. Ņemot vērā minēto, KP norāda, ka ir būtiski, lai EM piedāvātu dažādus iespējamos grozījumu modeļus, tostarp pie izmaksām iekļautu arī izmaksas kas radīsies par datu nolasīšanu. KP aicina salīdzinoši izvērtēt izmaksas par skaitītāju verifikāciju ar izmaksām par skaitītāju attālinātu nolasīšanu.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vienlaikus ietverti nepieciešamie papildinošie skaidrojumi grozījumu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būtiskas izmaiņas, KP aicina EM iegūt un izvērtēt komersantu un ietekmēto tirgus dalībnieku viedokli par grozījumu nepieciešamību un to būtisko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Skatīt grozījumu projekta anotāciju Ministru kabineta 2024. gada 14. maija noteikumiem Nr. 289 "Noteikumi par valsts metroloģiskajai kontrolei pakļauto mērīšanas līdzekļu sarakstu" (25-TA-532)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nosaka, aprēķina un uzskaita katra dzīvojamās mājas īpašnieka maksājamo daļu par dzīvojamās mājas uzturēšanai nepieciešamajiem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ir izvērtējusi Ekonomikas ministrijas (turpmāk – EM) sagatavotos grozījumus Ministru kabineta 2015. gada 15. septembra noteikumos Nr. 524 "Kārtība, kādā nosaka, aprēķina un uzskaita katra dzīvojamās mājas īpašnieka maksājamo daļu par dzīvojamās mājas uzturēšanai nepieciešamajiem pakalpojumiem" (turpmāk – Noteikumu projekts) un iebilst pret Noteikumu projektu tālāku virzību, jo Noteikumu projekta anotācijā nav veikts pietiekams izvērtējums par Noteikumu projekta ietekmi uz konkurenci, kā arī  ekonomisko ieguvumu un to samērīgu ietekmi uz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Skatīt grozījumu projekta anotāciju Ministru kabineta 2024. gada 14. maija noteikumiem Nr. 289 "Noteikumi par valsts metroloģiskajai kontrolei pakļauto mērīšanas līdzekļu sarakstu" (25-TA-532)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nosaka, aprēķina un uzskaita katra dzīvojamās mājas īpašnieka maksājamo daļu par dzīvojamās mājas uzturēšanai nepieciešamajiem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Pēc vienotas ūdens patēriņa uzskaites sistēmas ieviešanas dzīvojamā mājā, skaitītājus nomaina, ievērojot ūdens patēriņa skaitītāja ražotāja instrukcijā minēto lietošanas ilgumu, bet, ja tāds nav noteikts, ne vēlāk kā 10 gadu laikā pēc to uzstādīšanas,  sākot no uzstādīšanas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iebilst pret līdzšinējā 6.</w:t>
            </w:r>
            <w:r w:rsidR="00000000" w:rsidRPr="00000000" w:rsidDel="00000000">
              <w:rPr>
                <w:vertAlign w:val="superscript"/>
                <w:rtl w:val="0"/>
              </w:rPr>
              <w:t xml:space="preserve">1</w:t>
            </w:r>
            <w:r w:rsidR="00000000" w:rsidRPr="00000000" w:rsidDel="00000000">
              <w:rPr>
                <w:rtl w:val="0"/>
              </w:rPr>
              <w:t xml:space="preserve"> punkta plānotot redakciju, kā arī 6.</w:t>
            </w:r>
            <w:r w:rsidR="00000000" w:rsidRPr="00000000" w:rsidDel="00000000">
              <w:rPr>
                <w:vertAlign w:val="superscript"/>
                <w:rtl w:val="0"/>
              </w:rPr>
              <w:t xml:space="preserve">2</w:t>
            </w:r>
            <w:r w:rsidR="00000000" w:rsidRPr="00000000" w:rsidDel="00000000">
              <w:rPr>
                <w:rtl w:val="0"/>
              </w:rPr>
              <w:t xml:space="preserve">, 6.</w:t>
            </w:r>
            <w:r w:rsidR="00000000" w:rsidRPr="00000000" w:rsidDel="00000000">
              <w:rPr>
                <w:vertAlign w:val="superscript"/>
                <w:rtl w:val="0"/>
              </w:rPr>
              <w:t xml:space="preserve">3</w:t>
            </w:r>
            <w:r w:rsidR="00000000" w:rsidRPr="00000000" w:rsidDel="00000000">
              <w:rPr>
                <w:rtl w:val="0"/>
              </w:rPr>
              <w:t xml:space="preserve"> un 7.punkta svītrošanu, jo paredzētās izmaiņas kopumā nepamatoti  būtiski  ietekmē privātpersonu - dzīvojamās mājas īpašnieku  brīvību pašiem izvēlēties piemērotāko ūdens patēriņa uzskaites sistēmu, kas, t.sk. var iekļaut arī verifikācijas izmantošanu skaitītājiem. Neredzam pamatu, kāpēc līdzšinējā sistēma nevar pastāvēt paralēli vienotajai ūdens uzskaites sistēmai, ņemot vērā, ka Noteikumu projekts paredz ierobežot ūdens patēriņa skaitītāja lietošanas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 kuru tiek noteikta vienota ūdens patēriņa skaitītāju uzskaites sistēma visiem mājas īpašniekiem kopā, ilgtermiņā negatīvi varētu ietekmēt patērētāju izvēles brīvību. Dzīvokļu īpašnieki pirmšķietami būs atkarīgai no vienas sistēmas un pakalpojuma sniedzēja darbībām, t.sk. nosakot pakalpojuma cenas un nodrošinot pakalpojuma kvalitāti. Vienlaikus tiek ierobežotas arī patērētāja iespējas pārslēgties uz citu pakalpojumu sniedzēju pakalpojumiem, jo vienota attālinātā ūdens uzskaites sistēma šādu iespēju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plānotie grozījumi pirmšķietami varētu veicināt vienas noteiktas sistēmas ieviešanu visās konkrētā pārvaldnieka mājās, lai nodrošinātu saskaņotību un efektivitāti (kas paredzama, piemēram, lai optimizētu resursus). Šādā gadījumā konkurence starp ūdens patēriņa uzskaites sistēmām var kļūt ierobežota vai izslēgta, jo viena konkrēta sistēma būs viena apsaimniekotēja ietvaros. Minētais kopumā var samazināt konkurenci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nenoliedz nepieciešamību ieviest attālinātu ūdens uzskaites sistēmu, taču šāda mērķa sasniegšanai ir jābūt samērīgai attiecībā pret tirgus dalībniekiem, neierobežojot konkurenci. Līdz ar to KP neredz pamatu līdzšinējās sistēmas pastāvēšanai paralēli vienotajai ūdens patēriņa sistēmai, paredzot ūdens patēriņa skaitītāja lietošanas ilguma ierobežošanu. Tādējādi nodrošinot patērētāju brīvību izvēlēties sev tīkamāko ūdens patēriņa skaitītāju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13.05.2025. sanāksmē starp Ekonomikas ministrijas un Konkurences padomes pārstāvjiem, vienlaikus ietverti nepieciešamie papildinošie skaidrojumi grozījumu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ar 23.05.2025. atzinumu aicina grozījumos un anotācijās nepārprotami un skaidri iestrādāt, norādot, ka dzīvojamās mājas īpašnieku kopība arī pēc 10g termiņa varēs lemt par iespēju saglabāt esošos mehāniskos skaitītājus un neuzstādīt attālināti nolasāmos/ ultraskaņas skaitītājus. KP norāda, ka anotācijā un grozījumos ir pievienojusi komentāru ar tekstu, kuru aicina EM ieintegrēt kopējā tekstā vai nu pirms vai pēc norādes par 10 gadu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īpasnieku kopība (īpašnieki) nosaka kārtību vienotas ūdens patēriņa uzskaites sistēmas izveidei (tai skaitā prasības ūdens patēriņa skaitītāju tehniskajiem parametriem, papildaprīkojumam un uzstādīšanai), kādā dzīvojamās mājas īpašnieks, pārvaldnieks vai cita pilnvarotā persona nodrošina ūdens patēriņa skaitītāju uzstādīšanu, nomaiņu un to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padomes 26.05.2025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Dzīvojamās mājas īpašnieku kopība nosaka kārtību vienotas ūdens patēriņa uzskaites sistēmai (tai skaitā prasības ūdens patēriņa skaitītāju tehniskajiem parametriem, papildaprīkojumam un uzstādīšanai), kādā dzīvojamās mājas pārvaldnieks vai cita pilnvarotā persona nodrošina ūdens patēriņa skaitītāju uzstādīšanu, nomaiņu un to pārbaudi. Minētā kārtība ir vienota visā dzīvojamā mājā.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korekti anotācijas 3.sadaļu - ja projektam nav ietekme uz valsts budžetu un pašvaldību budžetiem, tad jāatzīmē, ka projekts šo jomu neskar.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Atzīmēts, ka šo jomu neskar.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korekti anotācijas 4.1.sadaļu, norādot nepieciešamo saistīto tiesību aktu projektu grozījumu pamatojumu un aprakstu. Kā arī vēršam uzmanību, ka pie saistītajiem projektiem norādīts šis pats projekts - grozījumi Ministru kabineta 2015.gada 15.septembra noteikumos Nr.524 "Kārtība, kādā nosaka, aprēķina un uzskaita katra dzīvojamās mājas īpašnieka maksājamo daļu par dzīvojamās mājas uzturēšanai nepieciešamajiem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labojumi un papildinājumi.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 sadaļu ar attiecīgo noteikumu izstrādes pamatojumu un to satura galvenajiem virzieniem.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papildinājumi.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 kas noteic, ka visiem projektiem aizpilda šo noteikumu 14.7. apakšpunktā minēto anotācijas sadaļu (projekta izpildes nodrošināšana un tās ietekme uz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Ja dzīvojamās mājas īpašnieks plāno atrasties prombūtnē, kuras laikā dzīvokli, nedzīvojamo telpu vai mākslinieka darbnīcu neizmantos neviena persona un nevarēs nodrošināt savu vai pārvaldnieka, vai citas dzīvojamās mājas īpašnieku pilnvarotās personas pienākumu izpildi attiecībā uz ūdens patēriņa vai siltumenerģijas uzskaites kārtību, dzīvojamās mājas īpašnieks vismaz septiņas darbdienas iepriekš par prombūtnes laiku informē personu, kura aprēķina maksājamo daļu, ja līgumā par dzīvojamās mājas uzturēšanai nepieciešamo pakalpojumu nodrošināšanu (ja ir tiešie norēķini) vai pārvaldīšanas līgumā, vai dzīvojamās mājas īpašnieku lēmumā (ja ir netiešie norēķini) nav noteikta cita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normu vienveidīgai izpratnei lūdzam izvērtēt iespēju noteikt, par cik ilgstošu prombūtni dzīvojamās mājas īpašniekam ir pienākums informēt personu, kura aprēķina maksājamo daļu, kā tas ir paredzēts vienlaikus virzāmā Ministru kabineta noteikumu projekta "Grozījumi Ministru kabineta 2008. gada 9. decembra noteikumos Nr.1013 "Kārtība, kādā dzīvokļa īpašnieks daudzdzīvokļu dzīvojamā mājā norēķinās par pakalpojumiem, kas saistīti ar dzīvokļa īpašuma lietošanu"" (25-TA-510) 18. punktā, t.i., prombūtnes laiku, kas nepārsniedz trīs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Ja dzīvojamās mājas īpašnieks plāno atrasties prombūtnē, kuras laikā dzīvokli, nedzīvojamo telpu vai mākslinieka darbnīcu neizmantos neviena persona un nevarēs nodrošināt savu vai pārvaldnieka, vai citas dzīvojamās mājas īpašnieku pilnvarotās personas pienākumu izpildi attiecībā uz ūdens patēriņa vai siltumenerģijas uzskaites kārtību, dzīvojamās mājas īpašnieks vismaz septiņas darbdienas iepriekš par prombūtnes laiku informē personu, kura aprēķina maksājamo daļu, ja līgumā par dzīvojamās mājas uzturēšanai nepieciešamo pakalpojumu nodrošināšanu (ja ir tiešie norēķini) vai pārvaldīšanas līgumā, vai dzīvojamās mājas īpašnieku lēmumā (ja ir netiešie norēķini) nav noteikta cita kārtība. Ja plānota prombūtne, ilgāka par trim mēnešiem, dzīvojamās mājas īpašnieks par to informē atkārtoti.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Pārvaldnieks, sagatavojot rēķina informāciju par komunālajiem pakalpojumiem un enerģijas patēriņu dzīvojamā mājā ar dalīto uzskaiti, iekļauj pamatotas rēķina sagatavošanas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13.septembra direktīvas (ES) 2023/1791 par energoefektivitāti un ar ko groza Regulu (ES) 2023/955 (pārstrādātā redakcija) (turpmāk - Direktīva 2023/1791) 20.panta 1. punkts nosaka - </w:t>
            </w:r>
            <w:r w:rsidR="00000000" w:rsidRPr="00000000" w:rsidDel="00000000">
              <w:rPr>
                <w:i w:val="1"/>
                <w:rtl w:val="0"/>
              </w:rPr>
              <w:t xml:space="preserve">dalībvalstis nodrošina, lai rēķinus un rēķinu informāciju par enerģijas patēriņu galaizmantotāji saņemtu bez maksas un lai galaizmantotāji pienācīgā veidā un bez maksas varētu piekļūt saviem patēriņa datiem. </w:t>
            </w:r>
            <w:r w:rsidR="00000000" w:rsidRPr="00000000" w:rsidDel="00000000">
              <w:rPr>
                <w:rtl w:val="0"/>
              </w:rPr>
              <w:t xml:space="preserve">Līdzīgi Energoefektivitātes likuma 16. panta pirmā daļa nosaka </w:t>
            </w:r>
            <w:r w:rsidR="00000000" w:rsidRPr="00000000" w:rsidDel="00000000">
              <w:rPr>
                <w:i w:val="1"/>
                <w:rtl w:val="0"/>
              </w:rPr>
              <w:t xml:space="preserve">elektroenerģijas, dabasgāzes, siltumenerģijas, dzesēšanai izmantojamās enerģijas tirgotājiem, nepieprasot atsevišķu samaksu, galalietotājam nodrošināt iespēju saņemt, arī elektroniski, rēķinu, rēķina informāciju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3.</w:t>
            </w:r>
            <w:r w:rsidR="00000000" w:rsidRPr="00000000" w:rsidDel="00000000">
              <w:rPr>
                <w:vertAlign w:val="superscript"/>
                <w:rtl w:val="0"/>
              </w:rPr>
              <w:t xml:space="preserve">6</w:t>
            </w:r>
            <w:r w:rsidR="00000000" w:rsidRPr="00000000" w:rsidDel="00000000">
              <w:rPr>
                <w:rtl w:val="0"/>
              </w:rPr>
              <w:t xml:space="preserve"> punktu vai papildināt 23.</w:t>
            </w:r>
            <w:r w:rsidR="00000000" w:rsidRPr="00000000" w:rsidDel="00000000">
              <w:rPr>
                <w:vertAlign w:val="superscript"/>
                <w:rtl w:val="0"/>
              </w:rPr>
              <w:t xml:space="preserve">1</w:t>
            </w:r>
            <w:r w:rsidR="00000000" w:rsidRPr="00000000" w:rsidDel="00000000">
              <w:rPr>
                <w:rtl w:val="0"/>
              </w:rPr>
              <w:t xml:space="preserve"> ar apakšpunktu, nosakot pārvaldniekam pienākumu sniegt rēķina informāciju par komunālajiem pakalpojumiem bez atsevišķas samaksas, papildināto iekļaujot arī anotācijas 5.sadaļā, vai sniegt skaidrojumu, kā tiks transponētas šīs Direktīvas 2023/1791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23.</w:t>
            </w:r>
            <w:r w:rsidR="00000000" w:rsidRPr="00000000" w:rsidDel="00000000">
              <w:rPr>
                <w:vertAlign w:val="superscript"/>
                <w:rtl w:val="0"/>
              </w:rPr>
              <w:t xml:space="preserve">1</w:t>
            </w:r>
            <w:r w:rsidR="00000000" w:rsidRPr="00000000" w:rsidDel="00000000">
              <w:rPr>
                <w:rtl w:val="0"/>
              </w:rPr>
              <w:t xml:space="preserve">punkts: "Pārvaldniekam ir pienākums bez atsevišķas samaksas rēķinos par patērēto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Pārvaldnieks, sagatavojot rēķina informāciju par komunālajiem pakalpojumiem un enerģijas patēriņu dzīvojamā mājā ar dalīto uzskaiti, iekļauj pamatotas rēķina sagatavošanas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Pārvaldnieks, sagatavojot rēķina informāciju par komunālajiem pakalpojumiem un enerģijas patēriņu dzīvojamā mājā ar dalīto uzskaiti, iekļauj pamatotas rēķina sagatavošanas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"dalītā uzskaite" minēts tikai noteikumu 3.</w:t>
            </w:r>
            <w:r w:rsidR="00000000" w:rsidRPr="00000000" w:rsidDel="00000000">
              <w:rPr>
                <w:vertAlign w:val="superscript"/>
                <w:rtl w:val="0"/>
              </w:rPr>
              <w:t xml:space="preserve">5</w:t>
            </w:r>
            <w:r w:rsidR="00000000" w:rsidRPr="00000000" w:rsidDel="00000000">
              <w:rPr>
                <w:rtl w:val="0"/>
              </w:rPr>
              <w:t xml:space="preserve"> punktā, tiesiskai skaidrībai lūdzam šajā punktā izvērst minētā jēdziena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paskaidrojums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izprastu lietotā termina "dalītā uzskaite" saturu, norādām, ka saskaņā ar Direktīvas 2023/1791 15.pantu ir izskaidrota siltumapgādes, aukstumapgādes un mājsaimniecības karstā ūdens apgādes dalītā uzskaite un izmaksu sadale, secīgi Direktīvas 2023/1791 18.pants nosaka pienākumu ņemt vērā šo patēriņa uzskaiti (siltumenerģijas skaitītāji vai siltummaksas sadalītāji dzīvokļus un karstā ūdens patēriņa skaitītāji), sagatavojot rēķinu un patēriņa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Pārvaldnieks, sagatavojot rēķina informāciju par komunālajiem pakalpojumiem un enerģijas patēriņu dzīvojamā mājā ar dalīto uzskaiti, iekļauj pamatotas rēķina sagatavošanas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dzīvokļa īpašnieks nav ļāvis uzstādīt ūdens patēriņa skaitītāju saskaņā ar šo noteikumu 6.1.apakšpunktu;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iekšēju atsauci, jo grozāmo noteikumu 6.1. apakšpunkts neparedz ūdens skaitītāju 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6.1.apakšpunkts paredz ūdens patēriņa skaitītāju uzstādīšanu, attiecīgi ir atsauce uz šo apakšpunktu gadījumam, ja dzīvojamās mājas īpašnieks neievēro pienākumu ļaut uzstādīt ūdens patēriņa skaitītāju, ko pēc vienotas ūdens patēriņa uzskaites sistēmas ieviešanas nevarēs darīt pats īpašnieks, bet to veiks attiecīgi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dzīvokļa īpašnieks nav ļāvis uzstādīt ūdens patēriņa skaitītāju saskaņā ar šo noteikumu 6.1.apakšpunktu;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Dzīvojamās mājas īpašnieku pilnvarotā persona, kurai ir uzdots veikt dzīvojamās mājas uzturēšanu, divu mēnešu laikā noskaidro ūdens patēriņa starpības rašanās iemeslus, informē dzīvojamās mājas īpašniekus par nepieciešamajiem pasākumiem ūdens patēriņa starpības samazināšanai un kopā ar dzīvojamās mājas īpašniekiem izvērtē iespēju tos īstenot, ja ūdens patēriņa sadales aprēķinā trīs mēnešus pēc kārtas veidojas ūdens patēriņa starpība, kas lielāka par 20 %, ja vien dzīvojamās mājas īpašnieki nav noteikuši citu periodu un ūdens patēriņa starpības apjomu, kad jānoskaidro tās iemesli. Ja pilnvarotā persona šajā punktā noteiktos pienākumus nevar veikt divu mēnešu laikā, par to informē dzīvojamās mājas īpašniekus, norādot plānoto laika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normu, nosakot laika posmu, no kura skaitāms divu mēnešu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ir saprotams, ka divu mēnešu periods skaitāms no brīža, kad iestājusies situācija, kad ūdens patēriņa sadales aprēķinā trīs mēnešus pēc kārtas veidojas ūdens patēriņa starpība, kas lielāka par 20 % (ja vien dzīvojamās mājas īpašnieki nav noteikuši citu periodu un ūdens patēriņa starpības apjomu, kad jānoskaidro tās iemesli).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Dzīvojamās mājas īpašnieku pilnvarotā persona, kurai ir uzdots veikt dzīvojamās mājas uzturēšanu, divu mēnešu laikā noskaidro ūdens patēriņa starpības rašanās iemeslus, informē dzīvojamās mājas īpašniekus par nepieciešamajiem pasākumiem ūdens patēriņa starpības samazināšanai un kopā ar dzīvojamās mājas īpašniekiem izvērtē iespēju tos īstenot, ja ūdens patēriņa sadales aprēķinā trīs mēnešus pēc kārtas veidojas ūdens patēriņa starpība, kas lielāka par 20 %, ja vien dzīvojamās mājas īpašnieki nav noteikuši citu periodu un ūdens patēriņa starpības apjomu, kad jānoskaidro tās iemesli. Ja pilnvarotā persona šajā punktā noteiktos pienākumus nevar veikt divu mēnešu laikā, par to informē dzīvojamās mājas īpašniekus, norādot plānoto laika periodu.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25-TA-509</w:t>
    </w:r>
    <w:r>
      <w:br/>
    </w:r>
    <w:r w:rsidR="00000000" w:rsidRPr="00000000" w:rsidDel="00000000">
      <w:rPr>
        <w:rtl w:val="0"/>
      </w:rPr>
      <w:t xml:space="preserve">30.05.2025. 15.10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25-TA-509</w:t>
    </w:r>
    <w:r>
      <w:br/>
    </w:r>
    <w:r w:rsidR="00000000" w:rsidRPr="00000000" w:rsidDel="00000000">
      <w:rPr>
        <w:rtl w:val="0"/>
      </w:rPr>
      <w:t xml:space="preserve">30.05.2025. 15.10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Izziņa_25-TA-509.docx</dc:title>
</cp:coreProperties>
</file>

<file path=docProps/custom.xml><?xml version="1.0" encoding="utf-8"?>
<Properties xmlns="http://schemas.openxmlformats.org/officeDocument/2006/custom-properties" xmlns:vt="http://schemas.openxmlformats.org/officeDocument/2006/docPropsVTypes"/>
</file>