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50A18C6" w14:textId="77777777" w:rsidR="00BD17D5" w:rsidRDefault="007F7454">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2646"/>
        <w:gridCol w:w="4962"/>
        <w:gridCol w:w="1559"/>
        <w:gridCol w:w="4650"/>
      </w:tblGrid>
      <w:tr w:rsidR="00BD17D5" w14:paraId="1BA1169B" w14:textId="77777777" w:rsidTr="00403A30">
        <w:tc>
          <w:tcPr>
            <w:tcW w:w="750" w:type="dxa"/>
            <w:shd w:val="clear" w:color="auto" w:fill="FFFFFF"/>
            <w:noWrap/>
            <w:tcMar>
              <w:top w:w="75" w:type="dxa"/>
              <w:left w:w="75" w:type="dxa"/>
              <w:bottom w:w="75" w:type="dxa"/>
              <w:right w:w="75" w:type="dxa"/>
            </w:tcMar>
            <w:vAlign w:val="center"/>
          </w:tcPr>
          <w:p w14:paraId="2F653262" w14:textId="77777777" w:rsidR="00BD17D5" w:rsidRDefault="007F7454">
            <w:pPr>
              <w:jc w:val="center"/>
            </w:pPr>
            <w:r>
              <w:rPr>
                <w:b/>
              </w:rPr>
              <w:t>Nr.p.k.</w:t>
            </w:r>
          </w:p>
        </w:tc>
        <w:tc>
          <w:tcPr>
            <w:tcW w:w="2646" w:type="dxa"/>
            <w:shd w:val="clear" w:color="auto" w:fill="FFFFFF"/>
            <w:noWrap/>
            <w:tcMar>
              <w:top w:w="75" w:type="dxa"/>
              <w:left w:w="75" w:type="dxa"/>
              <w:bottom w:w="75" w:type="dxa"/>
              <w:right w:w="75" w:type="dxa"/>
            </w:tcMar>
            <w:vAlign w:val="center"/>
          </w:tcPr>
          <w:p w14:paraId="584A93E5" w14:textId="77777777" w:rsidR="00BD17D5" w:rsidRDefault="007F7454">
            <w:pPr>
              <w:jc w:val="center"/>
            </w:pPr>
            <w:r>
              <w:rPr>
                <w:b/>
              </w:rPr>
              <w:t>Iebilduma / priekšlikuma iesniedzējs</w:t>
            </w:r>
          </w:p>
        </w:tc>
        <w:tc>
          <w:tcPr>
            <w:tcW w:w="4962" w:type="dxa"/>
            <w:shd w:val="clear" w:color="auto" w:fill="FFFFFF"/>
            <w:noWrap/>
            <w:tcMar>
              <w:top w:w="75" w:type="dxa"/>
              <w:left w:w="75" w:type="dxa"/>
              <w:bottom w:w="75" w:type="dxa"/>
              <w:right w:w="75" w:type="dxa"/>
            </w:tcMar>
            <w:vAlign w:val="center"/>
          </w:tcPr>
          <w:p w14:paraId="40189E2B" w14:textId="77777777" w:rsidR="00BD17D5" w:rsidRDefault="007F7454">
            <w:pPr>
              <w:jc w:val="center"/>
            </w:pPr>
            <w:r>
              <w:rPr>
                <w:b/>
              </w:rPr>
              <w:t>Iesniegtā iebilduma / priekšlikuma būtība</w:t>
            </w:r>
          </w:p>
        </w:tc>
        <w:tc>
          <w:tcPr>
            <w:tcW w:w="1559" w:type="dxa"/>
            <w:shd w:val="clear" w:color="auto" w:fill="FFFFFF"/>
            <w:noWrap/>
            <w:tcMar>
              <w:top w:w="75" w:type="dxa"/>
              <w:left w:w="75" w:type="dxa"/>
              <w:bottom w:w="75" w:type="dxa"/>
              <w:right w:w="75" w:type="dxa"/>
            </w:tcMar>
            <w:vAlign w:val="center"/>
          </w:tcPr>
          <w:p w14:paraId="0B78B9A1" w14:textId="77777777" w:rsidR="00BD17D5" w:rsidRDefault="007F7454">
            <w:pPr>
              <w:jc w:val="center"/>
            </w:pPr>
            <w:r>
              <w:rPr>
                <w:b/>
              </w:rPr>
              <w:t>Ņemts vērā / nav ņemts vērā</w:t>
            </w:r>
          </w:p>
        </w:tc>
        <w:tc>
          <w:tcPr>
            <w:tcW w:w="4650" w:type="dxa"/>
            <w:shd w:val="clear" w:color="auto" w:fill="FFFFFF"/>
            <w:noWrap/>
            <w:tcMar>
              <w:top w:w="75" w:type="dxa"/>
              <w:left w:w="75" w:type="dxa"/>
              <w:bottom w:w="75" w:type="dxa"/>
              <w:right w:w="75" w:type="dxa"/>
            </w:tcMar>
            <w:vAlign w:val="center"/>
          </w:tcPr>
          <w:p w14:paraId="31761F72" w14:textId="77777777" w:rsidR="00BD17D5" w:rsidRDefault="007F7454">
            <w:pPr>
              <w:jc w:val="center"/>
            </w:pPr>
            <w:r>
              <w:rPr>
                <w:b/>
              </w:rPr>
              <w:t>Pamatojums, ja iebildums / priekšlikums nav ņemts vērā</w:t>
            </w:r>
          </w:p>
        </w:tc>
      </w:tr>
      <w:tr w:rsidR="009244C9" w14:paraId="5641C7AC" w14:textId="77777777" w:rsidTr="00403A30">
        <w:tc>
          <w:tcPr>
            <w:tcW w:w="750" w:type="dxa"/>
            <w:shd w:val="clear" w:color="auto" w:fill="FFFFFF"/>
            <w:noWrap/>
            <w:tcMar>
              <w:top w:w="75" w:type="dxa"/>
              <w:left w:w="75" w:type="dxa"/>
              <w:bottom w:w="75" w:type="dxa"/>
              <w:right w:w="75" w:type="dxa"/>
            </w:tcMar>
            <w:vAlign w:val="center"/>
          </w:tcPr>
          <w:p w14:paraId="0DED0902" w14:textId="77777777" w:rsidR="009244C9" w:rsidRDefault="009244C9" w:rsidP="009244C9">
            <w:pPr>
              <w:jc w:val="center"/>
            </w:pPr>
            <w:r>
              <w:t>1.</w:t>
            </w:r>
          </w:p>
        </w:tc>
        <w:tc>
          <w:tcPr>
            <w:tcW w:w="2646" w:type="dxa"/>
            <w:shd w:val="clear" w:color="auto" w:fill="FFFFFF"/>
            <w:noWrap/>
            <w:tcMar>
              <w:top w:w="75" w:type="dxa"/>
              <w:left w:w="75" w:type="dxa"/>
              <w:bottom w:w="75" w:type="dxa"/>
              <w:right w:w="75" w:type="dxa"/>
            </w:tcMar>
            <w:vAlign w:val="center"/>
          </w:tcPr>
          <w:p w14:paraId="597F5D41" w14:textId="77777777" w:rsidR="009244C9" w:rsidRDefault="009244C9" w:rsidP="009244C9">
            <w:pPr>
              <w:jc w:val="left"/>
            </w:pPr>
            <w:r>
              <w:t>Biedrība "Lauksaimniecības organizāciju sadarbības padome", Guntis Gūtmanis</w:t>
            </w:r>
          </w:p>
        </w:tc>
        <w:tc>
          <w:tcPr>
            <w:tcW w:w="4962" w:type="dxa"/>
            <w:shd w:val="clear" w:color="auto" w:fill="FFFFFF"/>
            <w:noWrap/>
            <w:tcMar>
              <w:top w:w="75" w:type="dxa"/>
              <w:left w:w="75" w:type="dxa"/>
              <w:bottom w:w="75" w:type="dxa"/>
              <w:right w:w="75" w:type="dxa"/>
            </w:tcMar>
            <w:vAlign w:val="center"/>
          </w:tcPr>
          <w:p w14:paraId="0629640D" w14:textId="77777777" w:rsidR="009244C9" w:rsidRDefault="009244C9" w:rsidP="009244C9">
            <w:pPr>
              <w:jc w:val="left"/>
            </w:pPr>
            <w:r>
              <w:t>Biedrība "Lauksaimniecības organizāciju sadarbības padome" (LOSP) ir izskatījusi noteikumu projektu par "Aizsargājamo ainavu apvidus "Koknese-Odziena" individuālie aizsardzības un izmantošanas noteikumi" (22-TA-3788) un Noteikumi par aizsargājamo ainavu apvidiem 22-TA-3783 un nepiekrīt to pieņemšanai. Lai pieņemtu šādu normatīvu nepieciešams veikt iekļauto teritoriju izveides sociāli ekonomisko ietekmi un lēmuma pieņemšanai paredzēt kompensācijas zemju īpašniekiem, kas segtu potenciālos zaudējumus no saimnieciskās darbības ierobežojumiem.</w:t>
            </w:r>
            <w:r>
              <w:br/>
              <w:t>Noteikumu anotācijā nekorekti veiktas atzīmes, ka noteikumu pieņemšana neietekmēs tādas jomas kā: nodarbinātība(aizsargājamās teritorijās ir apgrūtināta saimnieciskā darbība, kas provizoriski samazinās nodarbināto skaitu teritorijā), uz konkurētspēju(ierobežota saimnieciskā darbība būtiski samazinās konkurētspēju ietilpstošo teritoriju uzņēmumiem), uz teritoriju attīstību(tā tiks ierobežota), uz iedzīvotāju sociālo situāciju(pasliktināsies),</w:t>
            </w:r>
            <w:r>
              <w:br/>
              <w:t>nav veikts administratīvo izmaksu novērtējums, atbilstības izmaksu novērtējums. Kļūdains ir anotācijas apgalvojums, ka tiesību akta projektam nebūs ietekmes uz valsts un pašvaldību budžetiem, jo samazinoties ekonomiskai aktivitātei būs tieša ietekme gan uz valsts, gan pašvaldību budžetiem, kas nav vērtēta. Kā noprotams no normatīvu anotācijas šis projekts nav saskaņots ar zemju īpašniekiem, bet tie tiks informēti jau pēc noteikumu pieņemšanas. Jāatzīmē, ka noteikumu teritorija paredz ierobežojumus vairāk kā 19 tūkstošos ha.</w:t>
            </w:r>
            <w:r>
              <w:br/>
              <w:t>Un pats būtiskākais, kas nav akceptējams pirms šādu noteikumu pieņemšanas, ka nav veikts alternatīvu risinājumu izvērtējums. Aicinām turpmāk, izstrādājot šādus normatīvos aktus veikt iedzīvotāju sabiedrisko apspriešanu visās skartajās teritorijās, kas nodrošinātu objektīvu sabiedrības viedokli par plānotajiem regulējumiem.</w:t>
            </w:r>
            <w:r>
              <w:br/>
            </w:r>
          </w:p>
        </w:tc>
        <w:tc>
          <w:tcPr>
            <w:tcW w:w="1559" w:type="dxa"/>
            <w:shd w:val="clear" w:color="auto" w:fill="FFFFFF"/>
            <w:noWrap/>
            <w:tcMar>
              <w:top w:w="75" w:type="dxa"/>
              <w:left w:w="75" w:type="dxa"/>
              <w:bottom w:w="75" w:type="dxa"/>
              <w:right w:w="75" w:type="dxa"/>
            </w:tcMar>
            <w:vAlign w:val="center"/>
          </w:tcPr>
          <w:p w14:paraId="7CF00D9A" w14:textId="0F22F900" w:rsidR="009244C9" w:rsidRPr="0004172F" w:rsidRDefault="00F904B6" w:rsidP="009244C9">
            <w:r>
              <w:t>Sniegts skaidrojums.</w:t>
            </w:r>
          </w:p>
        </w:tc>
        <w:tc>
          <w:tcPr>
            <w:tcW w:w="4650" w:type="dxa"/>
            <w:shd w:val="clear" w:color="auto" w:fill="FFFFFF"/>
            <w:noWrap/>
            <w:tcMar>
              <w:top w:w="75" w:type="dxa"/>
              <w:left w:w="75" w:type="dxa"/>
              <w:bottom w:w="75" w:type="dxa"/>
              <w:right w:w="75" w:type="dxa"/>
            </w:tcMar>
            <w:vAlign w:val="center"/>
          </w:tcPr>
          <w:p w14:paraId="1642EEA1" w14:textId="77777777" w:rsidR="009244C9" w:rsidRPr="007F7454" w:rsidRDefault="009244C9" w:rsidP="009244C9">
            <w:pPr>
              <w:jc w:val="left"/>
              <w:rPr>
                <w:szCs w:val="28"/>
              </w:rPr>
            </w:pPr>
            <w:r w:rsidRPr="007F7454">
              <w:rPr>
                <w:szCs w:val="28"/>
              </w:rPr>
              <w:t>Papildināta anotācija.</w:t>
            </w:r>
          </w:p>
          <w:p w14:paraId="430F2FE0" w14:textId="0B65EB8E" w:rsidR="007F7454" w:rsidRPr="007F7454" w:rsidRDefault="007F7454" w:rsidP="007F7454">
            <w:pPr>
              <w:ind w:right="13" w:firstLine="720"/>
              <w:rPr>
                <w:szCs w:val="28"/>
              </w:rPr>
            </w:pPr>
            <w:r w:rsidRPr="007F7454">
              <w:rPr>
                <w:szCs w:val="28"/>
              </w:rPr>
              <w:t>Visām Eiropas Savienības (turpmāk – ES) dalībvalstīm, tai skaitā Latvijai, ir saistoši ES tiesību akti, un dabas aizsardzības jomā būtiskākie ir Putnu direktīva un Biotopu direktīva. Kā nosaka ES iepriekšminēto direktīvu prasības, katrai ES dalībvalstij ir jānodala pēc platības un skaita vispiemērotākās teritorijas (</w:t>
            </w:r>
            <w:r w:rsidRPr="007F7454">
              <w:rPr>
                <w:i/>
                <w:iCs/>
                <w:szCs w:val="28"/>
              </w:rPr>
              <w:t>Natura 2000 teritorijas</w:t>
            </w:r>
            <w:r w:rsidRPr="007F7454">
              <w:rPr>
                <w:szCs w:val="28"/>
              </w:rPr>
              <w:t>) sugām un biotopiem, kas uzskaitīti ES Putnu un Biotopu direktīvu pielikumos.</w:t>
            </w:r>
            <w:r w:rsidRPr="007F7454">
              <w:rPr>
                <w:i/>
                <w:iCs/>
                <w:szCs w:val="28"/>
              </w:rPr>
              <w:t xml:space="preserve"> Natura 2000</w:t>
            </w:r>
            <w:r w:rsidRPr="007F7454">
              <w:rPr>
                <w:szCs w:val="28"/>
              </w:rPr>
              <w:t xml:space="preserve"> teritorijām </w:t>
            </w:r>
            <w:r w:rsidRPr="007F7454">
              <w:rPr>
                <w:szCs w:val="28"/>
                <w:u w:val="single"/>
              </w:rPr>
              <w:t>jānodrošina</w:t>
            </w:r>
            <w:r w:rsidRPr="007F7454">
              <w:rPr>
                <w:szCs w:val="28"/>
              </w:rPr>
              <w:t xml:space="preserve"> aizsargājamo sugu un biotopu labvēlīgs aizsardzības statuss, jeb </w:t>
            </w:r>
            <w:r w:rsidRPr="007F7454">
              <w:rPr>
                <w:szCs w:val="28"/>
                <w:u w:val="single"/>
              </w:rPr>
              <w:t>šo sugu populāciju stabilitāte</w:t>
            </w:r>
            <w:r w:rsidRPr="007F7454">
              <w:rPr>
                <w:szCs w:val="28"/>
              </w:rPr>
              <w:t xml:space="preserve"> un biotopu pietiekama platība raksturīgajos </w:t>
            </w:r>
            <w:proofErr w:type="spellStart"/>
            <w:r w:rsidRPr="007F7454">
              <w:rPr>
                <w:szCs w:val="28"/>
              </w:rPr>
              <w:t>bioģeogrāfiskajos</w:t>
            </w:r>
            <w:proofErr w:type="spellEnd"/>
            <w:r w:rsidRPr="007F7454">
              <w:rPr>
                <w:szCs w:val="28"/>
              </w:rPr>
              <w:t xml:space="preserve"> reģionos. </w:t>
            </w:r>
          </w:p>
          <w:p w14:paraId="38AC78AC" w14:textId="60618F05" w:rsidR="007F7454" w:rsidRPr="007F7454" w:rsidRDefault="007F7454" w:rsidP="007F7454">
            <w:pPr>
              <w:ind w:right="13" w:firstLine="720"/>
              <w:rPr>
                <w:szCs w:val="28"/>
              </w:rPr>
            </w:pPr>
            <w:r w:rsidRPr="007F7454">
              <w:rPr>
                <w:szCs w:val="28"/>
              </w:rPr>
              <w:t xml:space="preserve">Biotopu direktīvas II pielikumā (Kopienā nozīmīgas augu un dzīvnieku sugas, kuru </w:t>
            </w:r>
            <w:r w:rsidRPr="007F7454">
              <w:rPr>
                <w:b/>
                <w:bCs/>
                <w:szCs w:val="28"/>
              </w:rPr>
              <w:t>aizsargāšanai ir jānosaka</w:t>
            </w:r>
            <w:r w:rsidRPr="007F7454">
              <w:rPr>
                <w:szCs w:val="28"/>
              </w:rPr>
              <w:t xml:space="preserve"> īpaši aizsargājamas dabas teritorijas) iekļauta sikspārņu suga - </w:t>
            </w:r>
            <w:r w:rsidRPr="007F7454">
              <w:rPr>
                <w:rStyle w:val="Strong"/>
                <w:szCs w:val="28"/>
              </w:rPr>
              <w:t xml:space="preserve">Eiropas </w:t>
            </w:r>
            <w:proofErr w:type="spellStart"/>
            <w:r w:rsidRPr="002659F6">
              <w:rPr>
                <w:rStyle w:val="scayt-misspell-word"/>
                <w:b/>
                <w:bCs/>
                <w:szCs w:val="28"/>
              </w:rPr>
              <w:t>platausis</w:t>
            </w:r>
            <w:proofErr w:type="spellEnd"/>
            <w:r w:rsidRPr="007F7454">
              <w:rPr>
                <w:rStyle w:val="Strong"/>
                <w:szCs w:val="28"/>
              </w:rPr>
              <w:t xml:space="preserve"> </w:t>
            </w:r>
            <w:proofErr w:type="spellStart"/>
            <w:r w:rsidRPr="007F7454">
              <w:rPr>
                <w:rStyle w:val="scayt-misspell-word"/>
                <w:i/>
                <w:iCs/>
                <w:szCs w:val="28"/>
              </w:rPr>
              <w:t>Barbastella</w:t>
            </w:r>
            <w:proofErr w:type="spellEnd"/>
            <w:r w:rsidRPr="007F7454">
              <w:rPr>
                <w:rStyle w:val="Emphasis"/>
                <w:rFonts w:eastAsia="Calibri"/>
                <w:szCs w:val="28"/>
              </w:rPr>
              <w:t xml:space="preserve"> </w:t>
            </w:r>
            <w:proofErr w:type="spellStart"/>
            <w:r w:rsidRPr="007F7454">
              <w:rPr>
                <w:rStyle w:val="scayt-misspell-word"/>
                <w:i/>
                <w:iCs/>
                <w:szCs w:val="28"/>
              </w:rPr>
              <w:t>barbastellus</w:t>
            </w:r>
            <w:proofErr w:type="spellEnd"/>
            <w:r w:rsidRPr="007F7454">
              <w:rPr>
                <w:szCs w:val="28"/>
              </w:rPr>
              <w:t xml:space="preserve"> (turpmāk – </w:t>
            </w:r>
            <w:proofErr w:type="spellStart"/>
            <w:r w:rsidRPr="007F7454">
              <w:rPr>
                <w:szCs w:val="28"/>
              </w:rPr>
              <w:t>platausis</w:t>
            </w:r>
            <w:proofErr w:type="spellEnd"/>
            <w:r w:rsidRPr="007F7454">
              <w:rPr>
                <w:szCs w:val="28"/>
              </w:rPr>
              <w:t xml:space="preserve">). Ņemot vērā, ka </w:t>
            </w:r>
            <w:r w:rsidRPr="007F7454">
              <w:rPr>
                <w:szCs w:val="28"/>
              </w:rPr>
              <w:br/>
              <w:t xml:space="preserve">Latvijas </w:t>
            </w:r>
            <w:r w:rsidRPr="007F7454">
              <w:rPr>
                <w:i/>
                <w:iCs/>
                <w:szCs w:val="28"/>
              </w:rPr>
              <w:t>Natura 2000</w:t>
            </w:r>
            <w:r w:rsidRPr="007F7454">
              <w:rPr>
                <w:szCs w:val="28"/>
              </w:rPr>
              <w:t xml:space="preserve"> teritoriju saraksts </w:t>
            </w:r>
            <w:r w:rsidRPr="007F7454">
              <w:rPr>
                <w:szCs w:val="28"/>
                <w:u w:val="single"/>
              </w:rPr>
              <w:t xml:space="preserve">ir nepietiekams attiecībā uz </w:t>
            </w:r>
            <w:proofErr w:type="spellStart"/>
            <w:r w:rsidRPr="007F7454">
              <w:rPr>
                <w:szCs w:val="28"/>
                <w:u w:val="single"/>
              </w:rPr>
              <w:t>platausi</w:t>
            </w:r>
            <w:proofErr w:type="spellEnd"/>
            <w:r w:rsidRPr="007F7454">
              <w:rPr>
                <w:szCs w:val="28"/>
              </w:rPr>
              <w:t xml:space="preserve">, kā prasīts Biotopu direktīvas 4. panta 1. punktā, un tādējādi nav izpildīts Biotopu direktīvas 3. panta 2. punktā noteiktie ES dalībvalsts pienākumi, </w:t>
            </w:r>
            <w:r>
              <w:rPr>
                <w:szCs w:val="28"/>
              </w:rPr>
              <w:t xml:space="preserve"> </w:t>
            </w:r>
            <w:r>
              <w:t xml:space="preserve">Ministru kabinets 2020. gada 21. janvārī </w:t>
            </w:r>
            <w:r>
              <w:rPr>
                <w:u w:val="single"/>
              </w:rPr>
              <w:t>apstiprināja Latvijas nostāju</w:t>
            </w:r>
            <w:r>
              <w:t xml:space="preserve">, ar kuru </w:t>
            </w:r>
            <w:r>
              <w:rPr>
                <w:u w:val="single"/>
              </w:rPr>
              <w:t>Latvija apņēmās</w:t>
            </w:r>
            <w:r>
              <w:t xml:space="preserve"> noteikt jaunas īpaši aizsargājamas dabas  teritorijas (</w:t>
            </w:r>
            <w:r>
              <w:rPr>
                <w:rStyle w:val="Emphasis"/>
              </w:rPr>
              <w:t>Natura 2000</w:t>
            </w:r>
            <w:r>
              <w:t>), tai skaitā platauša dzīvotņu aizsardzībai.</w:t>
            </w:r>
          </w:p>
          <w:p w14:paraId="62E5D4F1" w14:textId="77777777" w:rsidR="007F7454" w:rsidRPr="007F7454" w:rsidRDefault="007F7454" w:rsidP="009244C9">
            <w:pPr>
              <w:jc w:val="left"/>
              <w:rPr>
                <w:szCs w:val="28"/>
              </w:rPr>
            </w:pPr>
          </w:p>
          <w:p w14:paraId="20C95F52" w14:textId="5D130E18" w:rsidR="009244C9" w:rsidRPr="007F7454" w:rsidRDefault="009244C9" w:rsidP="00AF3F0F">
            <w:pPr>
              <w:rPr>
                <w:szCs w:val="28"/>
              </w:rPr>
            </w:pPr>
            <w:r w:rsidRPr="007F7454">
              <w:rPr>
                <w:szCs w:val="28"/>
              </w:rPr>
              <w:t>Aizsargājamais ainavu apvidus “Koknese-Odziena” (turpmāk – ainavu apvidus) pēc robežas precizēšanas (</w:t>
            </w:r>
            <w:r w:rsidRPr="007F7454">
              <w:rPr>
                <w:i/>
                <w:iCs/>
                <w:szCs w:val="28"/>
              </w:rPr>
              <w:t>ainavu apvidū netiek iekļauta Kokneses pilsēta līdz valsts reģionālajam autoceļam P79 Koknese-Ērgļi</w:t>
            </w:r>
            <w:r w:rsidR="00D86243">
              <w:rPr>
                <w:i/>
                <w:iCs/>
                <w:szCs w:val="28"/>
              </w:rPr>
              <w:t xml:space="preserve">, platausim būtisko Kokneses parku (aizsargājamais dendroloģiskais stādījums) atsevišķi nosakot kā Natura 2000 teritoriju </w:t>
            </w:r>
            <w:r w:rsidRPr="007F7454">
              <w:rPr>
                <w:szCs w:val="28"/>
              </w:rPr>
              <w:t>) ir 18 600 ha. Saskaņā ar</w:t>
            </w:r>
            <w:r w:rsidR="00D63845" w:rsidRPr="007F7454">
              <w:rPr>
                <w:szCs w:val="28"/>
              </w:rPr>
              <w:t xml:space="preserve"> </w:t>
            </w:r>
            <w:r w:rsidRPr="007F7454">
              <w:rPr>
                <w:szCs w:val="28"/>
              </w:rPr>
              <w:t xml:space="preserve">ainavu apvidus individuālo aizsardzības un izmantošanas noteikumu projektu (22-TA-3788) </w:t>
            </w:r>
            <w:r w:rsidRPr="007F7454">
              <w:rPr>
                <w:szCs w:val="28"/>
                <w:u w:val="single"/>
              </w:rPr>
              <w:t>lielākā daļa ainavu apvidus</w:t>
            </w:r>
            <w:r w:rsidRPr="007F7454">
              <w:rPr>
                <w:szCs w:val="28"/>
              </w:rPr>
              <w:t xml:space="preserve"> t</w:t>
            </w:r>
            <w:r w:rsidR="00D63845" w:rsidRPr="007F7454">
              <w:rPr>
                <w:szCs w:val="28"/>
              </w:rPr>
              <w:t xml:space="preserve">iks </w:t>
            </w:r>
            <w:r w:rsidRPr="007F7454">
              <w:rPr>
                <w:szCs w:val="28"/>
              </w:rPr>
              <w:t xml:space="preserve">ietverta neitrālajās (2%) un </w:t>
            </w:r>
            <w:r w:rsidRPr="007F7454">
              <w:rPr>
                <w:szCs w:val="28"/>
                <w:u w:val="single"/>
              </w:rPr>
              <w:t xml:space="preserve">ainavu aizsardzības zonās (77%). </w:t>
            </w:r>
            <w:r w:rsidRPr="007F7454">
              <w:rPr>
                <w:szCs w:val="28"/>
              </w:rPr>
              <w:t>Ainavu aizsardzības zona ti</w:t>
            </w:r>
            <w:r w:rsidR="00D63845" w:rsidRPr="007F7454">
              <w:rPr>
                <w:szCs w:val="28"/>
              </w:rPr>
              <w:t>ks</w:t>
            </w:r>
            <w:r w:rsidRPr="007F7454">
              <w:rPr>
                <w:szCs w:val="28"/>
              </w:rPr>
              <w:t xml:space="preserve"> piemērota 92% no visām ainavu apvidū ietvertajām fizisko personu zemēm, 91% no juridisko personu zemēm.</w:t>
            </w:r>
          </w:p>
          <w:p w14:paraId="685A958B" w14:textId="36BBCC1C" w:rsidR="009244C9" w:rsidRPr="007F7454" w:rsidRDefault="009244C9" w:rsidP="009244C9">
            <w:pPr>
              <w:rPr>
                <w:szCs w:val="28"/>
              </w:rPr>
            </w:pPr>
            <w:r w:rsidRPr="007F7454">
              <w:rPr>
                <w:szCs w:val="28"/>
              </w:rPr>
              <w:t>Visi zemes īpašnieki ir informēti un tiem tika dotas iespējas sniegt savu viedokli</w:t>
            </w:r>
            <w:r w:rsidR="00D63845" w:rsidRPr="007F7454">
              <w:rPr>
                <w:szCs w:val="28"/>
              </w:rPr>
              <w:t xml:space="preserve"> pirms noteikumu projekta tālākas virzības, kā arī uz saņemtajiem iesniegumiem ministrija sniedza atbildes.</w:t>
            </w:r>
          </w:p>
          <w:p w14:paraId="41193159" w14:textId="77777777" w:rsidR="00247A3C" w:rsidRDefault="00A852DC" w:rsidP="00A852DC">
            <w:pPr>
              <w:rPr>
                <w:szCs w:val="28"/>
              </w:rPr>
            </w:pPr>
            <w:r w:rsidRPr="007F7454">
              <w:rPr>
                <w:szCs w:val="28"/>
              </w:rPr>
              <w:t>Ņemot vērā, ka ainavu apvidus lielākajā daļā paredzētas vieglāka režīma funkcionālās zonas, kas neaizliedz (izņemot vēja parku ierīkošanu) vai neierobežo saimniecisko darbību, ir pārspīlēts apgalvojums, ka visā ainavu apvidus platībā ir būtiski ierobežojumi.</w:t>
            </w:r>
            <w:r w:rsidR="00247A3C">
              <w:rPr>
                <w:szCs w:val="28"/>
              </w:rPr>
              <w:t xml:space="preserve"> </w:t>
            </w:r>
          </w:p>
          <w:p w14:paraId="2046C6B5" w14:textId="5FA7F87A" w:rsidR="00A852DC" w:rsidRPr="007F7454" w:rsidRDefault="00247A3C" w:rsidP="00247A3C">
            <w:pPr>
              <w:rPr>
                <w:szCs w:val="28"/>
              </w:rPr>
            </w:pPr>
            <w:r>
              <w:rPr>
                <w:szCs w:val="28"/>
              </w:rPr>
              <w:t xml:space="preserve">Pie tam, </w:t>
            </w:r>
            <w:r w:rsidRPr="00247A3C">
              <w:rPr>
                <w:szCs w:val="28"/>
              </w:rPr>
              <w:t>lauksaimniecībā izmantojamās zemēs īpaši nosacījumi ir tikai konstatēt</w:t>
            </w:r>
            <w:r w:rsidR="00AF3F0F">
              <w:rPr>
                <w:szCs w:val="28"/>
              </w:rPr>
              <w:t>aj</w:t>
            </w:r>
            <w:r w:rsidRPr="00247A3C">
              <w:rPr>
                <w:szCs w:val="28"/>
              </w:rPr>
              <w:t>iem Eiropas nozīmes zālāju biotopiem, kas visā ainavu apvidus teritorijā ir tikai ap 150</w:t>
            </w:r>
            <w:r w:rsidR="00AF3F0F">
              <w:rPr>
                <w:szCs w:val="28"/>
              </w:rPr>
              <w:t> </w:t>
            </w:r>
            <w:r w:rsidRPr="00247A3C">
              <w:rPr>
                <w:szCs w:val="28"/>
              </w:rPr>
              <w:t xml:space="preserve">ha platībā, par kuriem </w:t>
            </w:r>
            <w:r w:rsidRPr="00247A3C">
              <w:rPr>
                <w:i/>
                <w:iCs/>
                <w:szCs w:val="28"/>
              </w:rPr>
              <w:t>Dabas skaitīšanas</w:t>
            </w:r>
            <w:r w:rsidRPr="00247A3C">
              <w:rPr>
                <w:szCs w:val="28"/>
              </w:rPr>
              <w:t xml:space="preserve">  ietvaros jau iepriekšējos gados tika informēti zemes īpašnieki un jebkuram interesentam redzami gan Dabas aizsardzības pārvaldes dabas datu pārvaldības sistēmā OZOLS, gan Lauku atbalsta dienesta Lauku bloku kartē (</w:t>
            </w:r>
            <w:r w:rsidRPr="00247A3C">
              <w:rPr>
                <w:szCs w:val="28"/>
                <w:u w:val="single"/>
              </w:rPr>
              <w:t>kurus nedrīkst uzart</w:t>
            </w:r>
            <w:r w:rsidR="00F776AF">
              <w:rPr>
                <w:szCs w:val="28"/>
                <w:u w:val="single"/>
              </w:rPr>
              <w:t xml:space="preserve"> </w:t>
            </w:r>
            <w:r w:rsidR="00F776AF" w:rsidRPr="00F776AF">
              <w:rPr>
                <w:szCs w:val="28"/>
              </w:rPr>
              <w:t>saskaņā ar Kopējās lauksaimniecības politikas atbalsta nosacījumiem</w:t>
            </w:r>
            <w:r w:rsidRPr="00247A3C">
              <w:rPr>
                <w:szCs w:val="28"/>
              </w:rPr>
              <w:t xml:space="preserve">), pie tam tajos jau šobrīd ir </w:t>
            </w:r>
            <w:r w:rsidRPr="00247A3C">
              <w:rPr>
                <w:szCs w:val="28"/>
                <w:u w:val="single"/>
              </w:rPr>
              <w:t>vispārējs ierobežojums  apmežošanai</w:t>
            </w:r>
            <w:r>
              <w:rPr>
                <w:szCs w:val="28"/>
              </w:rPr>
              <w:t xml:space="preserve"> (</w:t>
            </w:r>
            <w:r w:rsidRPr="00247A3C">
              <w:rPr>
                <w:szCs w:val="28"/>
              </w:rPr>
              <w:t>Ministru kabineta 2012.gada 2.maija noteikumu Nr. 308 “Meža atjaunošanas, meža ieaudzēšanas un plantāciju meža noteikumi” 3.3. un 26.4.</w:t>
            </w:r>
            <w:r>
              <w:rPr>
                <w:szCs w:val="28"/>
              </w:rPr>
              <w:t> </w:t>
            </w:r>
            <w:r w:rsidRPr="00247A3C">
              <w:rPr>
                <w:szCs w:val="28"/>
              </w:rPr>
              <w:t>apakšpunkti</w:t>
            </w:r>
            <w:r>
              <w:rPr>
                <w:szCs w:val="28"/>
              </w:rPr>
              <w:t>)</w:t>
            </w:r>
            <w:r w:rsidRPr="00247A3C">
              <w:rPr>
                <w:szCs w:val="28"/>
              </w:rPr>
              <w:t xml:space="preserve">. </w:t>
            </w:r>
          </w:p>
        </w:tc>
      </w:tr>
    </w:tbl>
    <w:p w14:paraId="3495FAFC" w14:textId="77777777" w:rsidR="007F7454" w:rsidRDefault="007F7454"/>
    <w:sectPr w:rsidR="007F7454">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B3813" w14:textId="77777777" w:rsidR="007F7454" w:rsidRDefault="007F7454">
      <w:r>
        <w:separator/>
      </w:r>
    </w:p>
  </w:endnote>
  <w:endnote w:type="continuationSeparator" w:id="0">
    <w:p w14:paraId="3768F3E2" w14:textId="77777777" w:rsidR="007F7454" w:rsidRDefault="007F7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B3E41" w14:textId="77777777" w:rsidR="00BD17D5" w:rsidRDefault="007F7454">
    <w:pPr>
      <w:jc w:val="right"/>
    </w:pPr>
    <w:r>
      <w:rPr>
        <w:sz w:val="24"/>
        <w:szCs w:val="24"/>
      </w:rPr>
      <w:fldChar w:fldCharType="begin"/>
    </w:r>
    <w:r>
      <w:rPr>
        <w:sz w:val="24"/>
        <w:szCs w:val="24"/>
      </w:rPr>
      <w:instrText>PAGE</w:instrText>
    </w:r>
    <w:r>
      <w:rPr>
        <w:sz w:val="24"/>
        <w:szCs w:val="24"/>
      </w:rPr>
      <w:fldChar w:fldCharType="separate"/>
    </w:r>
    <w:r w:rsidR="00DB306D">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E5F66" w14:textId="77777777" w:rsidR="007F7454" w:rsidRDefault="007F7454">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A65CB" w14:textId="77777777" w:rsidR="007F7454" w:rsidRDefault="007F7454">
      <w:r>
        <w:separator/>
      </w:r>
    </w:p>
  </w:footnote>
  <w:footnote w:type="continuationSeparator" w:id="0">
    <w:p w14:paraId="07AA26C1" w14:textId="77777777" w:rsidR="007F7454" w:rsidRDefault="007F74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7F3E0" w14:textId="77777777" w:rsidR="00BD17D5" w:rsidRDefault="007F7454">
    <w:pPr>
      <w:pStyle w:val="Header"/>
      <w:contextualSpacing w:val="0"/>
    </w:pPr>
    <w:r>
      <w:t>Viedokļu pārskats 22-TA-3783</w:t>
    </w:r>
    <w:r>
      <w:br/>
      <w:t>Izdrukāts 18.09.2023. 09.05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3054A" w14:textId="77777777" w:rsidR="00BD17D5" w:rsidRDefault="007F7454">
    <w:pPr>
      <w:pStyle w:val="Header"/>
      <w:contextualSpacing w:val="0"/>
    </w:pPr>
    <w:r>
      <w:t>Viedokļu pārskats 22-TA-3783</w:t>
    </w:r>
    <w:r>
      <w:br/>
      <w:t>Izdrukāts 18.09.2023. 09.05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7D5"/>
    <w:rsid w:val="0004172F"/>
    <w:rsid w:val="00247A3C"/>
    <w:rsid w:val="002659F6"/>
    <w:rsid w:val="00403A30"/>
    <w:rsid w:val="005322D0"/>
    <w:rsid w:val="007F7454"/>
    <w:rsid w:val="008530A0"/>
    <w:rsid w:val="008967F5"/>
    <w:rsid w:val="009244C9"/>
    <w:rsid w:val="00A852DC"/>
    <w:rsid w:val="00AF3F0F"/>
    <w:rsid w:val="00B942D8"/>
    <w:rsid w:val="00BD17D5"/>
    <w:rsid w:val="00D52DA2"/>
    <w:rsid w:val="00D55E01"/>
    <w:rsid w:val="00D63845"/>
    <w:rsid w:val="00D86243"/>
    <w:rsid w:val="00DB306D"/>
    <w:rsid w:val="00F776AF"/>
    <w:rsid w:val="00F904B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EF7F8"/>
  <w15:docId w15:val="{0CF59435-E717-4B8A-AB5B-647C24696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Hyperlink">
    <w:name w:val="Hyperlink"/>
    <w:uiPriority w:val="99"/>
    <w:unhideWhenUsed/>
    <w:rsid w:val="007F7454"/>
    <w:rPr>
      <w:color w:val="0000FF"/>
      <w:u w:val="single"/>
    </w:rPr>
  </w:style>
  <w:style w:type="character" w:styleId="Emphasis">
    <w:name w:val="Emphasis"/>
    <w:basedOn w:val="DefaultParagraphFont"/>
    <w:uiPriority w:val="20"/>
    <w:qFormat/>
    <w:rsid w:val="007F7454"/>
    <w:rPr>
      <w:i/>
      <w:iCs/>
    </w:rPr>
  </w:style>
  <w:style w:type="character" w:styleId="FootnoteReference">
    <w:name w:val="footnote reference"/>
    <w:uiPriority w:val="99"/>
    <w:semiHidden/>
    <w:unhideWhenUsed/>
    <w:rsid w:val="007F7454"/>
    <w:rPr>
      <w:vertAlign w:val="superscript"/>
    </w:rPr>
  </w:style>
  <w:style w:type="paragraph" w:styleId="FootnoteText">
    <w:name w:val="footnote text"/>
    <w:basedOn w:val="Normal"/>
    <w:link w:val="FootnoteTextChar"/>
    <w:uiPriority w:val="99"/>
    <w:unhideWhenUsed/>
    <w:rsid w:val="007F7454"/>
    <w:rPr>
      <w:rFonts w:eastAsia="Calibri"/>
      <w:color w:val="auto"/>
      <w:sz w:val="20"/>
      <w:lang w:eastAsia="en-US"/>
    </w:rPr>
  </w:style>
  <w:style w:type="character" w:customStyle="1" w:styleId="FootnoteTextChar">
    <w:name w:val="Footnote Text Char"/>
    <w:basedOn w:val="DefaultParagraphFont"/>
    <w:link w:val="FootnoteText"/>
    <w:uiPriority w:val="99"/>
    <w:rsid w:val="007F7454"/>
    <w:rPr>
      <w:rFonts w:eastAsia="Calibri"/>
      <w:color w:val="auto"/>
      <w:sz w:val="20"/>
      <w:lang w:eastAsia="en-US"/>
    </w:rPr>
  </w:style>
  <w:style w:type="character" w:styleId="Strong">
    <w:name w:val="Strong"/>
    <w:basedOn w:val="DefaultParagraphFont"/>
    <w:uiPriority w:val="22"/>
    <w:qFormat/>
    <w:rsid w:val="007F7454"/>
    <w:rPr>
      <w:b/>
      <w:bCs/>
    </w:rPr>
  </w:style>
  <w:style w:type="character" w:customStyle="1" w:styleId="scayt-misspell-word">
    <w:name w:val="scayt-misspell-word"/>
    <w:basedOn w:val="DefaultParagraphFont"/>
    <w:rsid w:val="007F74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572161">
      <w:bodyDiv w:val="1"/>
      <w:marLeft w:val="0"/>
      <w:marRight w:val="0"/>
      <w:marTop w:val="0"/>
      <w:marBottom w:val="0"/>
      <w:divBdr>
        <w:top w:val="none" w:sz="0" w:space="0" w:color="auto"/>
        <w:left w:val="none" w:sz="0" w:space="0" w:color="auto"/>
        <w:bottom w:val="none" w:sz="0" w:space="0" w:color="auto"/>
        <w:right w:val="none" w:sz="0" w:space="0" w:color="auto"/>
      </w:divBdr>
      <w:divsChild>
        <w:div w:id="648676459">
          <w:marLeft w:val="0"/>
          <w:marRight w:val="0"/>
          <w:marTop w:val="0"/>
          <w:marBottom w:val="0"/>
          <w:divBdr>
            <w:top w:val="none" w:sz="0" w:space="0" w:color="auto"/>
            <w:left w:val="none" w:sz="0" w:space="0" w:color="auto"/>
            <w:bottom w:val="none" w:sz="0" w:space="0" w:color="auto"/>
            <w:right w:val="none" w:sz="0" w:space="0" w:color="auto"/>
          </w:divBdr>
        </w:div>
      </w:divsChild>
    </w:div>
    <w:div w:id="18729556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3407</Words>
  <Characters>1942</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viedoklu_parskats_22-TA-3783.docx</vt:lpstr>
    </vt:vector>
  </TitlesOfParts>
  <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viedoklu_parskats_22-TA-3783.docx</dc:title>
  <dc:creator>Diāna Saulīte</dc:creator>
  <cp:lastModifiedBy>Diāna Saulīte</cp:lastModifiedBy>
  <cp:revision>18</cp:revision>
  <dcterms:created xsi:type="dcterms:W3CDTF">2023-09-18T06:07:00Z</dcterms:created>
  <dcterms:modified xsi:type="dcterms:W3CDTF">2023-10-11T11:45:00Z</dcterms:modified>
</cp:coreProperties>
</file>