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23-TA-3261: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iegūtu līdzekļu legalizācijas un terorisma un proliferācijas finansēšanas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12. jūlija[1] maksātnespējas procesa administratorus (turpmāk – administrators) Noziedzīgi iegūtu līdzekļu legalizācijas un terorisma un proliferācijas finansēšanas novēršanas likuma (turpmāk – Novēršanas likums) prasību izpildē līdztekus patstāvīgi uzrauga divas uzraudzības un kontroles institūcijas – Maksātnespējas kontroles dienests un biedrība "Latvijas Maksātnespējas procesa administratoru asociācija" (turpmāk – Administratoru asociācija).[2]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administratorus vienlaicīgi uzrauga divas uzraudzības un kontroles institūcijas – Administratoru asociācija un Maksātnespējas kontroles dienests, pastāv risks, ka var tikt īstenota atšķirīga pieeja administratoru uzraudzībā Novēršanas likuma prasību izpildē, jo Administratoru asociācija un Maksātnespējas kontroles dienests ir divas patstāvīgas un institucionāli neatkarīgas institūcijas. Minēto apliecina, piemēram, situācija, kad atbilstoši Novēršanas likuma 46. panta pirmās daļas 2. punktam un politikas plānošanas dokumentiem noziedzīgi iegūtu līdzekļu legalizācijas un terorisma un proliferācijas finansēšanas novēršanas jomā uzraudzības un kontroles institūcijām ir pienākums izstrādāt un iepazīstināt Novēršanas likuma subjektus ar dažādām vadlīnijām par Novēršanas likuma prasību īstenošanu. Maksātnespējas kontroles dienestam un Administratoru asociācijai ir atšķirīgs viedoklis par atsevišķām Novēršanas likuma prasībām, līdz ar to abas institūcijas nevar izdot kopējas vadlīnijas administratoriem. Šāda viedokļu nesakritība apdraud tiesisko noteiktību Novēršanas likuma prasību izpildē. Minētais apdraud efektīvas uzraudzības īstenošanu attiecībā uz administratoriem, jo nav iespējams pilnvērtīgi nodrošināt vienveidīgu uzraugāmo personu rīcību, kas būtu atbilstoša Novēršanas likuma prasībām, kas savukārt potenciāli palielina risku, ka maksātnespējas procesi var tikt izmantoti, lai legalizētu noziedzīgi iegūtus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vērst uzmanību arī atšķirīgajiem Maksātnespējas kontroles dienesta un Administratoru asociācijas uzraudzības rezultātiem. Administratori tika iekļauti Novēršanas likuma subjektu lokā no 2020. gada 1. janvāra, tomēr Maksātnespējas kontroles dienests šajā laika periodā no Administratoru asociācijas nav saņēmis nevienu ierosinājumu par sankcijas piemērošanu.[3] Maksātnespējas kontroles dienests, patstāvīgi konstatējot administratora pieļautu Novēršanas likuma pārkāpumu, 2022. gadā sankcijas par Novēršanas likuma pārkāpumiem piemēroja septiņiem administratoriem, no kuriem pieņemti trīs lēmumi par brīdinājuma izteikšanu un četri lēmumi par soda naudas piemērošanu 1 650 eiro apmērā (kopējais piemērotās soda naudas apmērs) un 2023. gadā sankcijas par Novēršanas likuma pārkāpumiem piemēroja 10 administratoriem, pieņēma vienu lēmumu par brīdinājuma izteikšanu un deviņus lēmumus par soda naudu piemērošanu 3 600 eiro apmērā (kopējais piemērotās soda naudas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efektīvu maksātnespējas sektora uzraudzību un vienotu risku pārvaldību var centralizējot uzraudzību Novēršanas likuma prasību izpildē attiecībā uz administratoriem un nosakot vienu uzraudzības un kontroles institūciju – Maksātnespējas kontroles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minēto problemātiku Maksātnespējas kontroles dienests norādījis arī Maksātnespējas kontroles dienesta izstrādātajā maksātnespējas sektora risku novērtējumā un  sektorā identificētais risku mazinošā pasākumu priekšlikums attiecīgi ir iekļauts Noziedzīgi iegūtu līdzekļu legalizācijas, terorisma un proliferācijas finansēšanas risku novērtējumā par 2020.–2022.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Noziedzīgi iegūtu līdzekļu legalizācijas un terorisma un proliferācijas finansēšanas novēršanas likumā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likuma 7. pantā 1.</w:t>
            </w:r>
            <w:r w:rsidR="00000000" w:rsidRPr="00000000" w:rsidDel="00000000">
              <w:rPr>
                <w:vertAlign w:val="superscript"/>
                <w:rtl w:val="0"/>
              </w:rPr>
              <w:t xml:space="preserve">1</w:t>
            </w:r>
            <w:r w:rsidR="00000000" w:rsidRPr="00000000" w:rsidDel="00000000">
              <w:rPr>
                <w:rtl w:val="0"/>
              </w:rPr>
              <w:t xml:space="preserve">daļā, 22. panta ceturtajā daļā, 26. panta septītajā daļā un 46. panta otrās daļas ievaddaļā vārdus "biedrība "Latvijas Sertificēto maksātnespējas procesa administratoru asociācija"" (attiecīgā locījumā) ar vārdiem "Maksātnespējas kontroles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45. panta pirmās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maksātnespējas procesa administratorus —Maksātnespējas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77. panta pirmajā daļā vārdus "pēc uzraudzības un kontroles institūcijas — biedrības "Latvijas Sertificēto maksātnespējas procesa administratoru asociācija" — ierosinājuma vai bez tā, ja Maksātnespējas kontroles dienests uzraudzības un kontroles pasākumus veicis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"Grozījumi Noziedzīgi iegūtu līdzekļu legalizācijas un terorisma un proliferācijas finansēšanas novēršanas likumā". Pieejams: https://likumi.lv/ta/id/324250-grozijumi-noziedzigi-iegutu-lidzeklu-legalizacijas-un-terorisma-un-proliferacijas-finansesanas-noversanas-likuma.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Novēršanas likuma 45. panta pirmās daļas 10. punkts un 77.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Novēršanas likuma 77.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Maksātnespējas kontroles dienesta virzītais iebildums nav saistīts ar kriptoaktīvu pakalpojumu sniedzēju darbības nodrošināšanu atbilstoši Eiropas Parlamenta un Padomes 2023. gada 31. maija Regulas (ES) 2023/1114 par kriptoaktīvu tirgiem un ar ko groza Regulas (ES) Nr. 1093/2010 un (ES) Nr. 1095/2010 un Direktīvas 2013/36/ES un (ES) 2019/1937 (turpmāk - Regulas Nr. 2023/1114) prasībām, minētajā iebildumā izklāstītais jautājums ir risināms ilgākā laika posmā kopsakarā ar Eiropas Parlamenta un Padomes direktīvas par mehānismiem, kas dalībvalstīm jāievieš, lai nepieļautu finanšu sistēmas izmantošanu nelikumīgi iegūtu līdzekļu legalizēšanai vai teroristu finansēšanai, un ar ko atceļ Direktīvu (ES) 2015/849 (jeb 6. AML Direktīva, kas šobrīd vēl nav pieņemta).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7. punktu ar "n"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ietverto skaidrojumu, projekta 1. pantā un attiecīgi arī 2. pantā, šķiet, tiek pārņemts Eiropas Parlamenta un Padomes 2015. gada 20. maija direktīvas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Direktīva 2015/849) 3. panta 2. punkta "g" apakšpunkts, kas tajā pievienots ar Eiropas Parlamenta un Padomes  2023.gada 31.maija Regulas (ES) 2023/1113 par līdzekļu un konkrētu kriptoaktīvu pārvedumiem pievienoto informāciju un ar ko groza Direktīvu (ES) 2015/849 (turpmāk - Regula Nr. 2023/1113) 38. panta 2. punkta "a" apakšpunktu. Regulas Nr. 2023/1113 38. panta 8. punkts pievieno minētās direktīvas 67. pantā 3. punktu, kas paredz, ka: "</w:t>
            </w:r>
            <w:r w:rsidR="00000000" w:rsidRPr="00000000" w:rsidDel="00000000">
              <w:rPr>
                <w:i w:val="1"/>
                <w:rtl w:val="0"/>
              </w:rPr>
              <w:t xml:space="preserve">Dalībvalstis līdz 2024. gada 30. decembrim pieņem un publicē normatīvos un administratīvos aktus, kas vajadzīgi, lai izpildītu 2. panta 1. punkta 3. apakšpunkta, </w:t>
            </w:r>
            <w:r w:rsidR="00000000" w:rsidRPr="00000000" w:rsidDel="00000000">
              <w:rPr>
                <w:i w:val="1"/>
                <w:u w:val="single"/>
                <w:rtl w:val="0"/>
              </w:rPr>
              <w:t xml:space="preserve">3. panta 2. punkta g) apakšpunkta</w:t>
            </w:r>
            <w:r w:rsidR="00000000" w:rsidRPr="00000000" w:rsidDel="00000000">
              <w:rPr>
                <w:i w:val="1"/>
                <w:rtl w:val="0"/>
              </w:rPr>
              <w:t xml:space="preserve">, 3. panta 8., 18., 19. un 20. punkta, 19.a panta 1. punkta, 19.b panta 1. un 2. punkta, 45. panta 9. punkta un 47. panta 1. punkta prasības. Dalībvalstis nekavējoties dara Komisijai zināmu minēto noteikumu tekstu. </w:t>
            </w:r>
            <w:r w:rsidR="00000000" w:rsidRPr="00000000" w:rsidDel="00000000">
              <w:rPr>
                <w:i w:val="1"/>
                <w:u w:val="single"/>
                <w:rtl w:val="0"/>
              </w:rPr>
              <w:t xml:space="preserve">Tās piemēro minētos noteikumus no 2024. gada 30. decembra</w:t>
            </w:r>
            <w:r w:rsidR="00000000" w:rsidRPr="00000000" w:rsidDel="00000000">
              <w:rPr>
                <w:i w:val="1"/>
                <w:rtl w:val="0"/>
              </w:rPr>
              <w:t xml:space="preserve">.</w:t>
            </w:r>
            <w:r w:rsidR="00000000" w:rsidRPr="00000000" w:rsidDel="00000000">
              <w:rPr>
                <w:rtl w:val="0"/>
              </w:rPr>
              <w:t xml:space="preserve">” Arī Regulas Nr. 2023/1113 40. pants paredz, ka regulu piemēro no 2024. gada 30. decembra. Attiecīgi lūdzam paredzēt attiecīgus projekta 1. un 2. panta spēkā stāšanās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Novēršanas likuma 1. panta pirmās daļas 7. punktā ietverto norādi, ka "</w:t>
            </w:r>
            <w:r w:rsidR="00000000" w:rsidRPr="00000000" w:rsidDel="00000000">
              <w:rPr>
                <w:i w:val="1"/>
                <w:rtl w:val="0"/>
              </w:rPr>
              <w:t xml:space="preserve">finanšu iestāde - komercreģistrā ierakstīts komersants, filiāle vai pārstāvniecība vai citas dalībvalsts vai trešās valsts attiecīgā reģistrā reģistrēts komersants, kurš nav kredītiestāde </w:t>
            </w:r>
            <w:r w:rsidR="00000000" w:rsidRPr="00000000" w:rsidDel="00000000">
              <w:rPr>
                <w:i w:val="1"/>
                <w:u w:val="single"/>
                <w:rtl w:val="0"/>
              </w:rPr>
              <w:t xml:space="preserve">un kurš sniedz vienu vai vairākus finanšu pakalpojumus Kredītiestāžu likuma izpratnē</w:t>
            </w:r>
            <w:r w:rsidR="00000000" w:rsidRPr="00000000" w:rsidDel="00000000">
              <w:rPr>
                <w:rtl w:val="0"/>
              </w:rPr>
              <w:t xml:space="preserve">", projekta 1. un 2. panta spēkā stāšanās datumam jābūt, šķiet, arī sasaistītam ar attiecīgu grozījumu Kredītiestāžu likumā spēkā stāšanos. Attiecīgi lūdzam izvērtēt un atbilstoši precizēt projektu vai sniegt pamatotu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citas projekta normas un to, vai nav nepieciešams veikt arī citus precizējumus projektā attiecībā uz citu normu spēkā stāšanos, un nepieciešamības gadījumā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tiesību normām, kas ir ieviestas saskaņā ar Eiropas Parlamenta un ES Padomes 2023.gada 31.maija Regulas Nr. 2023/1113 par līdzekļu un konkrētu kriptoaktīvu pārvedumiem pievienoto informāciju un ar ko groza Direktīvu (ES) 2015/849  (Regula Nr. 2023/1113) 38. pantu. Proti, 38. pants nosaka izdarīt noteiktus grozījumus Direktīvā Nr. 2015/849 attiecībā uz kriptoaktīvu pakalpojumu sniedzējiem, kas nosaka minētajiem subjektiem veikt risku mazinošos pasākumus, veicot kriptoaktīvu pārvedumus uz pašuzturēto adresi vai no tās, kā arī papildus klientu izpētes pasākumus, uzsākot korespondentattiecības ar kredītiestādi vai finanšu iestādi (respondentu).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veikti šādi grozījumi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Novēršanas likuma 22. panta  otrā daļa ar 4.</w:t>
            </w:r>
            <w:r w:rsidR="00000000" w:rsidRPr="00000000" w:rsidDel="00000000">
              <w:rPr>
                <w:vertAlign w:val="superscript"/>
                <w:rtl w:val="0"/>
              </w:rPr>
              <w:t xml:space="preserve">1</w:t>
            </w:r>
            <w:r w:rsidR="00000000" w:rsidRPr="00000000" w:rsidDel="00000000">
              <w:rPr>
                <w:rtl w:val="0"/>
              </w:rPr>
              <w:t xml:space="preserve"> daļu, nosakot, ka Novēršanas likuma subjekts veic klienta padziļinātu izpēti, uzsākot un uzturot darījuma attiecības vai veicot gadījuma rakstura darījumu ar klientu, kas veic kriptoaktīvu pārvedumu uz pašuzturētu adresi vai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Novēršanas likums ar 25.</w:t>
            </w:r>
            <w:r w:rsidR="00000000" w:rsidRPr="00000000" w:rsidDel="00000000">
              <w:rPr>
                <w:vertAlign w:val="superscript"/>
                <w:rtl w:val="0"/>
              </w:rPr>
              <w:t xml:space="preserve">2</w:t>
            </w:r>
            <w:r w:rsidR="00000000" w:rsidRPr="00000000" w:rsidDel="00000000">
              <w:rPr>
                <w:rtl w:val="0"/>
              </w:rPr>
              <w:t xml:space="preserve"> pantu, kas nosaka kriptoaktīvu pakalpojumu sniedzējiem veiktos risku mazinošos pasākumus, veicot kriptoaktīvu pārvedumus uz pašuzturēto adresi vai no tās. Termins “pašuzturētā adrese” tiks noregulēts Novēršanas likuma terminoloģijā un būs atbilstošs Regulas Nr. 2023/1113 3. panta 20. punktā ietvertajam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izteikta Novēršanas likuma 24. panta pirmā daļa jaunā redakcijā, kas nosaka kredītiestādes un finanšu iestādes papildu veicamos klienta izpētes pasākumus, uzsākot korespondentattiecības ar kredītiestādi vai finanšu iestādi (respondentu), tajā skaitā, uzsākot korespondentattiecības, kas ietver darījumu izpildi ar augsta riska trešās valsts respondentu.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stāsies spēkā ar 2024. gada 30.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Likumprojektam, šobrīd ir izstrādāts likumprojekts “Grozījumi Kredītiestāžu likumā” (24-TA-40), ar kuru paredzēts papildināt Kredītiestāžu likumā noteiktos kredītiestādes sniegtos finanšu pakalpojumus par elektroniskās naudas, tai skaitā elektroniskās naudas žetonu, emisiju, aktīviem piesaistīto žetonu emisiju, un kriptoaktīvu pakalpojumu sniegšanu, kas nodrošinātu Regula Nr. 2023/1114 146. panta un III un IV sadaļas tiešo piemērošanu. Plānots, ka minētais likumprojekts stāsies spēkā 2024. gada 30.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ar "n"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Kriptoaktīvu pakalpojumu sniedzējs, kuru atbilstoši šā likuma 45. panta otrās daļas 6. punkta "e" apakšpunktam uzrauga Valsts ieņēmumu dienests, no 2024. gada 1. jūlija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 Lēmumu par atļaujas piešķiršanu kriptoaktīvu pakalpojumu sniegšanai Latvijas Banka pieņem ne ātrāk kā 2024. gada 30.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pants paredz papildināt likumu ar citastarp 71. punktu, kura 1. teikums paredz: "</w:t>
            </w:r>
            <w:r w:rsidR="00000000" w:rsidRPr="00000000" w:rsidDel="00000000">
              <w:rPr>
                <w:i w:val="1"/>
                <w:rtl w:val="0"/>
              </w:rPr>
              <w:t xml:space="preserve">Kriptoaktīvu pakalpojumu sniedzējs, kuru atbilstoši šā likuma 45. panta otrās daļas 6. punkta "e" apakšpunktam uzrauga Valsts ieņēmumu dienests, </w:t>
            </w:r>
            <w:r w:rsidR="00000000" w:rsidRPr="00000000" w:rsidDel="00000000">
              <w:rPr>
                <w:i w:val="1"/>
                <w:u w:val="single"/>
                <w:rtl w:val="0"/>
              </w:rPr>
              <w:t xml:space="preserve">no 2024. gada 1. jūlija</w:t>
            </w:r>
            <w:r w:rsidR="00000000" w:rsidRPr="00000000" w:rsidDel="00000000">
              <w:rPr>
                <w:i w:val="1"/>
                <w:rtl w:val="0"/>
              </w:rPr>
              <w:t xml:space="preserve"> iesniedz Latvijas Bankai pieteikumu par atļaujas izsniegšanu kriptoaktīvu pakalpojumu sniegšanai </w:t>
            </w:r>
            <w:r w:rsidR="00000000" w:rsidRPr="00000000" w:rsidDel="00000000">
              <w:rPr>
                <w:i w:val="1"/>
                <w:u w:val="single"/>
                <w:rtl w:val="0"/>
              </w:rPr>
              <w:t xml:space="preserve">saskaņā ar Eiropas Parlamenta un Padomes 2023. gada 31. maija Regulas (ES) 2023/1114 par kriptoaktīvu tirgiem un ar ko groza Regulas (ES) Nr. 1093/2010 un (ES) Nr. 1095/2010 un Direktīvas 2013/36/ES un (ES) 2019/1937 (turpmāk - Regula Nr. 2023/1114)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2023/1114 149. panta 2. punkts paredz, ka regulu piemēro (ar atsevišķiem izņēmumiem) </w:t>
            </w:r>
            <w:r w:rsidR="00000000" w:rsidRPr="00000000" w:rsidDel="00000000">
              <w:rPr>
                <w:u w:val="single"/>
                <w:rtl w:val="0"/>
              </w:rPr>
              <w:t xml:space="preserve">no 2024. gada 30. decembra</w:t>
            </w:r>
            <w:r w:rsidR="00000000" w:rsidRPr="00000000" w:rsidDel="00000000">
              <w:rPr>
                <w:rtl w:val="0"/>
              </w:rPr>
              <w:t xml:space="preserve">. Arī minētās regulas 62. pants, kas regulē pieteikumu kriptoaktīvu pakalpojumu sniedzēja atļaujas saņemšanai, šķiet, ir piemērojams no 2024. gada 30. decembra (izņemot 62. panta 5. un 6. punktu - sk. regulas Nr. 2023/114 149. panta 4. punktu). Attiecīgi lūdzam precizēt datumu, no kura kriptoaktīvu pakalpojumu sniedzējs var iesniegt attiecīgo pieteikumu saskaņā ar minētās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Novēršanas likuma Pārejas noteikumu 71. pants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Kriptoaktīvu pakalpojumu sniedzējs, kuru atbilstoši šā likuma 45. panta otrās daļas 6. punkta "e" apakšpunktam uzrauga Valsts ieņēmumu dienests, no 2024. gada 30. decembra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Kriptoaktīvu pakalpojumu sniedzējs, kuru atbilstoši šā likuma 45. panta otrās daļas 6. punkta "e" apakšpunktam uzrauga Valsts ieņēmumu dienests, no 2024. gada 1. jūlija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 Lēmumu par atļaujas piešķiršanu kriptoaktīvu pakalpojumu sniegšanai Latvijas Banka pieņem ne ātrāk kā 2024. gada 30.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2023/1114 63. panta 9. punkts paredz, ka motivēts lēmums par atļaujas piešķiršanu tiek pieņemts 40 darbdienu laikā pēc pilnīga pieteikuma saņemšanas dienas. Savukārt projekta 5. pantā ietvertajā Novēršanas likuma pārejas noteikumu 71. punktā paredzēts, ka pieteikumu atļaujas izsniegšanai var iesniegt sākot ar 2024. gada 1. jūliju, savukārt lēmumu Latvijas Banka var pieņemt ne ātrāk kā 2024. gada 30. decembrī. No minētā izriet, ka ir iespējami gadījumi, kad lēmuma par atļaujas piešķiršanu termiņš pārsniegs Regulā Nr. 2023/1114 paredzēto termiņu. Ievērojot minēto, lūdzam projekta anotācijā pamatot, kāpēc lēmuma pieņemšanas termiņš projektā ir paredzēts garāks, kā arī norādīt, vai Regula Nr. 2023/1114 pieļauj atšķirīga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Novēršanas likuma Pārejas noteikumu 71. pants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Kriptoaktīvu pakalpojumu sniedzējs, kuru atbilstoši šā likuma 45. panta otrās daļas 6. punkta "e" apakšpunktam uzrauga Valsts ieņēmumu dienests, no 2024. gada 30. decembra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Ja kriptoaktīvu pakalpojumu sniedzējs, kuru atbilstoši šā likuma 45. panta otrās daļas 6. punkta "e" apakšpunktam uzrauga Valsts ieņēmumu dienests, nav iesniedzis pieteikumu Latvijas Bankai par atļaujas izsniegšanai un nav saņēmis atļauju kriptoaktīvu pakalpojumu sniegšanai saskaņā ar Regulas Nr. 2023/1114 prasībām, tas pārtrauc kriptoaktīvu pakalpojumu sniegšanu 2025.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ietvertais likuma pārejas noteikumu 72. punkts paredz: "Ja kriptoaktīvu pakalpojumu sniedzējs, kuru atbilstoši šā likuma 45. panta otrās daļas 6. punkta "e" apakšpunktam uzrauga Valsts ieņēmumu dienests, nav iesniedzis pieteikumu Latvijas Bankai par atļaujas izsniegšanai un nav saņēmis atļauju kriptoaktīvu pakalpojumu sniegšanai saskaņā ar Regulas Nr. 2023/1114 prasībām, tas pārtrauc kriptoaktīvu pakalpojumu sniegšanu </w:t>
            </w:r>
            <w:r w:rsidR="00000000" w:rsidRPr="00000000" w:rsidDel="00000000">
              <w:rPr>
                <w:u w:val="single"/>
                <w:rtl w:val="0"/>
              </w:rPr>
              <w:t xml:space="preserve">2025. gada 30. jūnijā</w:t>
            </w:r>
            <w:r w:rsidR="00000000" w:rsidRPr="00000000" w:rsidDel="00000000">
              <w:rPr>
                <w:rtl w:val="0"/>
              </w:rPr>
              <w:t xml:space="preserve">." Lūdzam precizēt 72. punktu vai anotācijā skaidrot tā atbilstību Regulas Nr. 2023/1114 143. panta 3. punkta pirmajai daļai. Paužam bažas, ka pirmšķietami 72. punkts pilnībā neatbilst minētajai regulas normai, kas noteic, ka, "[</w:t>
            </w:r>
            <w:r w:rsidR="00000000" w:rsidRPr="00000000" w:rsidDel="00000000">
              <w:rPr>
                <w:i w:val="1"/>
                <w:rtl w:val="0"/>
              </w:rPr>
              <w:t xml:space="preserve">a]tkāpjoties no 149. panta 2. punkta, kriptoaktīvu pakalpojumu sniedzēji, kas savus pakalpojumus saskaņā ar piemērojamajiem tiesību aktiem sniedza pirms 2024. gada 30. decembra, var turpināt to darīt </w:t>
            </w:r>
            <w:r w:rsidR="00000000" w:rsidRPr="00000000" w:rsidDel="00000000">
              <w:rPr>
                <w:i w:val="1"/>
                <w:u w:val="single"/>
                <w:rtl w:val="0"/>
              </w:rPr>
              <w:t xml:space="preserve">līdz 2026. gada 1. jūlijam</w:t>
            </w:r>
            <w:r w:rsidR="00000000" w:rsidRPr="00000000" w:rsidDel="00000000">
              <w:rPr>
                <w:i w:val="1"/>
                <w:rtl w:val="0"/>
              </w:rPr>
              <w:t xml:space="preserve"> </w:t>
            </w:r>
            <w:r w:rsidR="00000000" w:rsidRPr="00000000" w:rsidDel="00000000">
              <w:rPr>
                <w:rtl w:val="0"/>
              </w:rPr>
              <w:t xml:space="preserve">[Latvijas gadījumā, ņemot vērā pašreizējo 72. punkta redakciju, - </w:t>
            </w:r>
            <w:r w:rsidR="00000000" w:rsidRPr="00000000" w:rsidDel="00000000">
              <w:rPr>
                <w:u w:val="single"/>
                <w:rtl w:val="0"/>
              </w:rPr>
              <w:t xml:space="preserve">2025. gada 30. jūnijam]</w:t>
            </w:r>
            <w:r w:rsidR="00000000" w:rsidRPr="00000000" w:rsidDel="00000000">
              <w:rPr>
                <w:i w:val="1"/>
                <w:rtl w:val="0"/>
              </w:rPr>
              <w:t xml:space="preserve"> </w:t>
            </w:r>
            <w:r w:rsidR="00000000" w:rsidRPr="00000000" w:rsidDel="00000000">
              <w:rPr>
                <w:i w:val="1"/>
                <w:u w:val="single"/>
                <w:rtl w:val="0"/>
              </w:rPr>
              <w:t xml:space="preserve">vai līdz brīdim, kad tiem piešķir vai atsaka atļauju saskaņā ar 63. pantu, atkarībā no tā, kurš termiņš iestājas agrāk</w:t>
            </w:r>
            <w:r w:rsidR="00000000" w:rsidRPr="00000000" w:rsidDel="00000000">
              <w:rPr>
                <w:rtl w:val="0"/>
              </w:rPr>
              <w:t xml:space="preserve">". Attiecīgi lūdzam izvērtēt un precizēt normu vai sniegt pamatotu skaidrojumu par tās atbilstību minētajai regulas normai. Saistībā ar 72. punktu lūdzam arī izvērtēt un attiecīgi precizēt vai sniegt skaidrojumu par 73. punkta 1. teikumu, ņemot vērā tā saistību ar 72. punktu un tajā noteikto termiņu, līdz kuram pārtraucama kriptoaktīvu pakalpojumu sniegšana, ja nav saņemta attiecīga Latvijas Bankas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Novēršanas likuma pārejas noteikumu 72.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Kriptoaktīvu pakalpojumu sniedzējs, kurš ir uzsācis sniegt kriptoaktīvu pakalpojumus saskaņā ar šā likuma prasībām pirms 2024. gada 30. decembra un kuru atbilstoši šā likuma 45. panta otrās daļas 6. punkta "e" apakšpunktam uzrauga Valsts ieņēmumu dienests, var turpināt sniegt kriptoaktīvu pakalpojumus līdz 2025. gada 30. jūnijam vai līdz dienai, kad Latvijas Banka tam ir izsniegusi vai atteikusi izsniegt atļauju kriptoaktīvu pakalpojumu sniegšanai saskaņā ar Regulas Nr. 2023/1114 prasībām. Uz šādu kriptoaktīvu pakalpojumu sniedzēju nav attiecināmas šajā likumā noteiktās finanšu iestāžu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izstrādes laikā kriptoaktīvu pakalpojumu sniegšanu regulējošo normatīvo aktu Latvijā nav, šādu pakalpojumu sniedzējiem noteiktas prasības ir tikai attiecībā uz noziedzīgi iegūtu līdzekļu legalizācijas un terorisma un proliferācijas finansēšanas novēršanu - prasība iesniegt Valsts ieņēmumu dienestam ziņojumu par savas darbības veidu (Novēršanas likuma 45. panta trešā daļa) un prasība paziņot uzraudzības un kontroles institūcijai par Novēršanas likuma prasību izpildi atbildīgo darbinieku (Novēršanas likuma 10. panta pirmā daļa) - savukārt ar 2024. gada 30. decembri kriptoaktīvu pakalpojumu sniedzēji tiks klasificēti par finanšu iestādēm un uz tiem attieksies stingrākas Novēršanas likuma prasības. Tādēļ var uzskatīt, ka šī brīža regulējums ir mazāk stingrs nekā Regula Nr.2023/1114, kā rezultātā, lai mazinātu riskus, ka pakalpojuma sniedzējs sniedz pakalpojumus regulējumā, kas mazāk stingrs kā Regulā Nr.2023/1114 noteiktais, ar konkrēto likumprojekta normu tiek ierosināts Latvijā noteikt saīsinātu pārejas perioda ilgumu līdz 2025. gada 30. jūnijam, lai dotu kriptoaktīvu pakalpojumu sniedzējiem laiku saņemt darbības atļauju Latvijas Bankā.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 Valsts ieņēmumu dienests turpina kriptoaktīvu pakalpojuma sniedzēju uzraudzību atbilstoši šim likumam līdz dienai, kad Latvijas Banka ir tam izsniegusi atļauju kriptoaktīvu pakalpojumu sniegšanai saskaņā ar Regulas Nr. 2023/1114 prasībām, bet ne ilgāk kā līdz 2025. gada 30. jūnijam. Valsts ieņēmumu dienests no 2024. gada 30 .decembra nereģistrē jaunus kriptoaktīvu pakalpojumu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ietvertais likuma pārejas noteikumu 73. punkta pēdējais teikums paredz, ka Valsts ieņēmumu dienests no 2024. gada 30. decembra nereģistrē jaunus kriptoaktīvu pakalpojumu sniedzējus. Ņemot vērā to, ka projektā ir paredzēts, ka pieteikumus atļaujas izsniegšanai, sākot ar 2024. gada 1. jūliju, iesniedz Latvijas Bankā, bet Latvijas Banka lēmumus var pieņemt, tikai sākot ar 2024. gada 30. decembri, lūdzam anotācijā norādīt, vai laika periodā no 2024. gada 1. jūlija līdz 2024. gada 30. decembrim netiks izsniegtas atļaujas vai reģistrēti jauni kriptoaktīvu pakalpojumu sniedzēji, vai arī to reģistrāciju veiks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Novēršanas likuma Pārejas noteikumu 71. punkts </w:t>
            </w:r>
            <w:r w:rsidR="00000000" w:rsidRPr="00000000" w:rsidDel="00000000">
              <w:rPr>
                <w:i w:val="1"/>
                <w:rtl w:val="0"/>
              </w:rPr>
              <w:t xml:space="preserve">(skat. atbildi uz 3., 4.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 likuma spēkā stāšanās norāde, paredzot, ka likums stājas spēkā nākamajā dienā pēc tā izsludināšanas. Savukārt anotācijas 1.2. sadaļā norādīts, ka likums stājas spēkā vispārējā kārtībā. Attiecīgi lūdzam salāgot projektu un anotāciju, vai nu precizējot anotācijas 1.2. sadaļu, tostarp sniedzot attiecīgu pamatojumu, kādēļ paredzēts, ka likums stājas spēkā nākamajā dienā pēc tā izsludināšanas, vai arī atbilstoši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nākamajā dienā pēc tā izsludināšanas, jo tas virzāms steidzamības kārtībā saskaņā ar Ministru kabineta 2021. gada 7. septembra "Ministru kabineta kārtības rullis" Nr. 606 55.2.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sadaļā ietvertā skaidrojuma izriet, ka projekta 1. un, šķiet, arī 2. pantā, ir pārņemts Direktīvas 2015/849 3. panta 2. punkta "g" apakšpunkts, kas tajā pievienots ar Regulas Nr. 2023/1113 38. panta 2. punkta "a" apakšpunktu. Attiecīgi lūdzam papildināt anotācijas 5. sadaļu, tostarp 5.4. sadaļas 1. tabulu, norādot informāciju par minētās direktīvas prasības pārņemšanu projektā. Lūdzam arī izvērtēt un skaidrot, vai un kā projekta 1. pants (un attiecīgi arī 2. pants), kurā pārņemta iepriekš minētā Direktīvas 2015/849 prasība, atbilst Regulas Nr. 2023/1113 38. panta 2. punkta "c" apakšpunktam, kas paredz aizstāt Direktīvas 2015/849 3. panta 18. un 19. punktu ar terminu "kriptoaktīvs" un "kriptoaktīvu pakalpojumu sniedzējs" definīcijām. Papildus vēršam uzmanību, ka ar Regulu Nr. 2023/1113 veikti vēl vairāki grozījumi minētajā direktīvā saistībā ar kriptoaktīvu pakalpojumu sniedzējiem (sk., piemēram, regulas 38. panta 4. punktu), un attiecīgi lūdzam arī anotācijas 5.4. sadaļas 1. tabulā sniegt informāciju par to, kur un kā attiecīgās prasības ir vai tiks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normām, kas izriet no Regulas Nr. 2023/1113 38.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Skatīt. atbildi uz 2.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ailē par rīcības brīvības izmantošanu sniegt Regulas Nr. 2023/1114 143. panta 3. punkta otrajai daļai atbilstošu skaidrojumu par minētajā regulas normā paredzētās dalībvalsts rīcības brīvības pārejas posma režīma piemērošanā izmantošanu. Proti, Regulas Nr. 2023/1114 143. panta 3. punkta otrā daļa paredz: "</w:t>
            </w:r>
            <w:r w:rsidR="00000000" w:rsidRPr="00000000" w:rsidDel="00000000">
              <w:rPr>
                <w:i w:val="1"/>
                <w:rtl w:val="0"/>
              </w:rPr>
              <w:t xml:space="preserve">Dalībvalstis var nolemt nepiemērot pirmajā daļā paredzēto pārejas posma režīmu attiecībā uz kriptoaktīvu pakalpojumu sniedzējiem vai saīsināt tā ilgumu, j</w:t>
            </w:r>
            <w:r w:rsidR="00000000" w:rsidRPr="00000000" w:rsidDel="00000000">
              <w:rPr>
                <w:i w:val="1"/>
                <w:u w:val="single"/>
                <w:rtl w:val="0"/>
              </w:rPr>
              <w:t xml:space="preserve">a tās uzskata, ka to valsts tiesiskais regulējums, kas piemērojams pirms 2024. gada 30. decembra, ir mazāk stingrs nekā šī regula</w:t>
            </w:r>
            <w:r w:rsidR="00000000" w:rsidRPr="00000000" w:rsidDel="00000000">
              <w:rPr>
                <w:rtl w:val="0"/>
              </w:rPr>
              <w:t xml:space="preserve">." Attiecīgi lūdzam sniegt pamatojumu rīcības brīvības izmantošanai </w:t>
            </w:r>
            <w:r w:rsidR="00000000" w:rsidRPr="00000000" w:rsidDel="00000000">
              <w:rPr>
                <w:u w:val="single"/>
                <w:rtl w:val="0"/>
              </w:rPr>
              <w:t xml:space="preserve">atbilstoši regulā norādītajiem apsvērumiem</w:t>
            </w:r>
            <w:r w:rsidR="00000000" w:rsidRPr="00000000" w:rsidDel="00000000">
              <w:rPr>
                <w:rtl w:val="0"/>
              </w:rPr>
              <w:t xml:space="preserve">. Lūdzam arī skaidrot, kādēļ pārejas posma režīms noteikts (saīsināts) tieši šādi (proti, tas noteikts līdz 2025. gada 30. jūnijam). Lūdzam arī sniegt skaidrojumu, vai ir vai nav izmantota (un kādēļ), piemēram, Regulas Nr. 2023/1141 143. panta 6. punktā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izstrādes laikā kriptoaktīvu pakalpojumu sniegšanu regulējošo normatīvo aktu Latvijā nav, šādu pakalpojumu sniedzējiem noteiktas prasības ir tikai attiecībā uz noziedzīgi iegūtu līdzekļu legalizācijas un terorisma un proliferācijas finansēšanas novēršanu - prasība iesniegt Valsts ieņēmumu dienestam ziņojumu par savas darbības veidu (Novēršanas likuma 45. panta trešā daļa) un prasība paziņot uzraudzības un kontroles institūcijai par Novēršanas likuma prasību izpildi atbildīgo darbinieku (Novēršanas likuma 10. panta pirmā daļa) - savukārt ar 2024. gada 30. decembri kriptoaktīvu pakalpojumu sniedzēji tiks klasificēti par finanšu iestādēm un uz tiem attieksies stingrākas Novēršanas likuma prasības. Tādēļ var uzskatīt, ka šī brīža regulējums ir mazāk stingrs nekā Regula Nr.2023/1114, kā rezultātā, lai mazinātu riskus, ka pakalpojuma sniedzējs sniedz pakalpojumus regulējumā, kas mazāk stingrs kā Regulā Nr.2023/1114 noteiktais, ar konkrēto likumprojekta normu tiek ierosināts Latvijā noteikt saīsinātu pārejas perioda ilgumu līdz 2025. gada 30. jūnijam, lai dotu kriptoaktīvu pakalpojumu sniedzējiem laiku saņemt darbības atļauju Latvijas Bankā. Līdz ar to likumprojektā  noteikts, ka kriptoaktīvu pakalpojumu sniedzējs, kuru atbilstoši Novēršanas likuma 45. panta otrās daļas 6. punkta "e" apakšpunktam uzrauga VID un kurš ir uzsācis sniegt kriptoaktīvu pakalpojumus saskaņā ar Novēršanas likuma prasībām pirms 2024. gada 30. decembra, var turpināt sniegt kriptoaktīvu pakalpojumus līdz 2025. gada 30. jūnijam vai līdz dienai, kad Latvijas Banka tam ir izsniegusi vai atteikusi izsniegt atļauju kriptoaktīvu pakalpojumu sniegšanai saskaņā ar Regulas Nr. 2023/1114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5.4.1.sadaļas aile par dalībvalsts rīcības brīvības izmantošanu Regulas Nr. 2023/1114 143. panta 3. punkta otrās daļas un 143. panta 6. punktā norādītajā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18. panta 3.</w:t>
            </w:r>
            <w:r w:rsidR="00000000" w:rsidRPr="00000000" w:rsidDel="00000000">
              <w:rPr>
                <w:vertAlign w:val="superscript"/>
                <w:rtl w:val="0"/>
              </w:rPr>
              <w:t xml:space="preserve">1</w:t>
            </w:r>
            <w:r w:rsidR="00000000" w:rsidRPr="00000000" w:rsidDel="00000000">
              <w:rPr>
                <w:rtl w:val="0"/>
              </w:rPr>
              <w:t xml:space="preserve"> daļā noteikts pienākums uzraudzības un kontroles institūcijām sniegt noteikta veida informāciju Latvijas Republikas Uzņēmumu reģistram, kas tam nepieciešama paziņojumu sistēmas darbības nodrošināšanai un informācijas nodošanai Datu izplatīšanas un pārvaldības platformā. Vienlaikus pašam Latvijas Republikas Uzņēmumu reģistram nav skaidri noteiktas tiesības šādus datus nodot. Interpretācijas ceļā jau ir izsecināms, ka Latvijas Republikas Uzņēmumu reģistrs datus nodod. Taču, ņemot vērā, ka datu nodošana paredz fizisko personu datu apstrādi, tad nepārprotami skaidra datu apstrādes pamatojuma nolūkos nepieciešams minēto normu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pārskatīt Novēršanas likuma pārejas noteikumu 65. 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 panta 3.</w:t>
            </w:r>
            <w:r w:rsidR="00000000" w:rsidRPr="00000000" w:rsidDel="00000000">
              <w:rPr>
                <w:vertAlign w:val="superscript"/>
                <w:rtl w:val="0"/>
              </w:rPr>
              <w:t xml:space="preserve">1</w:t>
            </w:r>
            <w:r w:rsidR="00000000" w:rsidRPr="00000000" w:rsidDel="00000000">
              <w:rPr>
                <w:rtl w:val="0"/>
              </w:rPr>
              <w:t xml:space="preserve"> daļu šādā redakcijā: "Likuma subjekti, kā arī kontroles un uzraudzības institūcijas, konstatējot, ka klienta izpētes gaitā noskaidrotā informācija par patieso labuma guvēju neatbilst Latvijas Republikas Uzņēmumu reģistra vestajos reģistros reģistrētajai informācijai, nekavējoties, bet ne vēlāk kā triju darbdienu laikā paziņo par to Latvijas Republikas Uzņēmumu reģistram, paskaidrojot konstatētās neatbilstības būtību, kā arī norādot, ka informācija, iespējams, ir nepatiesa pēc būtības vai ka informācijā konstatēta pārrakstīšanās kļūda. Uzraudzības un kontroles institūcijas sniedz Latvijas Republikas Uzņēmumu reģistram uzraudzības un kontroles institūcijas reģistrēto likuma subjektu un to darbinieku, kuri deleģēti paziņot par neatbilstošu informāciju un pieprasīt un saņemt šā likuma 5.1 panta otrajā daļā minēto informāciju, identificējošos datus, kontaktinformāciju un citu informāciju, kas Latvijas Republikas Uzņēmumu reģistram nepieciešama paziņojumu sistēmas darbības nodrošināšanai un informācijas nodošanai Datu izplatīšanas un pārvaldības platformā. Latvijas Republikas Uzņēmumu reģistrs nepieciešamo informāciju nodod Datu izplatīšanas un pārvaldības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ņemams vērā, taču šobrīd Valsts reģionālās attīstības aģentūra īsteno projekta plānu par Datu izplatīšanas un pārvaldības platformas (turpmāk - DAGR) pieslēgšanu Latvijas Republikas informācijas sistēmām un katras informācijas sistēmas pieslēgums tiks veikts pakāpeniski. Ņemot vērā, ka Novēršanas likuma subjekti iegūst noteikta apjoma informāciju sava klienta izpētei no Latvijas Republikas informācijas sistēmām, tad saskaņā ar Ministru kabineta 2022. gada 13. decembra rīkojumu Nr. 940 “Pasākumu plāns noziedzīgi iegūtu līdzekļu legalizācijas, terorisma un proliferācijas finansēšanas novēršanai 2023. - 2025. gadam” 4.4. punktu plānots uzlabot informācijas pieejamību klienta izpētes veikšanai, nodrošinot, ka Novēršanas likumā noteiktais informācijas apjoms klienta izpētei no valsts reģistriem ir pieejama vienuviet un atbilstoši vienotiem standartiem DAGR., Novēršanas likuma subjektiem šī informācija būs pieejama vienuviet un atbilstoši vienotiem standartiem DAGR. Minētais uzdevums tiek īstenots Eiropas Savienības Atveseļošanas un noturības mehānisma plāna investīcijas 2.1.3.1.i. “Datu pieejamība, koplietošana un analītika” projekta Nr. 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ietvaros un minētā projekta īstenotājs (DAGR pārzinis) ir Valsts reģionālās attīstības aģentūra. Saskaņā ar minētā projekta nosacījumiem, minētā uzdevuma izpildes termiņš ir 2026. gada 1.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minētais DAGR risinājums paredz alternatīvu priekšlikumā ietvertās problēmas risinājumu, neveicot priekšlikumā ierosināto Novēršanas likuma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7. punktu ar "n"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23.11.2023. grozījumiem Novēršanas likumā veiktas izmaiņas cita starp tā 1.pantā, turpmāk izveidojot pantam vairākas daļas, vienlaikus nesalāgojot citas normas. Līdz ar to Novēršanas likumā ir vairākas vietas, kurās ir nekorekta atsauce. Līdz ar to aicinām papildināt projektu ar regulējumu, kas novērš šo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likuma 18. panta septītajā daļā, 18.</w:t>
            </w:r>
            <w:r w:rsidR="00000000" w:rsidRPr="00000000" w:rsidDel="00000000">
              <w:rPr>
                <w:vertAlign w:val="superscript"/>
                <w:rtl w:val="0"/>
              </w:rPr>
              <w:t xml:space="preserve">1</w:t>
            </w:r>
            <w:r w:rsidR="00000000" w:rsidRPr="00000000" w:rsidDel="00000000">
              <w:rPr>
                <w:rtl w:val="0"/>
              </w:rPr>
              <w:t xml:space="preserve"> panta otrajā daļā, 18.</w:t>
            </w:r>
            <w:r w:rsidR="00000000" w:rsidRPr="00000000" w:rsidDel="00000000">
              <w:rPr>
                <w:vertAlign w:val="superscript"/>
                <w:rtl w:val="0"/>
              </w:rPr>
              <w:t xml:space="preserve">2</w:t>
            </w:r>
            <w:r w:rsidR="00000000" w:rsidRPr="00000000" w:rsidDel="00000000">
              <w:rPr>
                <w:rtl w:val="0"/>
              </w:rPr>
              <w:t xml:space="preserve"> panta otrajā daļā un 18.</w:t>
            </w:r>
            <w:r w:rsidR="00000000" w:rsidRPr="00000000" w:rsidDel="00000000">
              <w:rPr>
                <w:vertAlign w:val="superscript"/>
                <w:rtl w:val="0"/>
              </w:rPr>
              <w:t xml:space="preserve">5</w:t>
            </w:r>
            <w:r w:rsidR="00000000" w:rsidRPr="00000000" w:rsidDel="00000000">
              <w:rPr>
                <w:rtl w:val="0"/>
              </w:rPr>
              <w:t xml:space="preserve"> panta piektajā daļā vārdus "šā likuma 1. panta 5. punkta" ar vārdiem "šā likuma 1. panta pirmās daļas 5.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nepieciešamiem grozījumiem Novēršanas likuma 18. panta septītajā daļā, 18.</w:t>
            </w:r>
            <w:r w:rsidR="00000000" w:rsidRPr="00000000" w:rsidDel="00000000">
              <w:rPr>
                <w:vertAlign w:val="superscript"/>
                <w:rtl w:val="0"/>
              </w:rPr>
              <w:t xml:space="preserve">1</w:t>
            </w:r>
            <w:r w:rsidR="00000000" w:rsidRPr="00000000" w:rsidDel="00000000">
              <w:rPr>
                <w:rtl w:val="0"/>
              </w:rPr>
              <w:t xml:space="preserve"> panta otrajā daļā, 18.</w:t>
            </w:r>
            <w:r w:rsidR="00000000" w:rsidRPr="00000000" w:rsidDel="00000000">
              <w:rPr>
                <w:vertAlign w:val="superscript"/>
                <w:rtl w:val="0"/>
              </w:rPr>
              <w:t xml:space="preserve">2</w:t>
            </w:r>
            <w:r w:rsidR="00000000" w:rsidRPr="00000000" w:rsidDel="00000000">
              <w:rPr>
                <w:rtl w:val="0"/>
              </w:rPr>
              <w:t xml:space="preserve"> panta otrajā daļā un 18.</w:t>
            </w:r>
            <w:r w:rsidR="00000000" w:rsidRPr="00000000" w:rsidDel="00000000">
              <w:rPr>
                <w:vertAlign w:val="superscript"/>
                <w:rtl w:val="0"/>
              </w:rPr>
              <w:t xml:space="preserve">5</w:t>
            </w:r>
            <w:r w:rsidR="00000000" w:rsidRPr="00000000" w:rsidDel="00000000">
              <w:rPr>
                <w:rtl w:val="0"/>
              </w:rPr>
              <w:t xml:space="preserve"> panta piektajā daļā, papildinot iepriekš uzskaitītajās normās pēc skaitļa un vārda "1. panta" ar vārdiem "pirmās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ar "n"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ar "n"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apakšpunkts atkārtojas divas reizes, ierosinām lieko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ierosināto priekšlikumu, no likumprojekta 1. panta izslēgti vārdi "n)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ar "n"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atkārtoti tiek lietots "n) kriptoaktīvu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ierosināto priekšlikumu, no likumprojekta 1. panta izslēgti vārdi "n)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kriptoaktīvu pakalpojumu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Veicams tehnisks precizējums un šie vārdi no projekta ir svītrojami, jo tie atkārtojas.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ierosināto priekšlikumu, no likumprojekta 1. panta izslēgti vārdi "n)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 kriptoaktīvu pakalpojumu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paredzēti izmantot noziegumu, kas saistīti ar terorismu, izdarīšanai.";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kurus paredzēts izmantot noziegumu, kas saistīti ar terorismu, izdarīšanai.";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Novēršanas likuma 4. panta 3.</w:t>
            </w:r>
            <w:r w:rsidR="00000000" w:rsidRPr="00000000" w:rsidDel="00000000">
              <w:rPr>
                <w:vertAlign w:val="superscript"/>
                <w:rtl w:val="0"/>
              </w:rPr>
              <w:t xml:space="preserve">1</w:t>
            </w:r>
            <w:r w:rsidR="00000000" w:rsidRPr="00000000" w:rsidDel="00000000">
              <w:rPr>
                <w:rtl w:val="0"/>
              </w:rPr>
              <w:t xml:space="preserve"> 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kurus paredzēts izmantot noziegumu, kas saistīti ar terorismu, izdarīšanai.";".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kurus paredzēts izmantot noziegumu, kas saistīti ar terorismu, izdarīšanai.";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papildināt 7. panta pirmo daļu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ievērojot kredītiestādes vai finanšu iestādes risku profilu, tiek pārbaudīta to darbinieku, kuri ir tieši iesaistīti noziedzīgi iegūtu līdzekļu legalizācijas un terorisma un proliferācijas finansēšanas risku pārvaldībā, piemērotība (atbilstība) veicamajiem darba pienākumiem vai 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FATF 18. rekomendācijas paskaidrojošajai piezīmei ir uzsvērts, ka iekšējā kontroles sistēmā ir jāparedz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 the development of internal policies, procedures and controls, including appropriate compliance management arrangements, and adequate screening procedures to ensure high standards when hiring employees;</w:t>
            </w:r>
            <w:r w:rsidR="00000000" w:rsidRPr="00000000" w:rsidDel="00000000">
              <w:rPr>
                <w:i w:val="1"/>
                <w:rtl w:val="0"/>
              </w:rPr>
              <w:t xml:space="preserve">(b) an ongoing employee training programme; and</w:t>
            </w:r>
            <w:r w:rsidR="00000000" w:rsidRPr="00000000" w:rsidDel="00000000">
              <w:rPr>
                <w:i w:val="1"/>
                <w:rtl w:val="0"/>
              </w:rPr>
              <w:t xml:space="preserve">(c) an independent audit function to test the system.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aicina izvērtēt vai 7. panta pirmā daļa nav jāpapildina arī ar FATF 18. rekomendācijas skaidrojošās piezīmes “b” apakšpunktu attiecībā uz darbinieku apmācībām. Attiecīgi ir nepieciešams papildināt arī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FATF 18. rekomendācijas skaidrojošās piezīmes "b" apakšpunktu finanšu iestāžu programmās pret noziedzīgi iegūtu līdzekļu legalizēšanu un teroristu finansēšanu ir jāietver darbinieku regulārā apmācības programma </w:t>
            </w:r>
            <w:r w:rsidR="00000000" w:rsidRPr="00000000" w:rsidDel="00000000">
              <w:rPr>
                <w:i w:val="1"/>
                <w:rtl w:val="0"/>
              </w:rPr>
              <w:t xml:space="preserve">(angļu valodā - (b) an ongoing employee training programme).</w:t>
            </w:r>
            <w:r w:rsidR="00000000" w:rsidRPr="00000000" w:rsidDel="00000000">
              <w:rPr>
                <w:rtl w:val="0"/>
              </w:rPr>
              <w:t xml:space="preserve"> Minētais nosacījums ir noregulēts Novēršanas likuma 9. pantā, proti, Novēršanas likuma subjekts nodrošina darbinieku regulāru apmācību, lai tādējādi pilnveidotu viņu prasmi konstatēt aizdomīgus darījumus un to pazīmes un izpildīt iekšējās kontroles sistēmā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panta pirmajā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risku profilu, tiek pārbaudīta to darbinieku, kuri ir tieši iesaistīti noziedzīgi iegūtu līdzekļu legalizācijas un terorisma un proliferācijas finansēšanas risku pārvaldībā, piemērotība (atbilstība) veicamajiem darba pienākumiem vai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"risku" aizstāt ar vārdu "riska".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līdzīgu precizējumu arī Noziedzīgi iegūtu līdzekļu legalizācijas un terorisma un proliferācijas finansēšanas novēršanas likuma 11.</w:t>
            </w:r>
            <w:r w:rsidR="00000000" w:rsidRPr="00000000" w:rsidDel="00000000">
              <w:rPr>
                <w:vertAlign w:val="superscript"/>
                <w:rtl w:val="0"/>
              </w:rPr>
              <w:t xml:space="preserve">1 </w:t>
            </w:r>
            <w:r w:rsidR="00000000" w:rsidRPr="00000000" w:rsidDel="00000000">
              <w:rPr>
                <w:rtl w:val="0"/>
              </w:rPr>
              <w:t xml:space="preserve">panta pirmās daļas 4. punktā - vārdu “risku” aizstāt ar vārdu “riska”.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riska profilu, tiek pārbaudīta to darbinieku, kuri ir tieši iesaistīti noziedzīgi iegūtu līdzekļu legalizācijas un terorisma un proliferācijas finansēšanas risku pārvaldībā, piemērotība (atbilstība) veicamajiem darba pienākumiem vai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Noziedzīgi iegūtu līdzekļu legalizācijas un terorisma un proliferācijas finansēšanas novēršanas likuma 7. panta pirmās daļas 8.</w:t>
            </w:r>
            <w:r w:rsidR="00000000" w:rsidRPr="00000000" w:rsidDel="00000000">
              <w:rPr>
                <w:vertAlign w:val="superscript"/>
                <w:rtl w:val="0"/>
              </w:rPr>
              <w:t xml:space="preserve">1</w:t>
            </w:r>
            <w:r w:rsidR="00000000" w:rsidRPr="00000000" w:rsidDel="00000000">
              <w:rPr>
                <w:rtl w:val="0"/>
              </w:rPr>
              <w:t xml:space="preserve"> punkts, aizstājot tajā vārds "risku" ar vārdu "riska".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riska profilu, tiek pārbaudīta to darbinieku, kuri ir tieši iesaistīti noziedzīgi iegūtu līdzekļu legalizācijas un terorisma un proliferācijas finansēšanas risku pārvaldībā, piemērotība (atbilstība) veicamajiem darba pienākumiem vai amatam;";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Kriptoaktīvu pakalpojumu sniedzējs, kuru atbilstoši šā likuma 45. panta otrās daļas 6. punkta "e" apakšpunktam uzrauga Valsts ieņēmumu dienests, no 2024. gada 1. jūlija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 Lēmumu par atļaujas piešķiršanu kriptoaktīvu pakalpojumu sniegšanai Latvijas Banka pieņem ne ātrāk kā 2024. gada 30.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vieglākas normas piemērošanas nolūkā projekta 5. pantā ietvertajā likuma pārejas noteikumu 71. punktā ietvert atsauci uz konkrētu Regulas Nr. 2023/1114 vienību, saskaņā ar kuru kriptoaktīvu pakalpojumu sniedzējs iesniedz pieteikumu. Līdzīgi aicinām izvērtēt iespēju precizēt arī pārejas noteikumu 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saskaņā ar Regulas Nr. 2023/1114 63. pantu piešķir vai atsaka piešķirt atļauju kriptoaktīvu pakalpojumu sniegšanai. Līdz ar to šajā gadījumā nebūtu nepieciešams Novēršanas likuma pārejas noteikumu 71. un 72. punktā iekļaut atsauci uz Regulas Nr. 2023/1114 63. pantu, jo Regulā Nr. 2023/1114 nav cita tiesiskā pamata atļauju izsniegšanai kriptoaktīvu pakalpojumu sniedzējiem, savukārt šī likumprojekta norma kā pārejas noteikums regulē noteiktas sekas noteiktā gadījumā, nevis skaidro tiesību normas, kas saturiski regulē atļaujas izsniegšanu kriptoaktīvu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69. punktā vārdus "un "kriptoaktīvu pārvedums"" ar vārdiem ""kriptoaktīvu pārvedums" un "pašuzturēta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69. pārejas noteikumu punktā ir nepareizi lietots simbols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pārejas noteikumu 69. punktā ir precizēts simbols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69. punktā vārdus "un "kriptoaktīvu pārvedums"" ar vārdiem ""kriptoaktīvu pārvedums" un "pašuzturēta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"70. Šā likuma 1. panta pirmās daļas 7. punkta “n” apakšpunkts, 7. panta pirmās daļas 8.</w:t>
            </w:r>
            <w:r w:rsidR="00000000" w:rsidRPr="00000000" w:rsidDel="00000000">
              <w:rPr>
                <w:vertAlign w:val="superscript"/>
                <w:rtl w:val="0"/>
              </w:rPr>
              <w:t xml:space="preserve">1</w:t>
            </w:r>
            <w:r w:rsidR="00000000" w:rsidRPr="00000000" w:rsidDel="00000000">
              <w:rPr>
                <w:rtl w:val="0"/>
              </w:rPr>
              <w:t xml:space="preserve"> punkts, 22. panta otrās daļas 4.</w:t>
            </w:r>
            <w:r w:rsidR="00000000" w:rsidRPr="00000000" w:rsidDel="00000000">
              <w:rPr>
                <w:vertAlign w:val="superscript"/>
                <w:rtl w:val="0"/>
              </w:rPr>
              <w:t xml:space="preserve">1</w:t>
            </w:r>
            <w:r w:rsidR="00000000" w:rsidRPr="00000000" w:rsidDel="00000000">
              <w:rPr>
                <w:rtl w:val="0"/>
              </w:rPr>
              <w:t xml:space="preserve"> punkts, 25.</w:t>
            </w:r>
            <w:r w:rsidR="00000000" w:rsidRPr="00000000" w:rsidDel="00000000">
              <w:rPr>
                <w:vertAlign w:val="superscript"/>
                <w:rtl w:val="0"/>
              </w:rPr>
              <w:t xml:space="preserve">2</w:t>
            </w:r>
            <w:r w:rsidR="00000000" w:rsidRPr="00000000" w:rsidDel="00000000">
              <w:rPr>
                <w:rtl w:val="0"/>
              </w:rPr>
              <w:t xml:space="preserve"> pants, kā arī grozījumi par 3. panta pirmās daļas 11. punkta izslēgšanu, 7. panta pirmās daļas 10. punkta papildināšanu pēc vārdiem "naudas iestādes" ar vārdiem "ieguldījumu brokeru sabiedrības un kriptoaktīvu pakalpojumu sniedzēji, izņemot gadījumus, kad ir pieņemts uzraudzības un kontroles institūcijas lēmums par audita funkcijas nepiemērošanu, un", 18. panta septītās daļas, 18.</w:t>
            </w:r>
            <w:r w:rsidR="00000000" w:rsidRPr="00000000" w:rsidDel="00000000">
              <w:rPr>
                <w:vertAlign w:val="superscript"/>
                <w:rtl w:val="0"/>
              </w:rPr>
              <w:t xml:space="preserve">1</w:t>
            </w:r>
            <w:r w:rsidR="00000000" w:rsidRPr="00000000" w:rsidDel="00000000">
              <w:rPr>
                <w:rtl w:val="0"/>
              </w:rPr>
              <w:t xml:space="preserve"> panta otrās daļas, 18.</w:t>
            </w:r>
            <w:r w:rsidR="00000000" w:rsidRPr="00000000" w:rsidDel="00000000">
              <w:rPr>
                <w:vertAlign w:val="superscript"/>
                <w:rtl w:val="0"/>
              </w:rPr>
              <w:t xml:space="preserve">2</w:t>
            </w:r>
            <w:r w:rsidR="00000000" w:rsidRPr="00000000" w:rsidDel="00000000">
              <w:rPr>
                <w:rtl w:val="0"/>
              </w:rPr>
              <w:t xml:space="preserve"> panta otrās daļas un 18.</w:t>
            </w:r>
            <w:r w:rsidR="00000000" w:rsidRPr="00000000" w:rsidDel="00000000">
              <w:rPr>
                <w:vertAlign w:val="superscript"/>
                <w:rtl w:val="0"/>
              </w:rPr>
              <w:t xml:space="preserve">5</w:t>
            </w:r>
            <w:r w:rsidR="00000000" w:rsidRPr="00000000" w:rsidDel="00000000">
              <w:rPr>
                <w:rtl w:val="0"/>
              </w:rPr>
              <w:t xml:space="preserve"> panta piektās daļas papildināšanu pēc skaitļa un vārda "1. panta" ar vārdiem "pirmās daļas", 24. panta pirmās daļas izteikšanu jaunā redakcijā un 45. panta pirmās daļas 1. punkta papildināšanu pēc vārdiem "maksājumu iestādes" ar vārdiem "kriptoaktīvu pakalpojumu sniedzējus" stājas spēkā 2024. gada 30. decembrī.</w:t>
            </w:r>
            <w:r w:rsidR="00000000" w:rsidRPr="00000000" w:rsidDel="00000000">
              <w:rPr>
                <w:rtl w:val="0"/>
              </w:rPr>
              <w:t xml:space="preserve">71. Kriptoaktīvu pakalpojumu sniedzējs, kuru atbilstoši šā likuma 45. panta otrās daļas 6. punkta "e" apakšpunktam uzrauga Valsts ieņēmumu dienests, no 2024. gada 30. decembra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w:t>
            </w:r>
            <w:r w:rsidR="00000000" w:rsidRPr="00000000" w:rsidDel="00000000">
              <w:rPr>
                <w:rtl w:val="0"/>
              </w:rPr>
              <w:t xml:space="preserve">72. Kriptoaktīvu pakalpojumu sniedzējs, kurš ir uzsācis sniegt kriptoaktīvu pakalpojumus saskaņā ar šā likuma prasībām pirms 2024. gada 30. decembra un kuru atbilstoši šā likuma 45. panta otrās daļas 6. punkta "e" apakšpunktam uzrauga Valsts ieņēmumu dienests, var turpināt sniegt kriptoaktīvu pakalpojumus līdz 2025. gada 30. jūnijam vai līdz dienai, kad Latvijas Banka tam ir izsniegusi vai atteikusi izsniegt atļauju kriptoaktīvu pakalpojumu sniegšanai saskaņā ar Regulas Nr. 2023/1114 prasībām. Uz šādu kriptoaktīvu pakalpojumu sniedzēju nav attiecināmas šajā likumā noteiktās finanšu iestāžu tiesības un pienākumi.</w:t>
            </w:r>
            <w:r w:rsidR="00000000" w:rsidRPr="00000000" w:rsidDel="00000000">
              <w:rPr>
                <w:rtl w:val="0"/>
              </w:rPr>
              <w:t xml:space="preserve">73. Valsts ieņēmumu dienests turpina kriptoaktīvu pakalpojuma sniedzēju, kurš ir uzsācis sniegt kriptoaktīvu pakalpojumus saskaņā ar šā likuma prasībām pirms 2024. gada 30. decembra, uzraudzību atbilstoši šim likumam līdz dienai, kad Latvijas Banka ir tam izsniegusi vai atteikusi izsniegt atļauju kriptoaktīvu pakalpojumu sniegšanai saskaņā ar Regulas Nr. 2023/1114 prasībām, bet ne ilgāk kā līdz 2025. gada 30. jūnijam. Valsts ieņēmumu dienests no 2024. gada 30 .decembra nereģistrē jaunus kriptoaktīvu pakalpojumu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vai precizēt projekta 10. pantā ietverto Noziedzīgi iegūtu līdzekļu legalizācijas un terorisma un proliferācijas finansēšanas novēršanas likuma (turpmāk - likums) pārejas noteikumu 72. punkta pirmo teikumu, ņemot vērā to, ka tas dublē saistītā likumprojekta "Kriptoaktīvu pakalpojumu likums" pārejas noteikumu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pantā iekļautais papildinājums ar Novēršanas likuma pārejas noteikumu 72. punktu (pirmais teikums) ir saglabājams, jo kriptoaktīvu pakalpojumu sniedzējam, kurš savu darbību ir uzsācis pirms 2024. gada 30. decembra un kuru atbilstoši Novēršanas likuma 45. panta otrās daļas 6. punkta "e" apakšpunktam uzrauga Valsts ieņēmumu dienests, ir jānosaka pārejas periods atbilstoši Regulas Nr. 2023/1114 143. panta 3. punktā noteiktajam, proti, cik ilgi šāds kriptoaktīvu pakalpojumu sniedzējs varēs turpināt savu līdzšinējo darbību bez kompetentās uzraudzības iestādes (Latvijas Banka) izsniegtas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"70. Šā likuma 1. panta pirmās daļas 7. punkta “n” apakšpunkts, 7. panta pirmās daļas 8.</w:t>
            </w:r>
            <w:r w:rsidR="00000000" w:rsidRPr="00000000" w:rsidDel="00000000">
              <w:rPr>
                <w:vertAlign w:val="superscript"/>
                <w:rtl w:val="0"/>
              </w:rPr>
              <w:t xml:space="preserve">1</w:t>
            </w:r>
            <w:r w:rsidR="00000000" w:rsidRPr="00000000" w:rsidDel="00000000">
              <w:rPr>
                <w:rtl w:val="0"/>
              </w:rPr>
              <w:t xml:space="preserve"> punkts, 22. panta otrās daļas 4.</w:t>
            </w:r>
            <w:r w:rsidR="00000000" w:rsidRPr="00000000" w:rsidDel="00000000">
              <w:rPr>
                <w:vertAlign w:val="superscript"/>
                <w:rtl w:val="0"/>
              </w:rPr>
              <w:t xml:space="preserve">1</w:t>
            </w:r>
            <w:r w:rsidR="00000000" w:rsidRPr="00000000" w:rsidDel="00000000">
              <w:rPr>
                <w:rtl w:val="0"/>
              </w:rPr>
              <w:t xml:space="preserve"> punkts, 25.</w:t>
            </w:r>
            <w:r w:rsidR="00000000" w:rsidRPr="00000000" w:rsidDel="00000000">
              <w:rPr>
                <w:vertAlign w:val="superscript"/>
                <w:rtl w:val="0"/>
              </w:rPr>
              <w:t xml:space="preserve">2</w:t>
            </w:r>
            <w:r w:rsidR="00000000" w:rsidRPr="00000000" w:rsidDel="00000000">
              <w:rPr>
                <w:rtl w:val="0"/>
              </w:rPr>
              <w:t xml:space="preserve"> pants, kā arī grozījumi par 3. panta pirmās daļas 11. punkta izslēgšanu, 7. panta pirmās daļas 10. punkta papildināšanu pēc vārdiem "naudas iestādes" ar vārdiem "ieguldījumu brokeru sabiedrības un kriptoaktīvu pakalpojumu sniedzēji, izņemot gadījumus, kad ir pieņemts uzraudzības un kontroles institūcijas lēmums par audita funkcijas nepiemērošanu, un", 18. panta septītās daļas, 18.</w:t>
            </w:r>
            <w:r w:rsidR="00000000" w:rsidRPr="00000000" w:rsidDel="00000000">
              <w:rPr>
                <w:vertAlign w:val="superscript"/>
                <w:rtl w:val="0"/>
              </w:rPr>
              <w:t xml:space="preserve">1</w:t>
            </w:r>
            <w:r w:rsidR="00000000" w:rsidRPr="00000000" w:rsidDel="00000000">
              <w:rPr>
                <w:rtl w:val="0"/>
              </w:rPr>
              <w:t xml:space="preserve"> panta otrās daļas, 18.</w:t>
            </w:r>
            <w:r w:rsidR="00000000" w:rsidRPr="00000000" w:rsidDel="00000000">
              <w:rPr>
                <w:vertAlign w:val="superscript"/>
                <w:rtl w:val="0"/>
              </w:rPr>
              <w:t xml:space="preserve">2</w:t>
            </w:r>
            <w:r w:rsidR="00000000" w:rsidRPr="00000000" w:rsidDel="00000000">
              <w:rPr>
                <w:rtl w:val="0"/>
              </w:rPr>
              <w:t xml:space="preserve"> panta otrās daļas un 18.</w:t>
            </w:r>
            <w:r w:rsidR="00000000" w:rsidRPr="00000000" w:rsidDel="00000000">
              <w:rPr>
                <w:vertAlign w:val="superscript"/>
                <w:rtl w:val="0"/>
              </w:rPr>
              <w:t xml:space="preserve">5</w:t>
            </w:r>
            <w:r w:rsidR="00000000" w:rsidRPr="00000000" w:rsidDel="00000000">
              <w:rPr>
                <w:rtl w:val="0"/>
              </w:rPr>
              <w:t xml:space="preserve"> panta piektās daļas papildināšanu pēc skaitļa un vārda "1. panta" ar vārdiem "pirmās daļas", 24. panta pirmās daļas izteikšanu jaunā redakcijā un 45. panta pirmās daļas 1. punkta papildināšanu pēc vārdiem "maksājumu iestādes" ar vārdiem "kriptoaktīvu pakalpojumu sniedzējus" stājas spēkā 2024. gada 30. decembrī.</w:t>
            </w:r>
            <w:r w:rsidR="00000000" w:rsidRPr="00000000" w:rsidDel="00000000">
              <w:rPr>
                <w:rtl w:val="0"/>
              </w:rPr>
              <w:t xml:space="preserve">71. Kriptoaktīvu pakalpojumu sniedzējs, kuru atbilstoši šā likuma 45. panta otrās daļas 6. punkta "e" apakšpunktam uzrauga Valsts ieņēmumu dienests, no 2024. gada 30. decembra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w:t>
            </w:r>
            <w:r w:rsidR="00000000" w:rsidRPr="00000000" w:rsidDel="00000000">
              <w:rPr>
                <w:rtl w:val="0"/>
              </w:rPr>
              <w:t xml:space="preserve">72. Kriptoaktīvu pakalpojumu sniedzējs, kurš ir uzsācis sniegt kriptoaktīvu pakalpojumus saskaņā ar šā likuma prasībām pirms 2024. gada 30. decembra un kuru atbilstoši šā likuma 45. panta otrās daļas 6. punkta "e" apakšpunktam uzrauga Valsts ieņēmumu dienests, var turpināt sniegt kriptoaktīvu pakalpojumus līdz 2025. gada 30. jūnijam vai līdz dienai, kad Latvijas Banka tam ir izsniegusi vai atteikusi izsniegt atļauju kriptoaktīvu pakalpojumu sniegšanai saskaņā ar Regulas Nr. 2023/1114 prasībām. Uz šādu kriptoaktīvu pakalpojumu sniedzēju nav attiecināmas šajā likumā noteiktās finanšu iestādes tiesības un pienākumi.</w:t>
            </w:r>
            <w:r w:rsidR="00000000" w:rsidRPr="00000000" w:rsidDel="00000000">
              <w:rPr>
                <w:rtl w:val="0"/>
              </w:rPr>
              <w:t xml:space="preserve">73. Valsts ieņēmumu dienests turpina kriptoaktīvu pakalpojuma sniedzēju, kurš ir uzsācis sniegt kriptoaktīvu pakalpojumus saskaņā ar šā likuma prasībām pirms 2024. gada 30. decembra, uzraudzību atbilstoši šim likumam līdz dienai, kad Latvijas Banka ir tam izsniegusi vai atteikusi izsniegt atļauju kriptoaktīvu pakalpojumu sniegšanai saskaņā ar Regulas Nr. 2023/1114 prasībām, bet ne ilgāk kā līdz 2025. gada 30. jūnijam. Valsts ieņēmumu dienests no 2024. gada 30 .decembra nereģistrē jaunus kriptoaktīvu pakalpojumu sniedzējus."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visu atsauču lietojumu uz Noziedzīgi iegūtu līdzekļu legalizācijas un terorisma un proliferācijas finansēšanas novēršanas likuma pantiem, jo īpaši pantiem, kuros tiek lietots indekss “prim”.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Precizējām visā likumprojekta anotācijas tekstā lietojuma indeksu "prim".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izziņā (sk. 2. punktu) un anotācijas 1.3. sadaļā un 5.4. sadaļas 1. tabulā norādītās informācijas izriet, ka likumprojekta 7. pantā ietvertā likuma 24. panta pirmās daļas izteikšana jaunā redakcijā paredzēta, lai pārņemtu</w:t>
            </w:r>
            <w:r w:rsidR="00000000" w:rsidRPr="00000000" w:rsidDel="00000000">
              <w:rPr>
                <w:i w:val="1"/>
                <w:rtl w:val="0"/>
              </w:rPr>
              <w:t xml:space="preserve"> Eiropas Parlamenta un Padomes 2023.gada 31.maija Regulas (ES) 2023/1113 par līdzekļu un konkrētu kriptoaktīvu pārvedumiem pievienoto informāciju un ar ko groza Direktīvu (ES) 2015/849</w:t>
            </w:r>
            <w:r w:rsidR="00000000" w:rsidRPr="00000000" w:rsidDel="00000000">
              <w:rPr>
                <w:rtl w:val="0"/>
              </w:rPr>
              <w:t xml:space="preserve"> 38. panta 4. punktā ietverto </w:t>
            </w:r>
            <w:r w:rsidR="00000000" w:rsidRPr="00000000" w:rsidDel="00000000">
              <w:rPr>
                <w:i w:val="1"/>
                <w:rtl w:val="0"/>
              </w:rPr>
              <w:t xml:space="preserve">Eiropas Parlamenta un Padomes 2015.gada 20.maija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w:t>
            </w:r>
            <w:r w:rsidR="00000000" w:rsidRPr="00000000" w:rsidDel="00000000">
              <w:rPr>
                <w:rtl w:val="0"/>
              </w:rPr>
              <w:t xml:space="preserve">(turpmāk - Direktīva 2015/849) 19.b pantu. Lūdzam izvērtēt un anotācijā sniegt pamatojumu par minētā grozījuma atbilstību Direktīvai 2015/849, īpaši ņemot vērā, ka 19.b pants attiecas tieši uz kriptoaktīvu pakalpojumu sniedzējiem, nevis kredītiestādēm un finanšu iestādēm kopumā. Turklāt pašreiz spēkā esošās likuma redakcijas 24. pantā, šķiet, ir pārņemts Direktīvas 2015/849 19. pants. Ja, likuma 24. panta pirmo daļu izsakot jaunā redakcijā, tajā tiek pārņemtas gan Direktīvas 2015/849 19. panta, gan 19.b panta prasības, lūdzam sniegt skaidrojumu (piemēram, anotācijas 5.4. sadaļas 1. tabulā), vai netiek noteiktas stingrākas prasības attiecībā uz kredītiestādēm un finanšu iestādēm, kas nav kriptoaktīvu pakalpojumu sniedzēji. Ja tiek noteiktas stingrākas prasības, nekā paredz Direktīva 2015/849, aicinām sniegt attiecīgu pamatojumu. Tā kā likuma 24. pants tiek izteikts jaunā redakcijā, aicinām arī anotācijas 1.3. sadaļā sniegt skaidrojumu, kas tieši pantā ir precizēts vai papildināts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2023/1113 38. pants nosaka veikt grozījumus Direktīvā 2015/849, papildinot to ar 19. b pantu, kas nosaka papildu klientu izpētes pasākumus, uzsākot pārrobežu korespondentattiecības ar kredītiestādi vai finanšu iestādi (respondentu), kas nav reģistrēta ES un sniedz līdzīgus pakalpojumus, tai skaitā, kriptoaktīvu pārvedumus. Savukārt Direktīvā 2015/849 19. pantā noteiktās prasības, (papildu klientu izpētes pasākumi, uzsākot pārrobežu korespondentattiecības ar kredītiestādi vai finanšu iestādi (respondentu)) ir ieviestas Novēršanas likuma 24.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24. panta pirmās daļas 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attiecināma uz kredītiestādēm un finanšu iestādēm, tai skaitā, uz kriptoaktīvu pakalpojumu sniedzējiem, kuri no 2024. gada 30. decembra ir iekļauti finanšu iestāžu kategorijā atbilstoši Regulas Nr. 2023/1113 38. pantā (grozījumi Direktīvas 2025/849 3.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paredzams ieviest stingrākas prasības attiecībā uz kredītiestādēm un finanšu iestādēm, kas nav uzskatāmas par kriptoaktīvu pakalpojumu sniedzējiem, jo arī pašreizējā Novēršanas likuma 24. panta pirmās daļas 1. punktā ir noteiktā prasība - </w:t>
            </w:r>
            <w:r w:rsidR="00000000" w:rsidRPr="00000000" w:rsidDel="00000000">
              <w:rPr>
                <w:i w:val="1"/>
                <w:u w:val="single"/>
                <w:rtl w:val="0"/>
              </w:rPr>
              <w:t xml:space="preserve">iegūt informāciju par respondentu</w:t>
            </w:r>
            <w:r w:rsidR="00000000" w:rsidRPr="00000000" w:rsidDel="00000000">
              <w:rPr>
                <w:i w:val="1"/>
                <w:rtl w:val="0"/>
              </w:rPr>
              <w:t xml:space="preserve">, lai pilnībā saprastu respondenta darījumu būtību, kā arī lai no publiski pieejamas informācijas noteiktu attiecīgās kredītiestādes vai ieguldījumu brokeru sabiedrības reputāciju un </w:t>
            </w:r>
            <w:r w:rsidR="00000000" w:rsidRPr="00000000" w:rsidDel="00000000">
              <w:rPr>
                <w:i w:val="1"/>
                <w:u w:val="single"/>
                <w:rtl w:val="0"/>
              </w:rPr>
              <w:t xml:space="preserve">tās uzraudzības kvalitāti</w:t>
            </w:r>
            <w:r w:rsidR="00000000" w:rsidRPr="00000000" w:rsidDel="00000000">
              <w:rPr>
                <w:rtl w:val="0"/>
              </w:rPr>
              <w:t xml:space="preserve"> - ietver prasību, noskaidrot, vai respondentam ir derīga atļauja (licence) finanšu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Finanšu un kapitāla tirgus komisijas 2021. gada 12. janvāra normatīvo noteikumu Nr. 5 "Klientu izpētes, klientu padziļinātās izpētes un riska skaitliskā novērtējuma sistēmas izveides un informācijas tehnoloģiju prasību normatīvie noteikumi" 31.5. punktam, [kredītiestāde], veicot klienta padziļināto izpēti pirms darījuma attiecību nodibināšanas, atbilstoši klientam piemītošajam noziedzīgi iegūtu līdzekļu legalizācijas un terorisma un proliferācijas finansēšanas riskam veic vienu šādiem pasākumiem: p</w:t>
            </w:r>
            <w:r w:rsidR="00000000" w:rsidRPr="00000000" w:rsidDel="00000000">
              <w:rPr>
                <w:i w:val="1"/>
                <w:rtl w:val="0"/>
              </w:rPr>
              <w:t xml:space="preserve">ārliecinās, ka klientam ir licence vai speciāla atļauja, ja klienta deklarētā saimnieciskā vai personiskā darbība paredz šādas licences iegūšanu un ir saistīta ar paaugstināta riska nozari, kas ietekmē klienta riska novērtējumu. Ja klients sniedz finanšu pakalpojumus, tad iestāde pārliecinās, vai klients ir reģistrēts vai licencēts attiecīgajā kompetentajā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Novēršanas likuma 24. panta pirmās daļas jauno redakciju netiek noteiktas stingrākas prasības attiecībā uz kredītiestādēm un finanšu iestādēm, kas nav uzskatāmas par kriptoaktīvu pakalpojumu sniedzējiem, nekā tas noteikts Direktīvas 2015/849 19. un 19. b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lpp. aicinām atsaukties nevis uz FATF 18. rekomendācijas 1. punkta “a” apakšpunktu, bet gan uz FATF 18. rekomendācijas paskaidrojošās piezīmes 1.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nav nepieciešams atsaukties uz FATF 18. rekomendācijas skaidrojošās piezīmes "b" apakšpunktu, jo precizējumi Novēršanas likuma 7. panta pirmajā daļā nav veicami </w:t>
            </w:r>
            <w:r w:rsidR="00000000" w:rsidRPr="00000000" w:rsidDel="00000000">
              <w:rPr>
                <w:i w:val="1"/>
                <w:rtl w:val="0"/>
              </w:rPr>
              <w:t xml:space="preserve">(skat. papildinājumu atbildei uz 23. priekšlikumu (FID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aizstājot vārdu "alternatīva" ar vārdu "alternatīvo".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2023. gada 29. jūnijā spēkā stājās Regula Nr. 2023/1114, kuras subjektu tvērumā iekļaujas fiziskas un juridiskas personas, kas ir iesaistītas kriptoaktīvu emitēšanā, publiskā piedāvāšanā un pielaidē tirdzniecībai vai sniedz kriptoaktīvu pakalpojumus Eiropas Savienībā, kas ietver arī tādas finanšu vienības kā kredītiestāde, centrālais vērtspapīru depozitārijs, ieguldījumu brokeru sabiedrība, elektroniskās naudas iestāde, pārvedamu vērtspapīru kolektīvo ieguldījumu uzņēmumu pārvaldības sabiedrība, alternatīvo ieguldījumu fonda pārvaldnieks un tirgus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"Pašreizējā situācija, problēmas un risinājumi" precizēts vārds "alternatīva" ar vārdu "alternatīvo".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problēmas risinājuma aprakstu ar veiktajiem grozījumiem Novēršanas likuma 3. panta pirmajā daļā (likumprojekta 2. pants - "Izslēgt 3. panta pirmās daļas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3. panta pirmajā daļā ir noregulēti Novēršanas likuma subjekti, tai skaitā, 11. punktā - virtuālās valūtas pakalpojumu sniedzēji. Ar 2024. gada 1. jūliju termins "virtuālās valūtas pakalpojumu sniedzēji" tiks aizstāts ar terminu "kriptoaktīvu pakalpojumu sniedzēji" (Novēršanas likuma pārejas noteikumu 67.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Regulas Nr. 2023/1113 38. pantā noteiktajam (38. pants nosaka grozīt Direktīvas 2015/849 3. pantu, iekļaujot kriptoaktīvu pakalpojumu sniedzēju finanšu iestādes kategorijā) un minētā prasība ir piemērojama sākot ar 2024. gada 30.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Novēršanas likuma 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izslēgt Novēršanas likuma 3. panta pirmās daļas 11. punktā norādītos Novēršanas likuma subjektus - "virtuālās valūtas pakalpojumu sniedzēji", jo minētie subjekti no 2024. gada 30. decembra ir iekļauti finanšu iestādes kategorijā (likumprojekta 1. pants). Novēršanas likuma 3. panta pirmās daļas 11. punkts izslēdzams ar 2024. gada 30. decembri (likumprojekta 10. pants (minētās normas izslēgšana ir noregulēta Novēršanas likuma pārejas noteikumu 70.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"novēršanas".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pasākumi (tvērums un dziļums) būs atkarīgs no kredītiestādei vai finanšu iestādei piemītošajiem noziedzīgi iegūtu līdzekļu legalizācijas un terorisma un proliferācijas finansēšanas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4.2. punktā un izslēgts vārds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23-TA-3261</w:t>
    </w:r>
    <w:r>
      <w:br/>
    </w:r>
    <w:r w:rsidR="00000000" w:rsidRPr="00000000" w:rsidDel="00000000">
      <w:rPr>
        <w:rtl w:val="0"/>
      </w:rPr>
      <w:t xml:space="preserve">18.04.2024. 16.51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23-TA-3261</w:t>
    </w:r>
    <w:r>
      <w:br/>
    </w:r>
    <w:r w:rsidR="00000000" w:rsidRPr="00000000" w:rsidDel="00000000">
      <w:rPr>
        <w:rtl w:val="0"/>
      </w:rPr>
      <w:t xml:space="preserve">18.04.2024. 16.51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Izziņa_23-TA-3261.docx</dc:title>
</cp:coreProperties>
</file>

<file path=docProps/custom.xml><?xml version="1.0" encoding="utf-8"?>
<Properties xmlns="http://schemas.openxmlformats.org/officeDocument/2006/custom-properties" xmlns:vt="http://schemas.openxmlformats.org/officeDocument/2006/docPropsVTypes"/>
</file>