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7DDCC" w14:textId="77777777" w:rsidR="00470F6D" w:rsidRDefault="00470F6D" w:rsidP="00470F6D">
      <w:pPr>
        <w:spacing w:before="240" w:after="240"/>
        <w:rPr>
          <w:b/>
          <w:sz w:val="28"/>
        </w:rPr>
      </w:pPr>
      <w:r>
        <w:rPr>
          <w:b/>
          <w:sz w:val="28"/>
        </w:rPr>
        <w:t>26-TA-744: Likumprojekts (Grozījumi)</w:t>
      </w:r>
    </w:p>
    <w:p w14:paraId="24B4BB18" w14:textId="77777777" w:rsidR="00470F6D" w:rsidRDefault="00470F6D" w:rsidP="00470F6D">
      <w:pPr>
        <w:pStyle w:val="titleparagraph"/>
        <w:contextualSpacing w:val="0"/>
      </w:pPr>
      <w:r>
        <w:t>Grozījumi Patērētāju tiesību aizsardzības likumā</w:t>
      </w:r>
    </w:p>
    <w:p w14:paraId="0DE7E459" w14:textId="1C647133" w:rsidR="00293D94" w:rsidRPr="00293D94" w:rsidRDefault="00293D94" w:rsidP="00293D94">
      <w:r>
        <w:t>Iebildumi, kas iesniegti Finanšu ministrijai ārpus TAP</w:t>
      </w:r>
    </w:p>
    <w:tbl>
      <w:tblPr>
        <w:tblW w:w="14857" w:type="dxa"/>
        <w:tblInd w:w="-29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10"/>
        <w:gridCol w:w="1842"/>
        <w:gridCol w:w="4536"/>
        <w:gridCol w:w="4820"/>
        <w:gridCol w:w="2949"/>
      </w:tblGrid>
      <w:tr w:rsidR="00470F6D" w14:paraId="2762B0A5" w14:textId="77777777" w:rsidTr="00360B15">
        <w:tc>
          <w:tcPr>
            <w:tcW w:w="710" w:type="dxa"/>
            <w:shd w:val="clear" w:color="auto" w:fill="FFFFFF"/>
            <w:noWrap/>
            <w:tcMar>
              <w:top w:w="75" w:type="dxa"/>
              <w:left w:w="75" w:type="dxa"/>
              <w:bottom w:w="75" w:type="dxa"/>
              <w:right w:w="75" w:type="dxa"/>
            </w:tcMar>
            <w:vAlign w:val="center"/>
          </w:tcPr>
          <w:p w14:paraId="447A5558" w14:textId="77777777" w:rsidR="00470F6D" w:rsidRDefault="00470F6D" w:rsidP="00360B15">
            <w:pPr>
              <w:jc w:val="center"/>
              <w:rPr>
                <w:b/>
              </w:rPr>
            </w:pPr>
            <w:r>
              <w:rPr>
                <w:b/>
              </w:rPr>
              <w:t>Nr.p.k.</w:t>
            </w:r>
          </w:p>
        </w:tc>
        <w:tc>
          <w:tcPr>
            <w:tcW w:w="1842" w:type="dxa"/>
            <w:shd w:val="clear" w:color="auto" w:fill="FFFFFF"/>
            <w:noWrap/>
            <w:tcMar>
              <w:top w:w="75" w:type="dxa"/>
              <w:left w:w="75" w:type="dxa"/>
              <w:bottom w:w="75" w:type="dxa"/>
              <w:right w:w="75" w:type="dxa"/>
            </w:tcMar>
            <w:vAlign w:val="center"/>
          </w:tcPr>
          <w:p w14:paraId="2428F1B4" w14:textId="77777777" w:rsidR="00470F6D" w:rsidRDefault="00470F6D" w:rsidP="00360B15">
            <w:pPr>
              <w:jc w:val="center"/>
              <w:rPr>
                <w:b/>
              </w:rPr>
            </w:pPr>
            <w:r>
              <w:rPr>
                <w:b/>
              </w:rPr>
              <w:t>Saskaņošanai nosūtītā projekta redakcija</w:t>
            </w:r>
          </w:p>
        </w:tc>
        <w:tc>
          <w:tcPr>
            <w:tcW w:w="4536" w:type="dxa"/>
            <w:shd w:val="clear" w:color="auto" w:fill="FFFFFF"/>
            <w:noWrap/>
            <w:tcMar>
              <w:top w:w="75" w:type="dxa"/>
              <w:left w:w="75" w:type="dxa"/>
              <w:bottom w:w="75" w:type="dxa"/>
              <w:right w:w="75" w:type="dxa"/>
            </w:tcMar>
            <w:vAlign w:val="center"/>
          </w:tcPr>
          <w:p w14:paraId="64175D37" w14:textId="77777777" w:rsidR="00470F6D" w:rsidRDefault="00470F6D" w:rsidP="00360B15">
            <w:pPr>
              <w:jc w:val="center"/>
              <w:rPr>
                <w:b/>
              </w:rPr>
            </w:pPr>
            <w:r>
              <w:rPr>
                <w:b/>
              </w:rPr>
              <w:t>Iebildums / Priekšlikums</w:t>
            </w:r>
          </w:p>
          <w:p w14:paraId="51CD4CF9" w14:textId="0C6225D5" w:rsidR="00762B06" w:rsidRDefault="00762B06" w:rsidP="00360B15">
            <w:pPr>
              <w:jc w:val="center"/>
              <w:rPr>
                <w:b/>
              </w:rPr>
            </w:pPr>
          </w:p>
        </w:tc>
        <w:tc>
          <w:tcPr>
            <w:tcW w:w="4820" w:type="dxa"/>
            <w:shd w:val="clear" w:color="auto" w:fill="FFFFFF"/>
            <w:noWrap/>
            <w:tcMar>
              <w:top w:w="75" w:type="dxa"/>
              <w:left w:w="75" w:type="dxa"/>
              <w:bottom w:w="75" w:type="dxa"/>
              <w:right w:w="75" w:type="dxa"/>
            </w:tcMar>
            <w:vAlign w:val="center"/>
          </w:tcPr>
          <w:p w14:paraId="4C0ECA57" w14:textId="77777777" w:rsidR="00470F6D" w:rsidRDefault="00470F6D" w:rsidP="00360B15">
            <w:pPr>
              <w:jc w:val="center"/>
              <w:rPr>
                <w:b/>
              </w:rPr>
            </w:pPr>
            <w:r>
              <w:rPr>
                <w:b/>
              </w:rPr>
              <w:t>Apstrādes informācija</w:t>
            </w:r>
          </w:p>
        </w:tc>
        <w:tc>
          <w:tcPr>
            <w:tcW w:w="2949" w:type="dxa"/>
            <w:shd w:val="clear" w:color="auto" w:fill="FFFFFF"/>
            <w:noWrap/>
            <w:tcMar>
              <w:top w:w="75" w:type="dxa"/>
              <w:left w:w="75" w:type="dxa"/>
              <w:bottom w:w="75" w:type="dxa"/>
              <w:right w:w="75" w:type="dxa"/>
            </w:tcMar>
            <w:vAlign w:val="center"/>
          </w:tcPr>
          <w:p w14:paraId="6E755C4C" w14:textId="77777777" w:rsidR="00470F6D" w:rsidRDefault="00470F6D" w:rsidP="00360B15">
            <w:pPr>
              <w:jc w:val="center"/>
              <w:rPr>
                <w:b/>
              </w:rPr>
            </w:pPr>
            <w:r>
              <w:rPr>
                <w:b/>
              </w:rPr>
              <w:t>Galīgā redakcija</w:t>
            </w:r>
          </w:p>
        </w:tc>
      </w:tr>
      <w:tr w:rsidR="00470F6D" w14:paraId="1F9D148B" w14:textId="77777777" w:rsidTr="00360B15">
        <w:tc>
          <w:tcPr>
            <w:tcW w:w="14857" w:type="dxa"/>
            <w:gridSpan w:val="5"/>
            <w:shd w:val="clear" w:color="auto" w:fill="FFFFFF"/>
            <w:noWrap/>
            <w:tcMar>
              <w:top w:w="75" w:type="dxa"/>
              <w:left w:w="75" w:type="dxa"/>
              <w:bottom w:w="75" w:type="dxa"/>
              <w:right w:w="75" w:type="dxa"/>
            </w:tcMar>
            <w:vAlign w:val="center"/>
          </w:tcPr>
          <w:p w14:paraId="101F661D" w14:textId="77777777" w:rsidR="00470F6D" w:rsidRDefault="00470F6D" w:rsidP="00360B15">
            <w:r>
              <w:rPr>
                <w:b/>
              </w:rPr>
              <w:t>Izsludināšana: 02.04.2026. 14:30</w:t>
            </w:r>
          </w:p>
        </w:tc>
      </w:tr>
      <w:tr w:rsidR="00470F6D" w14:paraId="4CABF7B8" w14:textId="77777777" w:rsidTr="00360B15">
        <w:tc>
          <w:tcPr>
            <w:tcW w:w="710" w:type="dxa"/>
            <w:shd w:val="clear" w:color="auto" w:fill="FFFFFF"/>
            <w:noWrap/>
            <w:tcMar>
              <w:top w:w="75" w:type="dxa"/>
              <w:left w:w="75" w:type="dxa"/>
              <w:bottom w:w="75" w:type="dxa"/>
              <w:right w:w="75" w:type="dxa"/>
            </w:tcMar>
          </w:tcPr>
          <w:p w14:paraId="6829E033" w14:textId="77777777" w:rsidR="00470F6D" w:rsidRDefault="00470F6D" w:rsidP="00360B15">
            <w:r>
              <w:t>1.</w:t>
            </w:r>
          </w:p>
        </w:tc>
        <w:tc>
          <w:tcPr>
            <w:tcW w:w="1842" w:type="dxa"/>
            <w:shd w:val="clear" w:color="auto" w:fill="FFFFFF"/>
            <w:noWrap/>
            <w:tcMar>
              <w:top w:w="75" w:type="dxa"/>
              <w:left w:w="75" w:type="dxa"/>
              <w:bottom w:w="75" w:type="dxa"/>
              <w:right w:w="75" w:type="dxa"/>
            </w:tcMar>
          </w:tcPr>
          <w:p w14:paraId="298AFE36" w14:textId="77777777" w:rsidR="00470F6D" w:rsidRDefault="00470F6D" w:rsidP="00360B15">
            <w:pPr>
              <w:spacing w:after="240"/>
              <w:rPr>
                <w:b/>
              </w:rPr>
            </w:pPr>
            <w:r>
              <w:rPr>
                <w:b/>
              </w:rPr>
              <w:t>Likumprojekts (grozījumi)</w:t>
            </w:r>
          </w:p>
          <w:p w14:paraId="544736DB" w14:textId="77777777" w:rsidR="00470F6D" w:rsidRDefault="00470F6D" w:rsidP="00360B15">
            <w:r>
              <w:t xml:space="preserve"> Grozījumi Patērētāju tiesību aizsardzības likumā</w:t>
            </w:r>
          </w:p>
        </w:tc>
        <w:tc>
          <w:tcPr>
            <w:tcW w:w="4536" w:type="dxa"/>
            <w:shd w:val="clear" w:color="auto" w:fill="FFFFFF"/>
            <w:noWrap/>
            <w:tcMar>
              <w:top w:w="75" w:type="dxa"/>
              <w:left w:w="75" w:type="dxa"/>
              <w:bottom w:w="75" w:type="dxa"/>
              <w:right w:w="75" w:type="dxa"/>
            </w:tcMar>
          </w:tcPr>
          <w:p w14:paraId="4B105636" w14:textId="54576F44" w:rsidR="00470F6D" w:rsidRDefault="00470F6D" w:rsidP="00360B15">
            <w:pPr>
              <w:spacing w:after="240"/>
              <w:rPr>
                <w:b/>
              </w:rPr>
            </w:pPr>
            <w:r>
              <w:rPr>
                <w:b/>
              </w:rPr>
              <w:t>Iebildums (</w:t>
            </w:r>
            <w:r w:rsidR="00762B06" w:rsidRPr="00762B06">
              <w:rPr>
                <w:b/>
              </w:rPr>
              <w:t>AS “</w:t>
            </w:r>
            <w:proofErr w:type="spellStart"/>
            <w:r w:rsidR="00762B06" w:rsidRPr="00762B06">
              <w:rPr>
                <w:b/>
              </w:rPr>
              <w:t>Delfingroup</w:t>
            </w:r>
            <w:proofErr w:type="spellEnd"/>
            <w:r w:rsidR="00762B06" w:rsidRPr="00762B06">
              <w:rPr>
                <w:b/>
              </w:rPr>
              <w:t xml:space="preserve">” </w:t>
            </w:r>
            <w:r>
              <w:rPr>
                <w:b/>
              </w:rPr>
              <w:t xml:space="preserve">- </w:t>
            </w:r>
            <w:r w:rsidR="00762B06">
              <w:rPr>
                <w:b/>
              </w:rPr>
              <w:t>20</w:t>
            </w:r>
            <w:r>
              <w:rPr>
                <w:b/>
              </w:rPr>
              <w:t>.04.2026.)</w:t>
            </w:r>
            <w:r w:rsidR="00762B06">
              <w:rPr>
                <w:b/>
              </w:rPr>
              <w:t xml:space="preserve"> </w:t>
            </w:r>
          </w:p>
          <w:p w14:paraId="3F0F87CE" w14:textId="7A36CA7E" w:rsidR="00434067" w:rsidRDefault="00434067" w:rsidP="00434067">
            <w:r>
              <w:t>AS “</w:t>
            </w:r>
            <w:proofErr w:type="spellStart"/>
            <w:r>
              <w:t>DelfinGroup</w:t>
            </w:r>
            <w:proofErr w:type="spellEnd"/>
            <w:r>
              <w:t xml:space="preserve">” viedoklis par likumprojektu pakotni, kas paredz patērētāju kreditēšanas nozares uzraudzības funkciju nodošanu Latvijas Bankai </w:t>
            </w:r>
          </w:p>
          <w:p w14:paraId="28D471E3" w14:textId="5411FB9E" w:rsidR="00434067" w:rsidRDefault="00434067" w:rsidP="00434067">
            <w:r>
              <w:t>[1] AS “</w:t>
            </w:r>
            <w:proofErr w:type="spellStart"/>
            <w:r>
              <w:t>DelfinGroup</w:t>
            </w:r>
            <w:proofErr w:type="spellEnd"/>
            <w:r>
              <w:t xml:space="preserve">”, reģistrācijas numurs 40103252854 (turpmāk – uzņēmums) ir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 (turpmāk – </w:t>
            </w:r>
          </w:p>
          <w:p w14:paraId="7921EA40" w14:textId="77777777" w:rsidR="00434067" w:rsidRDefault="00434067" w:rsidP="00434067">
            <w:r>
              <w:t xml:space="preserve">likumprojektu pakotni). </w:t>
            </w:r>
          </w:p>
          <w:p w14:paraId="2524A2D2" w14:textId="77777777" w:rsidR="00434067" w:rsidRDefault="00434067" w:rsidP="00434067">
            <w:r>
              <w:t xml:space="preserve">[2] Uzņēmums pievienojas biedrības "Fintech Latvija Asociācija", reģistrācijas numurs </w:t>
            </w:r>
          </w:p>
          <w:p w14:paraId="098718A6" w14:textId="77777777" w:rsidR="00434067" w:rsidRDefault="00434067" w:rsidP="00434067">
            <w:r>
              <w:t xml:space="preserve">40008155027 (turpmāk – Asociācija), kuras biedrs ir Uzņēmums, 2026. gada 20. Aprīlī </w:t>
            </w:r>
          </w:p>
          <w:p w14:paraId="0341CD43" w14:textId="23F689D8" w:rsidR="00434067" w:rsidRDefault="00434067" w:rsidP="00434067">
            <w:r>
              <w:lastRenderedPageBreak/>
              <w:t xml:space="preserve">iesniegtajam viedoklim par likumprojektu pakotni, un arī uzņēmums uzskata, ka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 Uzņēmums atsevišķi un arī kopā ar Asociāciju uztur iepriekš pausto pozīciju attiecībā uz informatīvo ziņojumu “Par vienotas patērētāju kreditētāju licencēšanas un uzraudzības institūcijas noteikšanu”, uzsverot, ka reformas virzība pašreizējā stadijā neatbilst labas pārvaldības, </w:t>
            </w:r>
          </w:p>
          <w:p w14:paraId="0E6C31A6" w14:textId="77777777" w:rsidR="00434067" w:rsidRDefault="00434067" w:rsidP="00434067">
            <w:r>
              <w:t xml:space="preserve">samērīguma un pierādījumos balstītas politikas veidošanas principiem. </w:t>
            </w:r>
          </w:p>
          <w:p w14:paraId="66A3CC35" w14:textId="5528A7BD" w:rsidR="00434067" w:rsidRDefault="00434067" w:rsidP="00434067">
            <w:r>
              <w:t xml:space="preserve">[3] Papildus Asociācijas minētajiem argumentiem un aicinājumiem attiecībā uz likumprojektu pakotni, uzņēmums iebilst pret likumprojektā Nr. 26-TA-744 “Grozījumi Patērētāju tiesību aizsardzības likumā” paredzēto, ka 1) turpmāk kapitālsabiedrībām, kura vēlas saņemt speciālo atļauju (licenci), vispār nebūs prasības par apmaksājamā pamatkapitāla minimālo lielumu, 2) turpmāk maksa par speciālās atļaujas izsniegšanu no 250 000 EUR tiks samazināta 100 reizes līdz </w:t>
            </w:r>
            <w:r>
              <w:lastRenderedPageBreak/>
              <w:t xml:space="preserve">2500 EUR, bet 3) ikgadējā maksa no fiksēta apmēra 55 000 EUR tiek mainīta uz mainīga apmēru, kas var sasniegt 100 000 EUR gadā jeb gandrīz divas reizes vairāk nekā šobrīd. </w:t>
            </w:r>
          </w:p>
          <w:p w14:paraId="62E7DAFE" w14:textId="3A212104" w:rsidR="00434067" w:rsidRDefault="00434067" w:rsidP="00434067">
            <w:r>
              <w:t xml:space="preserve">Uzņēmuma ieskatā šīs ir būtiskas reformas patērētāju kreditēšanas licencēšanas kārtībā un noteikumos un nevar tikt uzskatītas par tehniska rakstura izmaiņām, kas nepieciešamas vienota uzrauga modeļa ieviešanai, bet ir atsevišķi diskutējams jautājums. Līdz ar to uzņēmums iebilst pret šādām izmaiņām un uzskata, ka reformas ietvaros prasības un noteikumi licences saņemšanai un licences uzturēšanai nedrīkst būtiski mainīties, jo tas nav ne patērētāju interesēs, ne rada godīgus konkurences apstākļus starp esošajiem tirgus dalībniekiem un potenciāli jaunajiem dalībniekiem. Tāpat uzņēmums neredz pamatu ikgadējās maksas apmēra piesaistīšanai pie kredītportfeļa, jo uzraudzības intensitāte nav atkarīga vienīgi no šī kritērija. </w:t>
            </w:r>
          </w:p>
          <w:p w14:paraId="51CE8805" w14:textId="01801B65" w:rsidR="00434067" w:rsidRDefault="00434067" w:rsidP="00434067">
            <w:r>
              <w:t xml:space="preserve">[4] Uzņēmums arī iebilst likumprojektā Nr. 26-TA-744 “Grozījumi Patērētāju tiesību aizsardzības likumā” paredzēto likuma papildināšanu ar X nodaļu “Patērētāju tiesību pārkāpumi finanšu pakalpojumu jomā”. Uzņēmuma ieskatā jau šobrīd esošais regulējums (Patērētāju tiesību aizsardzības likums un Negodīgas komercprakses aizlieguma likums) paredz kredītu devēju </w:t>
            </w:r>
          </w:p>
          <w:p w14:paraId="4CC6A56E" w14:textId="7AD1A74D" w:rsidR="00434067" w:rsidRDefault="00434067" w:rsidP="00434067">
            <w:r>
              <w:lastRenderedPageBreak/>
              <w:t xml:space="preserve">atbildību par normatīvo aktu pārkāpumiem. Uzņēmumam uzskata, ka šīs papildinājums (jo īpaši attiecībā uz valdes locekļu personīgu atbildību) nevar tikt uzskatīts par tehniska rakstura izmaiņām, kas nepieciešamas vienota uzrauga modeļa ieviešanai, bet ir atsevišķi diskutējams </w:t>
            </w:r>
          </w:p>
          <w:p w14:paraId="7BC53D22" w14:textId="77777777" w:rsidR="00434067" w:rsidRDefault="00434067" w:rsidP="00434067">
            <w:r>
              <w:t xml:space="preserve">jautājums.  </w:t>
            </w:r>
          </w:p>
          <w:p w14:paraId="4258425E" w14:textId="03AAF8C4" w:rsidR="00434067" w:rsidRDefault="00434067" w:rsidP="00434067">
            <w:r>
              <w:t xml:space="preserve">[5] Uzņēmums joprojām uzskata, ka, ja šīs reformas mērķis ir veidot vienu, spēcīgu uzraugu saistībā ar kreditēšanas pakalpojumiem, tad Latvijas Bankai būtu nododama arī parādu atgūšanas pakalpojumu sniedzēju, kuri veic kredītsaistību piedziņu, uzraudzība, jo šī nozare pārvalda būtiskus kredītportfeļus, netiešā veidā kreditē patērētājus, turpinot kredītsaistību apkalpošanu pēc cesijas, kā rezultātā tie ir cieši saistīti ar patērētāju tiesībām finanšu pakalpojumu jomā. Ja politiski ir izšķiršanās par to, ka Latvijas Banka uzraudzības ļoti plašu pakalpojumu jomu, tajā skaitā lombarda pakalpojumus, kā arī preču un pakalpojumu nomaksas pakalpojumus, tad uzņēmuma ieskatā tikpat būtiski, ja pat ne vēl būtiskāk ir uzraudzīt tos, kuri pārvalda būtiskus kredītu portfeļus pret patērētājiem. </w:t>
            </w:r>
          </w:p>
          <w:p w14:paraId="649B9DD7" w14:textId="62187450" w:rsidR="00434067" w:rsidRDefault="00434067" w:rsidP="00434067">
            <w:r>
              <w:t xml:space="preserve">[6] Uzņēmuma ieskatā likumprojekta pakotnē esošajos likumos paredzētais deleģējums izdot normatīvos aktus uz likuma pamata būtu atstājams Ministru kabinetam, nevis nododams Latvijas Bankai. Tas pamatojams </w:t>
            </w:r>
            <w:r>
              <w:lastRenderedPageBreak/>
              <w:t xml:space="preserve">ar to, ka Ministru kabineta noteikumu izdošanā normatīvie akti (tajā skaitā Valsts pārvaldes iekārtas likums un Ministru kabineta kārtības rullis) paredz detalizētāku un caurskatāmāku sabiedrības līdzdalības procesu, ja to salīdzina ar Latvijas Bankas noteikumu izdošanu. Uzņēmuma ieskatā likumdošanas procesam attiecībā uz patērētāju tiesību aizsardzību finanšu jomā būtu jāpaliek esošajam, kad prasības ir noteiktas likumos un pēc tam papildu prasības ir noteiktas Ministru kabineta noteikumos. Likumdošanas varas nodošana (šajā gadījumā </w:t>
            </w:r>
          </w:p>
          <w:p w14:paraId="5F2B16BA" w14:textId="45D83329" w:rsidR="00434067" w:rsidRDefault="00434067" w:rsidP="00434067">
            <w:r>
              <w:t xml:space="preserve">deleģējums) no Ministru kabineta uz Latvijas Banku nevar tikt uzskatīts par tehniska rakstura izmaiņām, kas nepieciešamas vienota uzrauga modeļa ieviešanai, bet ir atsevišķi diskutējams jautājums. </w:t>
            </w:r>
          </w:p>
          <w:p w14:paraId="03D5BC57" w14:textId="2739B446" w:rsidR="00434067" w:rsidRDefault="00434067" w:rsidP="00434067">
            <w:r>
              <w:t xml:space="preserve">[7] Uzņēmuma ieskatā likumprojektu pakotne joprojām nerisina jautājumus par nomaksas pirkumu uzraudzību, kur no vienota uzrauga modeļa tiktu izveidota paralēlā uzraudzība ar diviem uzraugiem. Tas ir, Patērētāju tiesību aizsardzības centrs vērtētu preces atbilstību līgumam un preces pirkuma noteikumu atbilstību normatīvo aktu prasībām, bet Latvijas Banka vērtētu finansēšanas pakalpojuma atbilstību normatīvo aktu prasībām. </w:t>
            </w:r>
          </w:p>
          <w:p w14:paraId="39A702F0" w14:textId="77777777" w:rsidR="00434067" w:rsidRDefault="00434067" w:rsidP="00434067">
            <w:r>
              <w:t xml:space="preserve">[8] Uzņēmums arī iebilst pret likumprojektā Nr. 26-TA-744 “Grozījumi Patērētāju tiesību </w:t>
            </w:r>
          </w:p>
          <w:p w14:paraId="7CEC036E" w14:textId="176AE4D8" w:rsidR="00434067" w:rsidRDefault="00434067" w:rsidP="00434067">
            <w:r>
              <w:lastRenderedPageBreak/>
              <w:t xml:space="preserve">aizsardzības likumā” paredzēto, ka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 Uzņēmums uzskata, ka šāda situācija faktiski nozīmētu divu uzraugu darbības de </w:t>
            </w:r>
            <w:proofErr w:type="spellStart"/>
            <w:r>
              <w:t>facto</w:t>
            </w:r>
            <w:proofErr w:type="spellEnd"/>
            <w:r>
              <w:t xml:space="preserve"> turpinājumu. Reformas ietvaros Latvijas Bankai būtu jāpārņem visi iesāktie procesi gan iestādes līmenī, gan tiesās. </w:t>
            </w:r>
          </w:p>
          <w:p w14:paraId="054C9737" w14:textId="77777777" w:rsidR="00434067" w:rsidRDefault="00434067" w:rsidP="00434067">
            <w:r>
              <w:t xml:space="preserve">[9] Apkopojot visu augstāk minēto, uzņēmums iebilst pret likumprojektu pakotni kopumā, jo tā pēc </w:t>
            </w:r>
          </w:p>
          <w:p w14:paraId="27A24043" w14:textId="13D8CC47" w:rsidR="00434067" w:rsidRDefault="00434067" w:rsidP="00434067">
            <w:r>
              <w:t xml:space="preserve">savas būtības nav par tehniska rakstura izmaiņām un tajā ir veicama virkne labojumu un papildinājumu, tajā skaitā normatīvo aktu izmaiņu iniciatoram ir jāveic pilna normatīvā regulējuma analīze, piedāvājot arī tādas izmaiņas normatīvajos aktos, kas ir nepieciešamas, lai patērētāju </w:t>
            </w:r>
          </w:p>
          <w:p w14:paraId="7669968E" w14:textId="1DB1216F" w:rsidR="00434067" w:rsidRDefault="00434067" w:rsidP="00434067">
            <w:r>
              <w:t xml:space="preserve">kreditētājus nostādītu vienlīdzīgas pozīcijās ar kredītiestādēm (tajā skaitā attiecībā uz tiesībām pieprasīt un bez maksas saņemt, kā arī glabāt un citādi apstrādāt informāciju no dažādiem valsts reģistriem, pieeja un datu nodošana Kredītu reģistram, Zemesgrāmatu likumā noteikti izņēmumi kā kredītiestādēm </w:t>
            </w:r>
            <w:proofErr w:type="spellStart"/>
            <w:r>
              <w:t>u.tml</w:t>
            </w:r>
            <w:proofErr w:type="spellEnd"/>
            <w:r>
              <w:t xml:space="preserve">). Tāpēc uzņēmums atkārtoti norāda, ka </w:t>
            </w:r>
            <w:r>
              <w:lastRenderedPageBreak/>
              <w:t xml:space="preserve">ir pret būtisku un sistēmisku izmaiņu ieviešanas finanšu sektora uzraudzības modelī sasteigti un nepilnvērtīgi, jo reformas virzība pašreizējā stadijā neatbilst labas pārvaldības, samērīguma un pierādījumos balstītas politikas veidošanas principiem. </w:t>
            </w:r>
          </w:p>
          <w:p w14:paraId="4BC1CFE7" w14:textId="77777777" w:rsidR="00434067" w:rsidRDefault="00434067" w:rsidP="00434067">
            <w:r>
              <w:t>AS “</w:t>
            </w:r>
            <w:proofErr w:type="spellStart"/>
            <w:r>
              <w:t>DelfinGroup</w:t>
            </w:r>
            <w:proofErr w:type="spellEnd"/>
            <w:r>
              <w:t xml:space="preserve">” </w:t>
            </w:r>
          </w:p>
          <w:p w14:paraId="5CE7849F" w14:textId="6551B6BE" w:rsidR="00470F6D" w:rsidRDefault="00434067" w:rsidP="00434067">
            <w:r>
              <w:t>2026. gada 20. aprīlī.</w:t>
            </w:r>
          </w:p>
        </w:tc>
        <w:tc>
          <w:tcPr>
            <w:tcW w:w="4820" w:type="dxa"/>
            <w:shd w:val="clear" w:color="auto" w:fill="FFFFFF"/>
            <w:noWrap/>
            <w:tcMar>
              <w:top w:w="75" w:type="dxa"/>
              <w:left w:w="75" w:type="dxa"/>
              <w:bottom w:w="75" w:type="dxa"/>
              <w:right w:w="75" w:type="dxa"/>
            </w:tcMar>
          </w:tcPr>
          <w:p w14:paraId="1FAFD03D" w14:textId="77777777" w:rsidR="00040285" w:rsidRDefault="00040285" w:rsidP="00040285">
            <w:pPr>
              <w:rPr>
                <w:b/>
                <w:bCs/>
              </w:rPr>
            </w:pPr>
            <w:r w:rsidRPr="00D771D4">
              <w:rPr>
                <w:b/>
                <w:bCs/>
              </w:rPr>
              <w:lastRenderedPageBreak/>
              <w:t>Nav ņemts vērā</w:t>
            </w:r>
          </w:p>
          <w:p w14:paraId="36D46491" w14:textId="77777777" w:rsidR="00040285" w:rsidRDefault="00040285" w:rsidP="00040285">
            <w:pPr>
              <w:jc w:val="center"/>
              <w:rPr>
                <w:b/>
                <w:bCs/>
              </w:rPr>
            </w:pPr>
          </w:p>
          <w:p w14:paraId="0D22CF31" w14:textId="77777777" w:rsidR="00040285" w:rsidRDefault="00040285" w:rsidP="00040285">
            <w:pPr>
              <w:rPr>
                <w:b/>
                <w:bCs/>
              </w:rPr>
            </w:pPr>
            <w:r w:rsidRPr="001A0482">
              <w:rPr>
                <w:b/>
                <w:bCs/>
              </w:rPr>
              <w:t xml:space="preserve">I </w:t>
            </w:r>
            <w:r>
              <w:rPr>
                <w:b/>
                <w:bCs/>
              </w:rPr>
              <w:t>P</w:t>
            </w:r>
            <w:r w:rsidRPr="001A0482">
              <w:rPr>
                <w:b/>
                <w:bCs/>
              </w:rPr>
              <w:t>ar reformas pamato</w:t>
            </w:r>
            <w:r>
              <w:rPr>
                <w:b/>
                <w:bCs/>
              </w:rPr>
              <w:t>tību</w:t>
            </w:r>
          </w:p>
          <w:p w14:paraId="0B734D57" w14:textId="77777777" w:rsidR="00040285" w:rsidRPr="00F15CC9" w:rsidRDefault="00040285" w:rsidP="00040285">
            <w:pPr>
              <w:rPr>
                <w:b/>
                <w:bCs/>
              </w:rPr>
            </w:pPr>
          </w:p>
          <w:p w14:paraId="616AC178" w14:textId="77777777" w:rsidR="00040285" w:rsidRDefault="00040285" w:rsidP="00040285">
            <w:r>
              <w:t>Skaidrojam, ka a</w:t>
            </w:r>
            <w:r w:rsidRPr="00E4498E">
              <w:t>r likumprojekt</w:t>
            </w:r>
            <w:r>
              <w:t>u pakotnē</w:t>
            </w:r>
            <w:r w:rsidRPr="00E4498E">
              <w:t xml:space="preserve"> ietvertajiem</w:t>
            </w:r>
            <w:r>
              <w:t xml:space="preserve"> 13 likumu</w:t>
            </w:r>
            <w:r w:rsidRPr="00E4498E">
              <w:t xml:space="preserve"> grozījumiem</w:t>
            </w:r>
            <w:r>
              <w:t>, tajā skaitā likumprojektu,</w:t>
            </w:r>
            <w:r w:rsidRPr="00E4498E">
              <w:t xml:space="preserve">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14:paraId="578D01A4" w14:textId="77777777" w:rsidR="00040285" w:rsidRDefault="00040285" w:rsidP="00040285"/>
          <w:p w14:paraId="5784E3BE" w14:textId="77777777" w:rsidR="00040285" w:rsidRDefault="00040285" w:rsidP="00040285">
            <w:r>
              <w:t xml:space="preserve">Diskurss par patērētāju kreditēšanas uzraudzības sistēmas reformu jau pirms likumprojektu </w:t>
            </w:r>
            <w:r>
              <w:lastRenderedPageBreak/>
              <w:t xml:space="preserve">pakotnes izstrādes ir bijis ilgs un pietiekami izdiskutēts gan valsts institūciju, gan nozares nevalstiskā sektora ietvarā. </w:t>
            </w:r>
          </w:p>
          <w:p w14:paraId="2021D0D5" w14:textId="77777777" w:rsidR="00040285" w:rsidRPr="00D61B3D" w:rsidRDefault="00040285" w:rsidP="00040285">
            <w:r>
              <w:t xml:space="preserve">Diskusijas par </w:t>
            </w:r>
            <w:r w:rsidRPr="00F31FD1">
              <w:t>patērētāju kreditēšanas uzraudzības un licencēšanas, kā arī patērētāju tiesību un interešu aizsardzīb</w:t>
            </w:r>
            <w:r>
              <w:t>as</w:t>
            </w:r>
            <w:r w:rsidRPr="00F31FD1">
              <w:t xml:space="preserve"> finanšu sektorā nodošanu vienai institūcijai</w:t>
            </w:r>
            <w:r>
              <w:t xml:space="preserve"> </w:t>
            </w:r>
            <w:r w:rsidRPr="00F31FD1">
              <w:t>tika uzsākta</w:t>
            </w:r>
            <w:r>
              <w:t>s</w:t>
            </w:r>
            <w:r w:rsidRPr="00F31FD1">
              <w:t xml:space="preserve"> jau 2025. gada</w:t>
            </w:r>
            <w:r>
              <w:t xml:space="preserve"> </w:t>
            </w:r>
            <w:r w:rsidRPr="00F31FD1">
              <w:t xml:space="preserve">sākumā Ekonomikas ministrijas sagatavotā </w:t>
            </w:r>
            <w:r>
              <w:t>r</w:t>
            </w:r>
            <w:r w:rsidRPr="00F31FD1">
              <w:t xml:space="preserve">īcības plāna projekta ietvaros. Ar Ministru kabineta </w:t>
            </w:r>
            <w:r>
              <w:t xml:space="preserve">15.07.2025. </w:t>
            </w:r>
            <w:r w:rsidRPr="00F31FD1">
              <w:t xml:space="preserve"> rīkojumu Nr.422 “Rīcības plāns investīciju piesaistei un finanšu pieejamībai tautsaimniecībā” (prot. Nr. 28 50. §) tika apstiprināts Rīcības plāns, kura 14. virzienā Ekonomikas ministrija identificēj</w:t>
            </w:r>
            <w:r>
              <w:t>a</w:t>
            </w:r>
            <w:r w:rsidRPr="00F31FD1">
              <w:t xml:space="preserve"> kreditēšanas pakalpojumu sniedzēju sadrumstalotas uzraudzības problemātiku un attiecīgi uzdev</w:t>
            </w:r>
            <w:r>
              <w:t>a</w:t>
            </w:r>
            <w:r w:rsidRPr="00F31FD1">
              <w:t xml:space="preserve"> Finanšu ministrijai izstrādāt informatīvā ziņojum</w:t>
            </w:r>
            <w:r>
              <w:t xml:space="preserve">u ar </w:t>
            </w:r>
            <w:r w:rsidRPr="00D61B3D">
              <w:t xml:space="preserve">izvērtējumu par vienotas kreditētāju uzraudzības un kontroles institūcijas noteikšanu, tādējādi samazinot birokrātisko slogu un nodrošinot caurskatāmu vienotu pieeju kreditētāju uzraudzībā un kontrolē. Vienlaikus </w:t>
            </w:r>
            <w:r>
              <w:t>tika noteikta</w:t>
            </w:r>
            <w:r w:rsidRPr="00D61B3D">
              <w:t xml:space="preserve"> nepieciešamību izvērtēt arī Lietuvas pieredzi, kur visu kreditētāju, kuru uzraudzību neveic Eiropas Centrālā banka, uzraudzība ir nodota Lietuvas Bankai.</w:t>
            </w:r>
          </w:p>
          <w:p w14:paraId="4C5548EE" w14:textId="77777777" w:rsidR="00040285" w:rsidRDefault="00040285" w:rsidP="00040285">
            <w:r w:rsidRPr="0056712A">
              <w:t>Finanšu ministrija</w:t>
            </w:r>
            <w:r>
              <w:t xml:space="preserve"> izstrādāja</w:t>
            </w:r>
            <w:r w:rsidRPr="0056712A">
              <w:t xml:space="preserve"> informatīv</w:t>
            </w:r>
            <w:r>
              <w:t>o</w:t>
            </w:r>
            <w:r w:rsidRPr="0056712A">
              <w:t xml:space="preserve"> ziņojum</w:t>
            </w:r>
            <w:r>
              <w:t xml:space="preserve">u </w:t>
            </w:r>
            <w:r w:rsidRPr="0056712A">
              <w:t>“Par vienotas patērētāju kreditētāju licencēšanas un uzraudzības institūcijas noteikšanu”</w:t>
            </w:r>
            <w:r>
              <w:t xml:space="preserve"> </w:t>
            </w:r>
            <w:r w:rsidRPr="00D53237">
              <w:t xml:space="preserve">(25-TA-3014) </w:t>
            </w:r>
            <w:r>
              <w:t xml:space="preserve">(turpmāk – Informatīvais ziņojums), kura izstrādes laikā, kā arī oficiālajā sabiedriskās apspriešanas procesā </w:t>
            </w:r>
            <w:r>
              <w:lastRenderedPageBreak/>
              <w:t xml:space="preserve">tika uzklausītas praktiski visas nozares  asociācijas, kā arī individuāli patērētāju kreditētāji, un tā apspriešanai tika organizēta sanāksme. </w:t>
            </w:r>
            <w:r w:rsidRPr="00D53237">
              <w:t>TAP pieejami atzinumi un izziņa par sniegtajiem iebildumiem un priekšlikumiem  pie minētā informatīvā ziņojuma.</w:t>
            </w:r>
          </w:p>
          <w:p w14:paraId="7EDBAC39" w14:textId="77777777" w:rsidR="00040285" w:rsidRDefault="00040285" w:rsidP="00040285">
            <w:r>
              <w:t>Informatīvā ziņojuma projekts tika arī izskatīts un atbalstīts Finanšu sektora attīstības padomes (</w:t>
            </w:r>
            <w:r w:rsidRPr="00430A8D">
              <w:t xml:space="preserve">turpmāk – </w:t>
            </w:r>
            <w:r>
              <w:t>FSAP) 09.12.2025. sēdē, tajā skaitā, piedaloties finanšu nozares asociācijām.</w:t>
            </w:r>
          </w:p>
          <w:p w14:paraId="4C6AF7C6" w14:textId="77777777" w:rsidR="00040285" w:rsidRDefault="00040285" w:rsidP="00040285"/>
          <w:p w14:paraId="3EB04484" w14:textId="77777777" w:rsidR="00040285" w:rsidRDefault="00040285" w:rsidP="00040285">
            <w:r>
              <w:t>Ar I</w:t>
            </w:r>
            <w:r w:rsidRPr="00E3061F">
              <w:t>nformatīv</w:t>
            </w:r>
            <w:r>
              <w:t>o</w:t>
            </w:r>
            <w:r w:rsidRPr="00E3061F">
              <w:t xml:space="preserve"> ziņojum</w:t>
            </w:r>
            <w:r>
              <w:t>u</w:t>
            </w:r>
            <w:r w:rsidRPr="00E3061F">
              <w:t xml:space="preserve"> </w:t>
            </w:r>
            <w:r>
              <w:t xml:space="preserve">tika </w:t>
            </w:r>
            <w:r w:rsidRPr="00E3061F">
              <w:t>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w:t>
            </w:r>
            <w:r>
              <w:t>as modelis.</w:t>
            </w:r>
          </w:p>
          <w:p w14:paraId="0B4150C7" w14:textId="77777777" w:rsidR="00040285" w:rsidRDefault="00040285" w:rsidP="00040285">
            <w:r>
              <w:t xml:space="preserve">Tāpat minams, ka FSAP </w:t>
            </w:r>
            <w:r w:rsidRPr="00354F2F">
              <w:t>09.12.2025</w:t>
            </w:r>
            <w:r>
              <w:t xml:space="preserve">. sēdē arī tika iekļauts un izskatīts jautājums par vienotas nebanku kreditētāju uzraudzības un kontroles institūcijas noteikšanu. Šajā FSAP sēdē lēmuma pieņemšanai tika piedāvāti divi iespējamie risinājuma varianti: 1.variants – ar normatīvā regulējuma palīdzību skaidrāk noteikt praktiskās uzraudzības jomas robežas starp Patērētāju tiesību centru (turpmāk – PTAC) un Valsts ieņēmumu dienestu uzraudzībā esošajiem subjektiem; 2.variants – patērētāju kreditēšanas pakalpojumu sniedzēju licencēšanas un uzraudzības funkcijas, patērētāju – finanšu </w:t>
            </w:r>
            <w:r>
              <w:lastRenderedPageBreak/>
              <w:t>pakalpojumu saņēmēju – tiesību un interešu aizsardzības funkcijas un negodīgas komercprakses uzraudzības finanšu pakalpojumu jomā funkcijas nodošanu no PTAC Latvijas Bankai. FSAP sēdē tika nolemts virzīt tālāk piedāvāto 2. variantu.</w:t>
            </w:r>
          </w:p>
          <w:p w14:paraId="63C48715" w14:textId="77777777" w:rsidR="00040285" w:rsidRDefault="00040285" w:rsidP="00040285"/>
          <w:p w14:paraId="057F1197" w14:textId="77777777" w:rsidR="00040285" w:rsidRPr="009B33BB" w:rsidRDefault="00040285" w:rsidP="00040285">
            <w:r>
              <w:t>Vienlaikus atzīmējams, l</w:t>
            </w:r>
            <w:r w:rsidRPr="009B33BB">
              <w:t xml:space="preserve">ai nodrošinātu to, ka </w:t>
            </w:r>
            <w:r>
              <w:t xml:space="preserve">patērētāju </w:t>
            </w:r>
            <w:r w:rsidRPr="009B33BB">
              <w:t xml:space="preserve">kreditēšanas pakalpojumu sniedzējiem ir saprotams </w:t>
            </w:r>
            <w:r>
              <w:t>plānotais</w:t>
            </w:r>
            <w:r w:rsidRPr="009B33BB">
              <w:t xml:space="preserve"> Latvijas Bankas uzraudzības ietvars, </w:t>
            </w:r>
            <w:r>
              <w:t>Latvijas Banka</w:t>
            </w:r>
            <w:r w:rsidRPr="009B33BB">
              <w:t xml:space="preserve"> sadarbībā ar biedrības "Asociācija Fintech Latvija" biedriem uzsāk</w:t>
            </w:r>
            <w:r>
              <w:t>a</w:t>
            </w:r>
            <w:r w:rsidRPr="009B33BB">
              <w:t xml:space="preserve"> vairāku tematisko virzienu sarunu ciklu, kura ietvaros </w:t>
            </w:r>
            <w:r>
              <w:t>tika izskatīti</w:t>
            </w:r>
            <w:r w:rsidRPr="009B33BB">
              <w:t xml:space="preserve"> galvenie uzraudzības aspekti un izrunāti neskaidrie jautājumi, izveidojot piecas tematiskās sarunu grupas:</w:t>
            </w:r>
          </w:p>
          <w:p w14:paraId="76D282FA" w14:textId="77777777" w:rsidR="00040285" w:rsidRPr="009B33BB" w:rsidRDefault="00040285" w:rsidP="00040285">
            <w:pPr>
              <w:ind w:firstLine="720"/>
            </w:pPr>
            <w:r w:rsidRPr="009B33BB">
              <w:t xml:space="preserve">1) </w:t>
            </w:r>
            <w:r>
              <w:rPr>
                <w:rFonts w:eastAsia="Calibri"/>
              </w:rPr>
              <w:t>n</w:t>
            </w:r>
            <w:r w:rsidRPr="004B0E78">
              <w:rPr>
                <w:rFonts w:eastAsia="Calibri"/>
              </w:rPr>
              <w:t>oziedzīgi iegūtu līdzekļu legalizācijas un terorisma un proliferācijas finansēšanas novēršan</w:t>
            </w:r>
            <w:r>
              <w:rPr>
                <w:rFonts w:eastAsia="Calibri"/>
              </w:rPr>
              <w:t xml:space="preserve">as (turpmāk – </w:t>
            </w:r>
            <w:r w:rsidRPr="009B33BB">
              <w:t>NILLTPFN</w:t>
            </w:r>
            <w:r>
              <w:t>)</w:t>
            </w:r>
            <w:r w:rsidRPr="009B33BB" w:rsidDel="0008057C">
              <w:t xml:space="preserve"> </w:t>
            </w:r>
            <w:r w:rsidRPr="009B33BB">
              <w:t>jautājumi;</w:t>
            </w:r>
          </w:p>
          <w:p w14:paraId="04F7A8B6" w14:textId="77777777" w:rsidR="00040285" w:rsidRPr="009B33BB" w:rsidRDefault="00040285" w:rsidP="00040285">
            <w:pPr>
              <w:ind w:firstLine="720"/>
            </w:pPr>
            <w:r w:rsidRPr="009B33BB">
              <w:t>2) kredītrisku/kredītspējas vērtēšana;</w:t>
            </w:r>
          </w:p>
          <w:p w14:paraId="2C0FF335" w14:textId="77777777" w:rsidR="00040285" w:rsidRPr="009B33BB" w:rsidRDefault="00040285" w:rsidP="00040285">
            <w:pPr>
              <w:ind w:firstLine="720"/>
            </w:pPr>
            <w:r w:rsidRPr="009B33BB">
              <w:t xml:space="preserve">3) </w:t>
            </w:r>
            <w:proofErr w:type="spellStart"/>
            <w:r w:rsidRPr="009B33BB">
              <w:t>pirmslīguma</w:t>
            </w:r>
            <w:proofErr w:type="spellEnd"/>
            <w:r w:rsidRPr="009B33BB">
              <w:t xml:space="preserve"> informācija un līguma saturs;</w:t>
            </w:r>
          </w:p>
          <w:p w14:paraId="7AF20EB8" w14:textId="77777777" w:rsidR="00040285" w:rsidRDefault="00040285" w:rsidP="00040285">
            <w:pPr>
              <w:ind w:firstLine="720"/>
            </w:pPr>
            <w:r w:rsidRPr="009B33BB">
              <w:t xml:space="preserve">4) reklāmas ierobežojumi, aizdevumu administrēšana un kvalitātes pārraudzība; </w:t>
            </w:r>
            <w:r w:rsidRPr="009B33BB">
              <w:tab/>
            </w:r>
          </w:p>
          <w:p w14:paraId="332B9A36" w14:textId="77777777" w:rsidR="00040285" w:rsidRDefault="00040285" w:rsidP="00040285">
            <w:pPr>
              <w:ind w:firstLine="720"/>
            </w:pPr>
            <w:r w:rsidRPr="009B33BB">
              <w:t xml:space="preserve">5) pārvaldības jautājumi. </w:t>
            </w:r>
          </w:p>
          <w:p w14:paraId="2AC7DCB7" w14:textId="77777777" w:rsidR="00040285" w:rsidRDefault="00040285" w:rsidP="00040285">
            <w:r w:rsidRPr="00234FF2">
              <w:t xml:space="preserve">Darba grupu ietvaros, izskatot Latvijas Bankas uzraudzības pieeju katrā attiecīgajā tematiskajā jautājumā, notika diskusijas un ir panāktas vienošanās un kopējas izpratnes par pārvaldības sistēmu, </w:t>
            </w:r>
            <w:r w:rsidRPr="18B3CC22">
              <w:rPr>
                <w:rFonts w:eastAsia="Calibri"/>
              </w:rPr>
              <w:t>NILLTPFN</w:t>
            </w:r>
            <w:r w:rsidRPr="00234FF2">
              <w:t xml:space="preserve"> jautājumiem, kredītrisku un kredītspējas novērtēšanas atsevišķiem aspektiem, vienlaikus tiks turpinātas diskusijas </w:t>
            </w:r>
            <w:r w:rsidRPr="00234FF2">
              <w:lastRenderedPageBreak/>
              <w:t xml:space="preserve">par kredītspējas vērtēšanas pieejas pilnveides iespējām un salīdzinājumu ar Lietuvā izmantot modeli, atsevišķiem tehniskiem </w:t>
            </w:r>
            <w:r w:rsidRPr="18B3CC22">
              <w:rPr>
                <w:rFonts w:eastAsia="Calibri"/>
              </w:rPr>
              <w:t>NILLTPFN</w:t>
            </w:r>
            <w:r w:rsidRPr="00234FF2">
              <w:t xml:space="preserve"> </w:t>
            </w:r>
            <w:r>
              <w:t xml:space="preserve">jomas </w:t>
            </w:r>
            <w:r w:rsidRPr="00234FF2">
              <w:t xml:space="preserve">uzraudzības aspektiem, </w:t>
            </w:r>
            <w:r>
              <w:t>K</w:t>
            </w:r>
            <w:r w:rsidRPr="00234FF2">
              <w:t>redīt</w:t>
            </w:r>
            <w:r>
              <w:t xml:space="preserve">u </w:t>
            </w:r>
            <w:r w:rsidRPr="00234FF2">
              <w:t xml:space="preserve">reģistram  </w:t>
            </w:r>
            <w:r w:rsidRPr="396E4632">
              <w:t>sniedzamās</w:t>
            </w:r>
            <w:r w:rsidRPr="1EFEED41">
              <w:t xml:space="preserve"> </w:t>
            </w:r>
            <w:r w:rsidRPr="00234FF2">
              <w:t>informācij</w:t>
            </w:r>
            <w:r w:rsidRPr="3D1CF749">
              <w:t xml:space="preserve">as </w:t>
            </w:r>
            <w:r w:rsidRPr="614832AF">
              <w:t>apjomu</w:t>
            </w:r>
            <w:r w:rsidRPr="00234FF2">
              <w:t>, iesniedzamo uzraudzības pārskatu</w:t>
            </w:r>
            <w:r>
              <w:t xml:space="preserve"> u.c. jautājumiem.</w:t>
            </w:r>
            <w:r w:rsidRPr="00234FF2">
              <w:t xml:space="preserve"> </w:t>
            </w:r>
            <w:r w:rsidRPr="009D0164">
              <w:t>Latvijas Banka ir izveidojusi informācijas apmaiņas kanālu regulārai saziņai ar nozari, kurā tai skaitā tiek nodrošināta atbilžu publicēšana uz nozares neskaidriem jautājumiem.</w:t>
            </w:r>
            <w:r>
              <w:t xml:space="preserve"> Latvijas Banka turpina saziņa ar patērētāju kreditētājiem. </w:t>
            </w:r>
          </w:p>
          <w:p w14:paraId="506B1CD0" w14:textId="77777777" w:rsidR="00040285" w:rsidRDefault="00040285" w:rsidP="00040285"/>
          <w:p w14:paraId="383D4A94" w14:textId="77777777" w:rsidR="00040285" w:rsidRDefault="00040285" w:rsidP="00040285">
            <w:r>
              <w:t xml:space="preserve">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w:t>
            </w:r>
            <w:r>
              <w:lastRenderedPageBreak/>
              <w:t>kreditētāju tiesības un pienākumi ar šo iecerēto funkciju un no tām izrietošo uzdevumu pāreju netiek ierobežoti, kā arī nerada jaunu administratīvo, finanšu vai konkurences slogu.</w:t>
            </w:r>
          </w:p>
          <w:p w14:paraId="2262E2A3" w14:textId="77777777" w:rsidR="00040285" w:rsidRDefault="00040285" w:rsidP="00040285"/>
          <w:p w14:paraId="469D5D02" w14:textId="77777777" w:rsidR="00040285" w:rsidRDefault="00040285" w:rsidP="00040285">
            <w:r w:rsidRPr="00BE63DC">
              <w:t>Tiesiskās paļāvības princips nozīmē, ka persona var paļauties uz to, ka tiesības un likumiskās intereses, kuras tā ir ieguvusi, tai vēlāk netiks atņemtas. Šā principa pamatā ir personas paļaušanās uz valsts tiesisku un konsekventu rīcību (</w:t>
            </w:r>
            <w:r w:rsidRPr="00BE63DC">
              <w:rPr>
                <w:i/>
              </w:rPr>
              <w:t>Satversmes tiesas 2012.gada 25.janvāra sprieduma lietā Nr. 2011-08-01 10.punkts</w:t>
            </w:r>
            <w:r w:rsidRPr="00BE63DC">
              <w:t>). Tā galvenais uzdevums ir aizsargāt personas tiesības gadījumos, kad normatīvā regulējuma grozījumu rezultātā notiek vai ir iespējama privātpersonu tiesiskā stāvokļa pasliktināšanās (</w:t>
            </w:r>
            <w:r w:rsidRPr="00BE63DC">
              <w:rPr>
                <w:i/>
              </w:rPr>
              <w:t>Satversmes tiesas 2006.gada 8.novembra sprieduma lietā Nr. 2006-04-01 21.punkts</w:t>
            </w:r>
            <w:r w:rsidRPr="00BE63DC">
              <w:t>). Taču tiesiskās paļāvības princips neizslēdz valsts iespēju grozīt pastāvošo tiesisko regulējumu (</w:t>
            </w:r>
            <w:r w:rsidRPr="00BE63DC">
              <w:rPr>
                <w:i/>
              </w:rPr>
              <w:t>Satversmes tiesas 2010.gada 1.decembra sprieduma lietā Nr. 2010-21-01 19.punkts</w:t>
            </w:r>
            <w:r w:rsidRPr="00BE63DC">
              <w:t>). Tiesiskās paļāvības princips tostarp noteic arī to, ka personas reiz iegūtās tiesības nevar pastāvēt neierobežoti ilgi, proti, šis princips nedod pamatu ticēt, ka reiz noteiktā tiesiskā situācija nekad nemainīsies (</w:t>
            </w:r>
            <w:r w:rsidRPr="00BE63DC">
              <w:rPr>
                <w:i/>
              </w:rPr>
              <w:t>Satversmes tiesas 2004.gada 25.oktobra sprieduma lietā Nr. 2004-03-01 9.3.punkts</w:t>
            </w:r>
            <w:r w:rsidRPr="00BE63DC">
              <w:t>).</w:t>
            </w:r>
          </w:p>
          <w:p w14:paraId="1E05EEBE" w14:textId="77777777" w:rsidR="00040285" w:rsidRDefault="00040285" w:rsidP="00040285">
            <w:r>
              <w:t xml:space="preserve">Apvienojot regulējošā ietvara izstrādi, uzraudzību un patērētāju tiesību aizsardzību vienā institūcijā, tiek panākta lielāka saskaņotība un koordinācija. Tas ir īpaši būtiski situācijās, </w:t>
            </w:r>
            <w:r>
              <w:lastRenderedPageBreak/>
              <w:t>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14:paraId="64A4C0C5" w14:textId="77777777" w:rsidR="00040285" w:rsidRDefault="00040285" w:rsidP="00040285">
            <w: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 </w:t>
            </w:r>
          </w:p>
          <w:p w14:paraId="1F8425ED" w14:textId="77777777" w:rsidR="00040285" w:rsidRDefault="00040285" w:rsidP="00040285"/>
          <w:p w14:paraId="2BAFBF34" w14:textId="77777777" w:rsidR="00040285" w:rsidRDefault="00040285" w:rsidP="00040285">
            <w:r>
              <w:t xml:space="preserve">Attiecībā uz labas likumdošanas principu norādāms, ka Satversmes tiesa ir atzinusi to, ka tas, ka </w:t>
            </w:r>
            <w:r w:rsidRPr="00CF1F0A">
              <w:t>likumdevējs nav ņēmis vērā visus paustos iebildumus un sniegtos priekšlikumus, nevar būt par pamatu tam, lai atzītu, ka labas likumdošanas princips nav ievērots (</w:t>
            </w:r>
            <w:r w:rsidRPr="00CF1F0A">
              <w:rPr>
                <w:i/>
                <w:iCs/>
              </w:rPr>
              <w:t>sk., piemēram, Satversmes tiesas 2015. gada 25. marta sprieduma lietā Nr. 2014-11-0103 18.1. punktu</w:t>
            </w:r>
            <w:r>
              <w:rPr>
                <w:i/>
                <w:iCs/>
              </w:rPr>
              <w:t>;</w:t>
            </w:r>
            <w:r w:rsidRPr="00391BD4">
              <w:rPr>
                <w:i/>
                <w:iCs/>
              </w:rPr>
              <w:t xml:space="preserve"> </w:t>
            </w:r>
            <w:r>
              <w:rPr>
                <w:i/>
                <w:iCs/>
              </w:rPr>
              <w:t xml:space="preserve">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 xml:space="preserve">). </w:t>
            </w:r>
            <w:r>
              <w:t xml:space="preserve">Tāpat </w:t>
            </w:r>
            <w:r w:rsidRPr="00CF1F0A">
              <w:t xml:space="preserve">Satversmes tiesa </w:t>
            </w:r>
            <w:r>
              <w:t xml:space="preserve">ir </w:t>
            </w:r>
            <w:r w:rsidRPr="00CF1F0A">
              <w:t>uzsv</w:t>
            </w:r>
            <w:r>
              <w:t>ērusi</w:t>
            </w:r>
            <w:r w:rsidRPr="00CF1F0A">
              <w:t xml:space="preserve">, ka labas likumdošanas princips negarantē konkrētu vienai personai vai personu grupai vēlamu rezultātu, tomēr tā ievērošana ikvienam dod pārliecību par to, ka attiecīgais jautājums ir demokrātiski </w:t>
            </w:r>
            <w:r w:rsidRPr="00CF1F0A">
              <w:lastRenderedPageBreak/>
              <w:t xml:space="preserve">apspriests, proti, dažādi viedokļi ir pausti un analizēti, un ka dažādu tiesību un likumīgo interešu sadursmes gadījumā labākais iespējamais līdzsvars ir meklēts, </w:t>
            </w:r>
            <w:r w:rsidRPr="009115A7">
              <w:rPr>
                <w:color w:val="auto"/>
              </w:rPr>
              <w:t>ievērojot </w:t>
            </w:r>
            <w:hyperlink r:id="rId7" w:tgtFrame="_blank" w:history="1">
              <w:r w:rsidRPr="009115A7">
                <w:rPr>
                  <w:rStyle w:val="Hyperlink"/>
                  <w:color w:val="auto"/>
                  <w:u w:val="none"/>
                </w:rPr>
                <w:t>Satversmē</w:t>
              </w:r>
            </w:hyperlink>
            <w:r w:rsidRPr="00CF1F0A">
              <w:t> ietvertās vērtības un vispārējos tiesību principus (</w:t>
            </w:r>
            <w:r w:rsidRPr="00CF1F0A">
              <w:rPr>
                <w:i/>
                <w:iCs/>
              </w:rPr>
              <w:t>sal. sk. Satversmes tiesas 2019. gada 23. aprīļa sprieduma lietā Nr. 2018-12-01 24.1. punktu</w:t>
            </w:r>
            <w:r>
              <w:rPr>
                <w:i/>
                <w:iCs/>
              </w:rPr>
              <w:t xml:space="preserve">; 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w:t>
            </w:r>
            <w:r>
              <w:t xml:space="preserve"> </w:t>
            </w:r>
          </w:p>
          <w:p w14:paraId="1046FA05" w14:textId="77777777" w:rsidR="00040285" w:rsidRDefault="00040285" w:rsidP="00040285">
            <w:r>
              <w:t xml:space="preserve">Ņemot vērā līdzšinējo finanšu sektora asociāciju aktīvo iesaisti gan  Informatīvā ziņojuma izstrādē, gan arī sniedzot atzinumus par likumprojektu </w:t>
            </w:r>
            <w:proofErr w:type="spellStart"/>
            <w:r>
              <w:t>pakotni</w:t>
            </w:r>
            <w:proofErr w:type="spellEnd"/>
            <w:r>
              <w:t xml:space="preserve">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14:paraId="0DF25A47" w14:textId="77777777" w:rsidR="00040285" w:rsidRDefault="00040285" w:rsidP="00040285"/>
          <w:p w14:paraId="257DFBB5" w14:textId="77777777" w:rsidR="00040285" w:rsidRDefault="00040285" w:rsidP="00040285">
            <w:r>
              <w:t xml:space="preserve">Tāpēc vēlreiz uzsverams, ka jau </w:t>
            </w:r>
            <w:r w:rsidRPr="005B6105">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w:t>
            </w:r>
            <w:r>
              <w:t>Savukārt a</w:t>
            </w:r>
            <w:r w:rsidRPr="005B6105">
              <w:t xml:space="preserve">r </w:t>
            </w:r>
            <w:r>
              <w:t xml:space="preserve">13 </w:t>
            </w:r>
            <w:r w:rsidRPr="005B6105">
              <w:t>likumprojektu</w:t>
            </w:r>
            <w:r>
              <w:t xml:space="preserve"> </w:t>
            </w:r>
            <w:proofErr w:type="spellStart"/>
            <w:r>
              <w:t>pakotni</w:t>
            </w:r>
            <w:proofErr w:type="spellEnd"/>
            <w:r>
              <w:t xml:space="preserve"> </w:t>
            </w:r>
            <w:r w:rsidRPr="005B6105">
              <w:t xml:space="preserve"> tiek mainīta patērētāju kreditētāju licencēšanas un uzraudzības kompetentā iestāde, kā arī kompetentā iestāde patērētāju tiesību un interešu aizsardzībai finanšu </w:t>
            </w:r>
            <w:r w:rsidRPr="005B6105">
              <w:lastRenderedPageBreak/>
              <w:t>sektorā, vienlaikus saglabājot esošās licencēšanas un uzraudzības prasības. Likumprojekts un tā pavadošie grozījumi nesatur papildu uzraudzības prasības patērētāju kreditētājiem</w:t>
            </w:r>
            <w:r>
              <w:t>.</w:t>
            </w:r>
          </w:p>
          <w:p w14:paraId="3B20F9FB" w14:textId="77777777" w:rsidR="00907E7D" w:rsidRDefault="00907E7D" w:rsidP="00040285"/>
          <w:p w14:paraId="0395DD33" w14:textId="77777777" w:rsidR="00907E7D" w:rsidRDefault="00907E7D" w:rsidP="00907E7D">
            <w:pPr>
              <w:rPr>
                <w:b/>
                <w:bCs/>
              </w:rPr>
            </w:pPr>
            <w:r>
              <w:rPr>
                <w:b/>
                <w:bCs/>
              </w:rPr>
              <w:t xml:space="preserve">II </w:t>
            </w:r>
            <w:r w:rsidRPr="00E60C2D">
              <w:rPr>
                <w:b/>
                <w:bCs/>
              </w:rPr>
              <w:t>Par pamatkapitāla prasību saglabāšanas nepieciešamību</w:t>
            </w:r>
          </w:p>
          <w:p w14:paraId="7DBF2DB0" w14:textId="77777777" w:rsidR="00C97B18" w:rsidRDefault="00C97B18" w:rsidP="00907E7D">
            <w:pPr>
              <w:rPr>
                <w:b/>
                <w:bCs/>
              </w:rPr>
            </w:pPr>
          </w:p>
          <w:p w14:paraId="021F3DE3" w14:textId="20C40CEC" w:rsidR="00907E7D" w:rsidRDefault="00FA57B7" w:rsidP="00040285">
            <w:r w:rsidRPr="00FA57B7">
              <w:t>Ar likumprojektu un ar to saistītajiem 12 likumprojektiem nav plānots pārskatīt pamatkapitāla prasības. Pamatkapitāla prasības ir noteiktas Patērētāju tiesību aizsardzības likuma 8.panta 1.</w:t>
            </w:r>
            <w:r w:rsidRPr="00FA57B7">
              <w:rPr>
                <w:vertAlign w:val="superscript"/>
              </w:rPr>
              <w:t>1 </w:t>
            </w:r>
            <w:r w:rsidRPr="00FA57B7">
              <w:t>ievaddaļā, un šī norma šī projekta ietvaros netiek grozīta. Pamatkapitāla prasības jau izriet no citu Latvijas Bankas uzraugāmo finanšu pakalpojumu sniedzēju darbību regulējošajiem normatīvajiem aktiem. Līdz ar to ir pamatoti uz tiem neattiecināt PTAL noteiktās pamatkapitāla prasības.</w:t>
            </w:r>
          </w:p>
          <w:p w14:paraId="4573D54B" w14:textId="77777777" w:rsidR="00FA57B7" w:rsidRDefault="00FA57B7" w:rsidP="00040285"/>
          <w:p w14:paraId="34DA53E0" w14:textId="4535C661" w:rsidR="00C97B18" w:rsidRDefault="00C97B18" w:rsidP="00C97B18">
            <w:pPr>
              <w:rPr>
                <w:b/>
                <w:bCs/>
              </w:rPr>
            </w:pPr>
            <w:r w:rsidRPr="00C97B18">
              <w:rPr>
                <w:b/>
                <w:bCs/>
              </w:rPr>
              <w:t xml:space="preserve">III Par uzraudzības maksām </w:t>
            </w:r>
          </w:p>
          <w:p w14:paraId="4643FEA8" w14:textId="77777777" w:rsidR="00C97B18" w:rsidRPr="00C97B18" w:rsidRDefault="00C97B18" w:rsidP="00C97B18">
            <w:pPr>
              <w:rPr>
                <w:b/>
                <w:bCs/>
              </w:rPr>
            </w:pPr>
          </w:p>
          <w:p w14:paraId="36D09B48" w14:textId="77777777" w:rsidR="00C97B18" w:rsidRPr="00651AA8" w:rsidRDefault="00C97B18" w:rsidP="00C97B18">
            <w:r w:rsidRPr="00651AA8">
              <w:t xml:space="preserve">Precizēts pārejas regulējums likumprojektā, nosakot uz 3 gadiem pārejas periodu, kurā kopējais uzraudzības maksājums Latvijas Bankai nepārsniedz 55 000 </w:t>
            </w:r>
            <w:r w:rsidRPr="00651AA8">
              <w:rPr>
                <w:i/>
                <w:iCs/>
              </w:rPr>
              <w:t>euro</w:t>
            </w:r>
            <w:r w:rsidRPr="00651AA8">
              <w:t xml:space="preserve"> gadā.</w:t>
            </w:r>
          </w:p>
          <w:p w14:paraId="7BE1EA00" w14:textId="77777777" w:rsidR="00C97B18" w:rsidRPr="00651AA8" w:rsidRDefault="00C97B18" w:rsidP="00C97B18"/>
          <w:p w14:paraId="24DB01D4" w14:textId="77777777" w:rsidR="00C97B18" w:rsidRPr="00651AA8" w:rsidRDefault="00C97B18" w:rsidP="00C97B18">
            <w:pPr>
              <w:rPr>
                <w:color w:val="auto"/>
              </w:rPr>
            </w:pPr>
            <w:r w:rsidRPr="00651AA8">
              <w:rPr>
                <w:color w:val="auto"/>
              </w:rPr>
              <w:t xml:space="preserve">Vienlaikus skaidrojams, kā jau ir norādīts likumprojekta anotācijā, Latvijas Bankas papildu tiešās izmaksas funkcijas nodrošināšanai maksimālā apmērā sasniegtu 352 800 </w:t>
            </w:r>
            <w:r w:rsidRPr="00651AA8">
              <w:rPr>
                <w:i/>
                <w:iCs/>
                <w:color w:val="auto"/>
              </w:rPr>
              <w:t>euro</w:t>
            </w:r>
            <w:r w:rsidRPr="00651AA8">
              <w:rPr>
                <w:color w:val="auto"/>
              </w:rPr>
              <w:t xml:space="preserve"> ik </w:t>
            </w:r>
            <w:r w:rsidRPr="00651AA8">
              <w:rPr>
                <w:color w:val="auto"/>
              </w:rPr>
              <w:lastRenderedPageBreak/>
              <w:t xml:space="preserve">gadu, paredzot, ka šo funkciju Latvijas Bankā īstenotu seši darbinieki kā jomas eksperti, kuriem atalgojuma izdevumi būtu vidēji 55 800 </w:t>
            </w:r>
            <w:r w:rsidRPr="00651AA8">
              <w:rPr>
                <w:i/>
                <w:iCs/>
                <w:color w:val="auto"/>
              </w:rPr>
              <w:t>euro</w:t>
            </w:r>
            <w:r w:rsidRPr="00651AA8">
              <w:rPr>
                <w:color w:val="auto"/>
              </w:rPr>
              <w:t xml:space="preserve">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 </w:t>
            </w:r>
          </w:p>
          <w:p w14:paraId="00E1F75D" w14:textId="77777777" w:rsidR="00C97B18" w:rsidRPr="00651AA8" w:rsidRDefault="00C97B18" w:rsidP="00C97B18">
            <w:pPr>
              <w:rPr>
                <w:color w:val="auto"/>
              </w:rPr>
            </w:pPr>
            <w:r w:rsidRPr="00651AA8">
              <w:rPr>
                <w:color w:val="auto"/>
              </w:rPr>
              <w:t>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14:paraId="77DB59FD" w14:textId="77777777" w:rsidR="00C97B18" w:rsidRPr="00651AA8" w:rsidRDefault="00C97B18" w:rsidP="00C97B18">
            <w:pPr>
              <w:rPr>
                <w:color w:val="auto"/>
              </w:rPr>
            </w:pPr>
            <w:r w:rsidRPr="00651AA8">
              <w:rPr>
                <w:color w:val="auto"/>
              </w:rPr>
              <w:t xml:space="preserve">Ņemot vērā iepriekš minēto, Latvijas Banka aprēķināja, ka maksimālā no nozares iekasējamā un izdevumu segšanai nepieciešamā summa gadā varētu sasniegt 88 0000 </w:t>
            </w:r>
            <w:r w:rsidRPr="00651AA8">
              <w:rPr>
                <w:i/>
                <w:iCs/>
                <w:color w:val="auto"/>
              </w:rPr>
              <w:t>euro</w:t>
            </w:r>
            <w:r w:rsidRPr="00651AA8">
              <w:rPr>
                <w:color w:val="auto"/>
              </w:rPr>
              <w:t xml:space="preserve"> pretstatā 2 991 250 </w:t>
            </w:r>
            <w:r w:rsidRPr="00651AA8">
              <w:rPr>
                <w:i/>
                <w:iCs/>
                <w:color w:val="auto"/>
              </w:rPr>
              <w:t>euro</w:t>
            </w:r>
            <w:r w:rsidRPr="00651AA8">
              <w:rPr>
                <w:color w:val="auto"/>
              </w:rPr>
              <w:t xml:space="preserve">, ko saskaņā ar EM aprēķiniem 2025. gadā samaksāja patērētāju kreditēšanas nozares sabiedrības. Tas atspoguļots likumprojekta anotācijas  2.1. punktā, kur norādīts, ka ikgadējā uzraudzības maksa katram </w:t>
            </w:r>
            <w:r w:rsidRPr="00651AA8">
              <w:rPr>
                <w:color w:val="auto"/>
              </w:rPr>
              <w:lastRenderedPageBreak/>
              <w:t xml:space="preserve">patērētāju kreditētājam samazinās vidēji par 32 435, 9 eiro (mīnus 59%) jeb sasniedz 22 564,1 </w:t>
            </w:r>
            <w:r w:rsidRPr="00651AA8">
              <w:rPr>
                <w:i/>
                <w:iCs/>
                <w:color w:val="auto"/>
              </w:rPr>
              <w:t>euro</w:t>
            </w:r>
            <w:r w:rsidRPr="00651AA8">
              <w:rPr>
                <w:color w:val="auto"/>
              </w:rPr>
              <w:t xml:space="preserve"> pretstatā spēkā esošajai ikgadējai nodevai 55 000 </w:t>
            </w:r>
            <w:r w:rsidRPr="00651AA8">
              <w:rPr>
                <w:i/>
                <w:iCs/>
                <w:color w:val="auto"/>
              </w:rPr>
              <w:t>euro</w:t>
            </w:r>
            <w:r w:rsidRPr="00651AA8">
              <w:rPr>
                <w:color w:val="auto"/>
              </w:rPr>
              <w:t>.</w:t>
            </w:r>
          </w:p>
          <w:p w14:paraId="35182963" w14:textId="77777777" w:rsidR="00C97B18" w:rsidRPr="00651AA8" w:rsidRDefault="00C97B18" w:rsidP="00C97B18">
            <w:pPr>
              <w:rPr>
                <w:color w:val="auto"/>
              </w:rPr>
            </w:pPr>
            <w:r w:rsidRPr="00651AA8">
              <w:rPr>
                <w:color w:val="auto"/>
              </w:rPr>
              <w:t>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14:paraId="11CA1887" w14:textId="77777777" w:rsidR="00470F6D" w:rsidRDefault="00C97B18" w:rsidP="00C97B18">
            <w:pPr>
              <w:rPr>
                <w:color w:val="auto"/>
              </w:rPr>
            </w:pPr>
            <w:r w:rsidRPr="00651AA8">
              <w:rPr>
                <w:color w:val="auto"/>
              </w:rPr>
              <w:t>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14:paraId="697BC534" w14:textId="77777777" w:rsidR="00F4502F" w:rsidRDefault="00F4502F" w:rsidP="00C97B18">
            <w:pPr>
              <w:rPr>
                <w:color w:val="auto"/>
              </w:rPr>
            </w:pPr>
          </w:p>
          <w:p w14:paraId="6626666F" w14:textId="4B4A7CF4" w:rsidR="00F4502F" w:rsidRDefault="000C36C5" w:rsidP="00F4502F">
            <w:pPr>
              <w:rPr>
                <w:b/>
                <w:bCs/>
              </w:rPr>
            </w:pPr>
            <w:r>
              <w:rPr>
                <w:b/>
                <w:bCs/>
              </w:rPr>
              <w:t>IV</w:t>
            </w:r>
            <w:r w:rsidR="00F4502F" w:rsidRPr="00C97B18">
              <w:rPr>
                <w:b/>
                <w:bCs/>
              </w:rPr>
              <w:t xml:space="preserve"> Par </w:t>
            </w:r>
            <w:r w:rsidR="00F4502F">
              <w:rPr>
                <w:b/>
                <w:bCs/>
              </w:rPr>
              <w:t>sankcijām</w:t>
            </w:r>
          </w:p>
          <w:p w14:paraId="6FC12C1A" w14:textId="77777777" w:rsidR="00F4502F" w:rsidRDefault="00F4502F" w:rsidP="00C97B18">
            <w:pPr>
              <w:rPr>
                <w:color w:val="auto"/>
              </w:rPr>
            </w:pPr>
          </w:p>
          <w:p w14:paraId="60C5DBA7" w14:textId="77777777" w:rsidR="00F4502F" w:rsidRPr="00F4502F" w:rsidRDefault="00F4502F" w:rsidP="00F4502F">
            <w:r w:rsidRPr="00F4502F">
              <w:rPr>
                <w:szCs w:val="24"/>
              </w:rPr>
              <w:t xml:space="preserve">Sodi, kas tiek piemēroti saskaņā ar Negodīgas komercprakses likumu, arī turpmāk tiks </w:t>
            </w:r>
            <w:r w:rsidRPr="00F4502F">
              <w:rPr>
                <w:szCs w:val="24"/>
              </w:rPr>
              <w:lastRenderedPageBreak/>
              <w:t xml:space="preserve">piemēroti saskaņā ar minēto likumu, to neietekmē ar likumprojektu grozījumi Patērētāju tiesību aizsardzības likumā. </w:t>
            </w:r>
          </w:p>
          <w:p w14:paraId="21887966" w14:textId="77777777" w:rsidR="00F4502F" w:rsidRPr="00F4502F" w:rsidRDefault="00F4502F" w:rsidP="00F4502F">
            <w:r w:rsidRPr="00F4502F">
              <w:t>Likumprojektā paredzētais jaunais pants paredz atbildību tikai par Patērētāju tiesību aizsardzības likuma, nevis citu likumu prasību pārkāpumiem, un paredz Latvijas Bankas kompetenci atbildības piemērošanā.</w:t>
            </w:r>
          </w:p>
          <w:p w14:paraId="0BA60ED5" w14:textId="77777777" w:rsidR="00F4502F" w:rsidRDefault="00F4502F" w:rsidP="00F4502F">
            <w:pPr>
              <w:rPr>
                <w:szCs w:val="24"/>
              </w:rPr>
            </w:pPr>
            <w:r w:rsidRPr="00F4502F">
              <w:rPr>
                <w:szCs w:val="24"/>
              </w:rPr>
              <w:t>Piedāvātie grozījumi Patērētāju tiesību aizsardzības likumā neparedz jaunu patērētāju tiesību pārkāpumu vai sankciju sistēmas ieviešanu. Tie nodrošina esošā regulējuma nepārtrauktību, pārceļot līdzšinējo atbildības piemērošanas kārtību uz Administratīvā procesa likuma ietvaru, vienlaikus ņemot vērā Latvijas Bankas institucionālo lomu finanšu pakalpojumu jomā. Līdz šim tie paši patērētāju tiesību pārkāpumi – tostarp maksas par pakalpojumu nepareiza noteikšana, informācijas sniegšanas pienākuma neievērošana, kreditēšanas nosacījumu pārkāpšana vai pakalpojumu sniegšana bez licences – bija tieši noteikti Patērētāju tiesību aizsardzības likuma 37. pantā un piemērojami administratīvā pārkāpuma procesa kārtībā. Arī turpmāk tie paši pārkāpumi saglabājas nemainīgi pēc būtības – tiek mainīta vienīgi procedūra, kādā tiek piemērota atbildība.</w:t>
            </w:r>
          </w:p>
          <w:p w14:paraId="5F5A62AD" w14:textId="77777777" w:rsidR="00DF146D" w:rsidRDefault="00DF146D" w:rsidP="00F4502F">
            <w:pPr>
              <w:rPr>
                <w:szCs w:val="24"/>
              </w:rPr>
            </w:pPr>
          </w:p>
          <w:p w14:paraId="4BC7AC09" w14:textId="701866E3" w:rsidR="00DF146D" w:rsidRPr="004351B8" w:rsidRDefault="000C36C5" w:rsidP="00F4502F">
            <w:pPr>
              <w:rPr>
                <w:b/>
                <w:bCs/>
                <w:szCs w:val="24"/>
              </w:rPr>
            </w:pPr>
            <w:r>
              <w:rPr>
                <w:b/>
                <w:bCs/>
                <w:szCs w:val="24"/>
              </w:rPr>
              <w:t>V</w:t>
            </w:r>
            <w:r w:rsidR="004351B8" w:rsidRPr="004351B8">
              <w:rPr>
                <w:b/>
                <w:bCs/>
                <w:szCs w:val="24"/>
              </w:rPr>
              <w:t xml:space="preserve"> Par ārpustiesas parādu piedziņu</w:t>
            </w:r>
          </w:p>
          <w:p w14:paraId="488AB6F9" w14:textId="77777777" w:rsidR="00DF146D" w:rsidRDefault="00DF146D" w:rsidP="00F4502F">
            <w:pPr>
              <w:rPr>
                <w:szCs w:val="24"/>
              </w:rPr>
            </w:pPr>
          </w:p>
          <w:p w14:paraId="3A6E305C" w14:textId="77777777" w:rsidR="00DF146D" w:rsidRDefault="00DF146D" w:rsidP="00DF146D">
            <w:r w:rsidRPr="003518F4">
              <w:t xml:space="preserve">Ārpustiesas parādu piedziņa pēc savas būtības nav finanšu starpniecība un nerada sistēmiskus </w:t>
            </w:r>
            <w:r w:rsidRPr="003518F4">
              <w:lastRenderedPageBreak/>
              <w:t>finanšu riskus, bet galvenokārt skar patērētāju tiesību, komunikācijas un civiltiesisko</w:t>
            </w:r>
          </w:p>
          <w:p w14:paraId="304217C2" w14:textId="77777777" w:rsidR="00DF146D" w:rsidRDefault="00DF146D" w:rsidP="00DF146D">
            <w:r w:rsidRPr="003518F4">
              <w:t xml:space="preserve"> attiecību jomu.</w:t>
            </w:r>
            <w:r>
              <w:t xml:space="preserve"> </w:t>
            </w:r>
          </w:p>
          <w:p w14:paraId="72963B40" w14:textId="77777777" w:rsidR="00DF146D" w:rsidRDefault="00DF146D" w:rsidP="00DF146D">
            <w:r w:rsidRPr="00F75A07">
              <w:t>Ārpustiesas parādu piedziņa pēc savas būtības nav finanšu pakalpojums, bet</w:t>
            </w:r>
            <w:r>
              <w:t xml:space="preserve"> </w:t>
            </w:r>
            <w:r w:rsidRPr="00F75A07">
              <w:t>juridiski-organizatoriska darbība kreditora interesēs,</w:t>
            </w:r>
            <w:r>
              <w:t xml:space="preserve"> </w:t>
            </w:r>
            <w:r w:rsidRPr="00F75A07">
              <w:t xml:space="preserve">civilprocesa </w:t>
            </w:r>
            <w:proofErr w:type="spellStart"/>
            <w:r w:rsidRPr="00F75A07">
              <w:t>priekšstadija</w:t>
            </w:r>
            <w:proofErr w:type="spellEnd"/>
            <w:r w:rsidRPr="00F75A07">
              <w:t>, nevis finanšu tirgus darbība,</w:t>
            </w:r>
            <w:r>
              <w:t xml:space="preserve"> un šī pakalpojuma ietvaros netiek veikta noguldījumu piesaiste, kredītu izsniegšana, līdzekļu investēšana, kā arī riska uzņemšanās pret savu kapitālu. </w:t>
            </w:r>
          </w:p>
          <w:p w14:paraId="086BF4EC" w14:textId="77777777" w:rsidR="00DF146D" w:rsidRDefault="00DF146D" w:rsidP="00DF146D">
            <w:r w:rsidRPr="003518F4">
              <w:t>Tādēļ tās pakļaušana finanšu sektora uzraugam būtu institucionāli nesamērīga, neatbilstoša uzrauga kodola kompetencei un potenciāli grautu tiesisko skaidrību, radot pārklāšanos ar civiltiesisko un patērētāju aizsardzības regulējumu.</w:t>
            </w:r>
          </w:p>
          <w:p w14:paraId="706DAC0C" w14:textId="77777777" w:rsidR="00DF146D" w:rsidRDefault="00DF146D" w:rsidP="00F4502F"/>
          <w:p w14:paraId="2A900169" w14:textId="733015A9" w:rsidR="00A72C48" w:rsidRPr="00A72C48" w:rsidRDefault="00A72C48" w:rsidP="00F4502F">
            <w:pPr>
              <w:rPr>
                <w:b/>
                <w:bCs/>
              </w:rPr>
            </w:pPr>
            <w:r w:rsidRPr="00A72C48">
              <w:rPr>
                <w:b/>
                <w:bCs/>
              </w:rPr>
              <w:t>V</w:t>
            </w:r>
            <w:r w:rsidR="000C36C5">
              <w:rPr>
                <w:b/>
                <w:bCs/>
              </w:rPr>
              <w:t>I</w:t>
            </w:r>
            <w:r w:rsidRPr="00A72C48">
              <w:rPr>
                <w:b/>
                <w:bCs/>
              </w:rPr>
              <w:t xml:space="preserve"> Par deleģējumu</w:t>
            </w:r>
          </w:p>
          <w:p w14:paraId="528608E2" w14:textId="77777777" w:rsidR="00A72C48" w:rsidRDefault="00A72C48" w:rsidP="00F4502F"/>
          <w:p w14:paraId="43F3DFB5" w14:textId="77777777" w:rsidR="00F4502F" w:rsidRDefault="00A72C48" w:rsidP="00C97B18">
            <w:r>
              <w:t xml:space="preserve">Latvijas Banka neplāno jaunu prasību ieviešanu tirgus dalībniekiem. Norādāms, ka Latvijas tiesību sistēmā ietvertā kārtība paredz, ka likumi ir vispārēji tiesību akti kas nosaka vispārējas tiesības un pienākumus, tiem nav instrukcijas rakstura, savukārt detalizētu jomas regulējumu ietver Ministru kabineta noteikumi un citi līdzīga rakstura tiesību akti. </w:t>
            </w:r>
            <w:r w:rsidR="00FD6FC5" w:rsidRPr="00FD6FC5">
              <w:t xml:space="preserve">Latvijas Bankai ir tiesības izdot ārējos normatīvos aktus finanšu tirgus dalībniekiem, un šo pilnvaru paplašināšana uz patērētāju aizsardzību finanšu jomā ir loģiska, lai </w:t>
            </w:r>
            <w:r w:rsidR="00FD6FC5" w:rsidRPr="00FD6FC5">
              <w:lastRenderedPageBreak/>
              <w:t>nodrošinātu konsekventu, vienoti piemērojamu regulējumu, nevis fragmentētu sistēmu.</w:t>
            </w:r>
          </w:p>
          <w:p w14:paraId="2FAABA28" w14:textId="77777777" w:rsidR="000C36C5" w:rsidRDefault="000C36C5" w:rsidP="00C97B18"/>
          <w:p w14:paraId="43B46D38" w14:textId="78FADB7A" w:rsidR="000C36C5" w:rsidRPr="00AB49A6" w:rsidRDefault="00AB49A6" w:rsidP="000C36C5">
            <w:pPr>
              <w:rPr>
                <w:b/>
                <w:bCs/>
              </w:rPr>
            </w:pPr>
            <w:r w:rsidRPr="00AB49A6">
              <w:rPr>
                <w:b/>
                <w:bCs/>
              </w:rPr>
              <w:t>VII Par t</w:t>
            </w:r>
            <w:r w:rsidR="000C36C5" w:rsidRPr="00AB49A6">
              <w:rPr>
                <w:b/>
                <w:bCs/>
              </w:rPr>
              <w:t>iesisk</w:t>
            </w:r>
            <w:r w:rsidRPr="00AB49A6">
              <w:rPr>
                <w:b/>
                <w:bCs/>
              </w:rPr>
              <w:t>o</w:t>
            </w:r>
            <w:r w:rsidR="000C36C5" w:rsidRPr="00AB49A6">
              <w:rPr>
                <w:b/>
                <w:bCs/>
              </w:rPr>
              <w:t xml:space="preserve"> pēctecīb</w:t>
            </w:r>
            <w:r w:rsidRPr="00AB49A6">
              <w:rPr>
                <w:b/>
                <w:bCs/>
              </w:rPr>
              <w:t>u</w:t>
            </w:r>
            <w:r w:rsidR="000C36C5" w:rsidRPr="00AB49A6">
              <w:rPr>
                <w:b/>
                <w:bCs/>
              </w:rPr>
              <w:t xml:space="preserve"> pārejas periodā </w:t>
            </w:r>
          </w:p>
          <w:p w14:paraId="2CA585F4" w14:textId="77777777" w:rsidR="00AB49A6" w:rsidRPr="0050041F" w:rsidRDefault="00AB49A6" w:rsidP="000C36C5">
            <w:pPr>
              <w:rPr>
                <w:i/>
                <w:iCs/>
              </w:rPr>
            </w:pPr>
          </w:p>
          <w:p w14:paraId="251879D7" w14:textId="240BED8A" w:rsidR="000C36C5" w:rsidRDefault="000C36C5" w:rsidP="00C97B18">
            <w:r>
              <w:t>Pārejas regulējumā ir noteikts, ka t</w:t>
            </w:r>
            <w:r w:rsidRPr="00B86603">
              <w: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r>
              <w:t xml:space="preserve"> Tāpat </w:t>
            </w:r>
            <w:r w:rsidRPr="00B86603">
              <w:t>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r>
              <w:t>, līdz ar to Patērētāju tiesību aizsardzības centra atbildība par uzsāktajiem procesiem saglabājas</w:t>
            </w:r>
            <w:r w:rsidRPr="00B86603">
              <w:t>.</w:t>
            </w:r>
          </w:p>
        </w:tc>
        <w:tc>
          <w:tcPr>
            <w:tcW w:w="2949" w:type="dxa"/>
            <w:shd w:val="clear" w:color="auto" w:fill="FFFFFF"/>
            <w:noWrap/>
            <w:tcMar>
              <w:top w:w="75" w:type="dxa"/>
              <w:left w:w="75" w:type="dxa"/>
              <w:bottom w:w="75" w:type="dxa"/>
              <w:right w:w="75" w:type="dxa"/>
            </w:tcMar>
          </w:tcPr>
          <w:p w14:paraId="3706FB68" w14:textId="77777777" w:rsidR="00470F6D" w:rsidRDefault="00470F6D" w:rsidP="00360B15">
            <w:pPr>
              <w:spacing w:after="240"/>
              <w:rPr>
                <w:b/>
              </w:rPr>
            </w:pPr>
            <w:r>
              <w:rPr>
                <w:b/>
              </w:rPr>
              <w:lastRenderedPageBreak/>
              <w:t>Likumprojekts (grozījumi)</w:t>
            </w:r>
          </w:p>
          <w:p w14:paraId="21E79781" w14:textId="77777777" w:rsidR="00470F6D" w:rsidRDefault="00470F6D" w:rsidP="00360B15">
            <w:r>
              <w:t xml:space="preserve"> Grozījumi Patērētāju tiesību aizsardzības likumā</w:t>
            </w:r>
          </w:p>
        </w:tc>
      </w:tr>
      <w:tr w:rsidR="00434067" w14:paraId="49EAC4A1" w14:textId="77777777" w:rsidTr="00360B15">
        <w:tc>
          <w:tcPr>
            <w:tcW w:w="710" w:type="dxa"/>
            <w:shd w:val="clear" w:color="auto" w:fill="FFFFFF"/>
            <w:noWrap/>
            <w:tcMar>
              <w:top w:w="75" w:type="dxa"/>
              <w:left w:w="75" w:type="dxa"/>
              <w:bottom w:w="75" w:type="dxa"/>
              <w:right w:w="75" w:type="dxa"/>
            </w:tcMar>
          </w:tcPr>
          <w:p w14:paraId="0F0B2BD4" w14:textId="5B0CC11E" w:rsidR="00434067" w:rsidRDefault="00434067" w:rsidP="00360B15">
            <w:r>
              <w:lastRenderedPageBreak/>
              <w:t>2</w:t>
            </w:r>
            <w:r w:rsidR="00040285">
              <w:t>.</w:t>
            </w:r>
          </w:p>
        </w:tc>
        <w:tc>
          <w:tcPr>
            <w:tcW w:w="1842" w:type="dxa"/>
            <w:shd w:val="clear" w:color="auto" w:fill="FFFFFF"/>
            <w:noWrap/>
            <w:tcMar>
              <w:top w:w="75" w:type="dxa"/>
              <w:left w:w="75" w:type="dxa"/>
              <w:bottom w:w="75" w:type="dxa"/>
              <w:right w:w="75" w:type="dxa"/>
            </w:tcMar>
          </w:tcPr>
          <w:p w14:paraId="50F9536D" w14:textId="77777777" w:rsidR="00434067" w:rsidRPr="00434067" w:rsidRDefault="00434067" w:rsidP="00434067">
            <w:pPr>
              <w:spacing w:after="240"/>
              <w:rPr>
                <w:b/>
              </w:rPr>
            </w:pPr>
            <w:r w:rsidRPr="00434067">
              <w:rPr>
                <w:b/>
              </w:rPr>
              <w:t>Likumprojekts (grozījumi)</w:t>
            </w:r>
          </w:p>
          <w:p w14:paraId="3A9D1206" w14:textId="08024E7F" w:rsidR="00434067" w:rsidRPr="00434067" w:rsidRDefault="00434067" w:rsidP="00434067">
            <w:pPr>
              <w:spacing w:after="240"/>
              <w:rPr>
                <w:bCs/>
              </w:rPr>
            </w:pPr>
            <w:r w:rsidRPr="00434067">
              <w:rPr>
                <w:b/>
              </w:rPr>
              <w:t xml:space="preserve"> </w:t>
            </w:r>
            <w:r w:rsidRPr="00434067">
              <w:rPr>
                <w:bCs/>
              </w:rPr>
              <w:t>Grozījumi Patērētāju tiesību aizsardzības likumā</w:t>
            </w:r>
          </w:p>
        </w:tc>
        <w:tc>
          <w:tcPr>
            <w:tcW w:w="4536" w:type="dxa"/>
            <w:shd w:val="clear" w:color="auto" w:fill="FFFFFF"/>
            <w:noWrap/>
            <w:tcMar>
              <w:top w:w="75" w:type="dxa"/>
              <w:left w:w="75" w:type="dxa"/>
              <w:bottom w:w="75" w:type="dxa"/>
              <w:right w:w="75" w:type="dxa"/>
            </w:tcMar>
          </w:tcPr>
          <w:p w14:paraId="34C886AF" w14:textId="7C52F464" w:rsidR="00434067" w:rsidRPr="00293D94" w:rsidRDefault="00434067" w:rsidP="00434067">
            <w:pPr>
              <w:spacing w:after="240"/>
              <w:rPr>
                <w:b/>
              </w:rPr>
            </w:pPr>
            <w:r w:rsidRPr="00434067">
              <w:rPr>
                <w:b/>
              </w:rPr>
              <w:t xml:space="preserve">Iebildums </w:t>
            </w:r>
            <w:r w:rsidR="00293D94" w:rsidRPr="00293D94">
              <w:rPr>
                <w:b/>
              </w:rPr>
              <w:t>(SIA “Credit Solutions”– 20.04.2026)</w:t>
            </w:r>
          </w:p>
          <w:p w14:paraId="02EAF3E1" w14:textId="77777777" w:rsidR="00293D94" w:rsidRDefault="00293D94" w:rsidP="00360B15">
            <w:pPr>
              <w:spacing w:after="240"/>
            </w:pPr>
            <w:r>
              <w:t xml:space="preserve">SIA “Credit Solutions” (turpmāk – Sabiedrība) ir iepazinusies ar Finanšu ministrijas izstrādāto likumprojektu “Grozījumi Patērētāju tiesību aizsardzības likumā” (turpmāk – Likumprojekts) un iebilst grozījumiem pēc būtības, kā arī uzskata to pamatojumu par nepietiekamu un neizsvērtu. </w:t>
            </w:r>
            <w:r>
              <w:lastRenderedPageBreak/>
              <w:t xml:space="preserve">Sabiedrība neatbalsta Patērētāju tiesību aizsardzības centra (turpmāk – PTAC) regulatīvo un uzraudzības funkciju pār nebanku kreditētājiem nodošanu Latvijas Bankai un attiecīgi iebilst pret Likumprojekta priekšlikumu. Sabiedrība uzskata, ka piedāvātā regulatora maiņa nav nepieciešama un var radīt arī pretēju efektu iecerētajam. Neraugoties uz reformu virzību, joprojām nav pietiekami skaidri pamatots, kādēļ šāda funkciju nodošana ir nepieciešama. Lai gan tiek norādīts, ka reformas mērķis ir samazināt administratīvo slogu un nodrošināt caurspīdīgu un vienotu kreditētāju uzraudzības un kontroles pieeju, pastāv pamatots risks, ka praksē tā varētu būtiski sarežģīt normatīvo un uzņēmējdarbības vidi, vienlaikus nesniedzot skaidrojumu, kā minētie mērķi tiks sasniegti. Turklāt līdz šim nav sniegti pierādījumi, kas apliecinātu PTAC nespēju pienācīgi pildīt tam noteikto uzraudzības funkciju un tādējādi attaisnotu uzraudzības pilnvaru nodošanu citai institūcijai. Sabiedrība uzskata, ka jebkurai normatīvā regulējuma reformai ir jābūt balstītai konkrētu trūkumu identificēšanā un izmērāmos uzlabojumos, nevis institucionālās struktūras pašas par sevi pārveidē. </w:t>
            </w:r>
          </w:p>
          <w:p w14:paraId="799DF5A8" w14:textId="77777777" w:rsidR="00293D94" w:rsidRDefault="00293D94" w:rsidP="00360B15">
            <w:pPr>
              <w:spacing w:after="240"/>
            </w:pPr>
            <w:r>
              <w:t xml:space="preserve">1. </w:t>
            </w:r>
            <w:r w:rsidRPr="00293D94">
              <w:rPr>
                <w:b/>
                <w:bCs/>
              </w:rPr>
              <w:t>Vispārēja pretruna starp anotācijā deklarētajiem mērķiem un faktiskā regulējuma sekām</w:t>
            </w:r>
            <w:r>
              <w:t xml:space="preserve"> </w:t>
            </w:r>
          </w:p>
          <w:p w14:paraId="4FF6866C" w14:textId="00A29E42" w:rsidR="00293D94" w:rsidRDefault="00293D94" w:rsidP="00360B15">
            <w:pPr>
              <w:spacing w:after="240"/>
            </w:pPr>
            <w:r>
              <w:lastRenderedPageBreak/>
              <w:t xml:space="preserve">Anotācijā kā Likumprojekta pamatmērķi ir norādīti valsts pārvaldes resursu racionāla izmantošana, birokrātiskā un administratīvā sloga mazināšana, patērētāju tiesību aizsardzības stiprināšana, kā arī vienota un efektīva uzraudzības modeļa izveide. Tomēr Likumprojektā ietvertais Patērētāju tiesību aizsardzības likuma (turpmāk – PTAL) grozījumu saturs un to kumulatīvā ietekme objektīvi nesasniedz šos mērķus, bet daudzos aspektos tiem ir tiešā pretrunā. Proti, līdz ar paredzētajiem grozījumiem tiek paplašināts esošais regulējuma tvērums, paredzot Latvijas Bankas noteikumu piemērošanu, nesniedzot detalizētu informāciju par jomām, ko paredzēts regulēt ar Latvijas Bankas noteikumiem un to saturu. Līdz ar Likumprojekta un tā saistīto patērētāju kreditēšanas pakalpojumu sniedzēju regulējošo citu normatīvo aktu grozījumu likumprojektu paketi tiek ieviests jauns, </w:t>
            </w:r>
            <w:proofErr w:type="spellStart"/>
            <w:r>
              <w:t>daudzslāņains</w:t>
            </w:r>
            <w:proofErr w:type="spellEnd"/>
            <w:r>
              <w:t xml:space="preserve"> maksājumu, sankciju un uzraudzības mehānisms. Kopumā patērētāju un komersantu tiesiskā situācija kļūst mazāk prognozējama, nevis skaidrāka, jo nav skaidra Latvijas Bankas pieeja patērētāju tiesību aizsardzības jautājumu risināšanā, kā arī sadarbība ar pakalpojumu sniedzējiem </w:t>
            </w:r>
            <w:proofErr w:type="spellStart"/>
            <w:r>
              <w:t>problēmsituāciju</w:t>
            </w:r>
            <w:proofErr w:type="spellEnd"/>
            <w:r>
              <w:t xml:space="preserve"> gadījumos, jo īpaši ņemot vērā Tiesību aktu portālā saistībā ar Finanšu ministrijas ziņojuma “Par vienotas patērētāju kreditētāju licencēšanas un uzraudzības </w:t>
            </w:r>
            <w:r>
              <w:lastRenderedPageBreak/>
              <w:t xml:space="preserve">institūcijas noteikšanu” iesniegtās nozares dalībnieku un patērētāju interešu aizsardzības organizāciju pozitīvās atsauksmes par PTAC līdzšinējo darbību. Papildus norādāms, ka likumprojekta “Latvijas Bankas likums” sākotnējā ietekmes novērtējuma (ziņojuma) 5.1. punktā, atsaucoties uz 2020. gada 20. maija Izvērtējumu par Finanšu un kapitāla tirgus komisijas pievienošanu Latvijas Bankai, kā būtiskākie ieguvumi ir identificēta efektīvāka finanšu stabilitātes veicināšana un sistēmisko risku mazināšana, plašāks skatījums uz finanšu un kapitāla tirgus attīstību, kā arī lielāka efektivitāte makrouzraudzības un </w:t>
            </w:r>
            <w:proofErr w:type="spellStart"/>
            <w:r>
              <w:t>mikrouzraudzības</w:t>
            </w:r>
            <w:proofErr w:type="spellEnd"/>
            <w:r>
              <w:t xml:space="preserve"> īstenošanā un administratīvo procesu nodrošināšanā. Vienlaikus minētā ziņojuma 5.2. punktā jau sākotnēji ir identificēti būtiski riski, kas saistīti ar uzraudzības, regulējošo un lēmumu pieņemšanas funkciju koncentrāciju Latvijas Bankā, tostarp ietekmes koncentrācija finanšu sistēmā, potenciāli interešu konflikti starp monetāro politiku, </w:t>
            </w:r>
            <w:proofErr w:type="spellStart"/>
            <w:r>
              <w:t>makrouzraudzību</w:t>
            </w:r>
            <w:proofErr w:type="spellEnd"/>
            <w:r>
              <w:t xml:space="preserve"> un </w:t>
            </w:r>
            <w:proofErr w:type="spellStart"/>
            <w:r>
              <w:t>mikrouzraudzību</w:t>
            </w:r>
            <w:proofErr w:type="spellEnd"/>
            <w:r>
              <w:t xml:space="preserve">, kā arī centrālās bankas reputācijas un finansiālās neatkarības apdraudējuma risks saistībā ar </w:t>
            </w:r>
            <w:proofErr w:type="spellStart"/>
            <w:r>
              <w:t>mikrouzraudzības</w:t>
            </w:r>
            <w:proofErr w:type="spellEnd"/>
            <w:r>
              <w:t xml:space="preserve"> un noregulējuma lēmumiem. Ņemot vērā minēto, jāsecina, ka jebkāda turpmāka Latvijas Bankas kompetences paplašināšana, tostarp patērētāju kreditēšanas un patērētāju tiesību aizsardzības jomā, ir vērtējama īpaši piesardzīgi un </w:t>
            </w:r>
            <w:r>
              <w:lastRenderedPageBreak/>
              <w:t xml:space="preserve">kopsakarā ar jau sākotnēji identificētajiem institucionālajiem un konstitucionālajiem riskiem. Anotācijā tomēr nav atrodams pietiekams izvērtējums par to, kā paredzētie grozījumi Patērētāju tiesību aizsardzības likumā ietekmē šo risku materializēšanos vai to mazināšanu. Papildus jānorāda, ka saskaņā ar konstitucionālo teoriju, realizējot savas funkcijas, valsts varas konstitucionālās institūcijas pastāvīgi atrodas savstarpējā mijiedarbībā, un tām ir pienākums savstarpējās attiecībās ievērot citu konstitucionālo institūciju kompetenci. Vienlaikus valsts varas konstitucionālās institūcijas nedrīkst rīkoties pretēji labas ticības principam1. Šis princips īpaši nozīmīgs institucionālu reformu un kompetenču pārdales gadījumos, lai nodrošinātu līdzsvaru starp institucionālo efektivitāti, demokrātisko kontroli un privātpersonu tiesisko paļāvību Šādā kontekstā anotācijā būtu nepieciešams daudz detalizētāk pamatot paredzētās kompetences koncentrācijas nepieciešamību un sniegt skaidru risinājumu aprakstu 1Publiska s </w:t>
            </w:r>
            <w:proofErr w:type="spellStart"/>
            <w:r>
              <w:t>tiesī</w:t>
            </w:r>
            <w:proofErr w:type="spellEnd"/>
            <w:r>
              <w:t xml:space="preserve"> </w:t>
            </w:r>
            <w:proofErr w:type="spellStart"/>
            <w:r>
              <w:t>bas</w:t>
            </w:r>
            <w:proofErr w:type="spellEnd"/>
            <w:r>
              <w:t xml:space="preserve">. Ievads. Sagatavojis autoru </w:t>
            </w:r>
            <w:proofErr w:type="spellStart"/>
            <w:r>
              <w:t>kolektī</w:t>
            </w:r>
            <w:proofErr w:type="spellEnd"/>
            <w:r>
              <w:t xml:space="preserve"> vs Inetas Ziemeles un Sanitas </w:t>
            </w:r>
            <w:proofErr w:type="spellStart"/>
            <w:r>
              <w:t>Osipovas</w:t>
            </w:r>
            <w:proofErr w:type="spellEnd"/>
            <w:r>
              <w:t xml:space="preserve"> zina </w:t>
            </w:r>
            <w:proofErr w:type="spellStart"/>
            <w:r>
              <w:t>tniskaja</w:t>
            </w:r>
            <w:proofErr w:type="spellEnd"/>
            <w:r>
              <w:t xml:space="preserve"> redakcija , </w:t>
            </w:r>
            <w:proofErr w:type="spellStart"/>
            <w:r>
              <w:t>Rī</w:t>
            </w:r>
            <w:proofErr w:type="spellEnd"/>
            <w:r>
              <w:t xml:space="preserve"> </w:t>
            </w:r>
            <w:proofErr w:type="spellStart"/>
            <w:r>
              <w:t>ga</w:t>
            </w:r>
            <w:proofErr w:type="spellEnd"/>
            <w:r>
              <w:t xml:space="preserve">: Tiesu namu </w:t>
            </w:r>
            <w:proofErr w:type="spellStart"/>
            <w:r>
              <w:t>ag</w:t>
            </w:r>
            <w:proofErr w:type="spellEnd"/>
            <w:r>
              <w:t xml:space="preserve"> </w:t>
            </w:r>
            <w:proofErr w:type="spellStart"/>
            <w:r>
              <w:t>entu</w:t>
            </w:r>
            <w:proofErr w:type="spellEnd"/>
            <w:r>
              <w:t xml:space="preserve"> </w:t>
            </w:r>
            <w:proofErr w:type="spellStart"/>
            <w:r>
              <w:t>ra</w:t>
            </w:r>
            <w:proofErr w:type="spellEnd"/>
            <w:r>
              <w:t xml:space="preserve">, 2004, 268. lpp. identificēto risku novēršanai, pretējā gadījumā radot </w:t>
            </w:r>
            <w:r>
              <w:lastRenderedPageBreak/>
              <w:t xml:space="preserve">apdraudējumu institucionālajam līdzsvaram un tiesiskās valsts principam. </w:t>
            </w:r>
          </w:p>
          <w:p w14:paraId="5946753D" w14:textId="77777777" w:rsidR="00293D94" w:rsidRPr="00293D94" w:rsidRDefault="00293D94" w:rsidP="00360B15">
            <w:pPr>
              <w:spacing w:after="240"/>
              <w:rPr>
                <w:b/>
                <w:bCs/>
              </w:rPr>
            </w:pPr>
            <w:r w:rsidRPr="00293D94">
              <w:rPr>
                <w:b/>
                <w:bCs/>
              </w:rPr>
              <w:t xml:space="preserve">2. Normatīvās varas pārmērīga koncentrācija Latvijas Bankā </w:t>
            </w:r>
          </w:p>
          <w:p w14:paraId="095D8F55" w14:textId="1B7E59C4" w:rsidR="00293D94" w:rsidRDefault="00293D94" w:rsidP="00360B15">
            <w:pPr>
              <w:spacing w:after="240"/>
            </w:pPr>
            <w:r>
              <w:t xml:space="preserve">PTAL grozījumi paredz Latvijas Bankai tiesības noteikt gan materiālās prasības, gan to piemērošanas kārtību, gan maksas, gan sankcijas, gan strīdu izskatīšanas mehānismus. Rezultātā vienā institūcijā tiek koncentrēta regulējošā funkcija, uzraudzības funkcija, sankciju piemērošana un individuālu strīdu risināšana. Anotācijā nav izvērtēti alternatīvie risinājumi (tas ir tieši atzīts), kā arī nav analizēti institucionālie līdzsvara un kontroles mehānismi, kas šādā modelī aizvietotu Ministru kabineta politisko atbildību. Tas rada risku, ka patērētāju tiesību aizsardzības saturs tiks būtiski mainīts ar ārējiem normatīvajiem aktiem, kuru pieņemšanā demokrātiskā kontrole ir vājāka. </w:t>
            </w:r>
          </w:p>
          <w:p w14:paraId="214248B4" w14:textId="77777777" w:rsidR="00293D94" w:rsidRPr="00293D94" w:rsidRDefault="00293D94" w:rsidP="00360B15">
            <w:pPr>
              <w:spacing w:after="240"/>
              <w:rPr>
                <w:b/>
                <w:bCs/>
              </w:rPr>
            </w:pPr>
            <w:r w:rsidRPr="00293D94">
              <w:rPr>
                <w:b/>
                <w:bCs/>
              </w:rPr>
              <w:t xml:space="preserve">3. PTAL lomas vājināšana finanšu pakalpojumu jomā </w:t>
            </w:r>
          </w:p>
          <w:p w14:paraId="5AF189D9" w14:textId="7F0C9879" w:rsidR="00293D94" w:rsidRDefault="00293D94" w:rsidP="00360B15">
            <w:pPr>
              <w:spacing w:after="240"/>
            </w:pPr>
            <w:r>
              <w:t xml:space="preserve">Ar virkni grozījumu (PTAL 9. panta 2.1 daļa, 10. panta trešā daļa, 17. panta 3.1 daļa, 37. panta desmitā daļa u.c.) likumā tiek nostiprināts princips, ka PTAL vispārējās patērētāju tiesību garantijas finanšu pakalpojumu jomā var tikt aizstātas ar Latvijas Bankas noteiktām prasībām. Proti, </w:t>
            </w:r>
            <w:r>
              <w:lastRenderedPageBreak/>
              <w:t xml:space="preserve">patērētāju tiesību aizsardzības saturs kļūst fragmentēts un maināms atkarībā no regulatora noteikumiem un PTAL no horizontāla aizsardzības likuma pakāpeniski pārtop par atsauces ietvaru. Šāda pieeja nav savienojama ar apgalvojumu par patērētāju tiesību stiprināšanu. Proti, tik nozīmīgas izmaiņas patērētāju tiesību aizsardzības regulējumā nav pieļaujamas bez detalizēta to ietekmes izvērtējuma uz patērētāju interesēm. </w:t>
            </w:r>
          </w:p>
          <w:p w14:paraId="2303FB49" w14:textId="77777777" w:rsidR="00293D94" w:rsidRPr="00293D94" w:rsidRDefault="00293D94" w:rsidP="00360B15">
            <w:pPr>
              <w:spacing w:after="240"/>
              <w:rPr>
                <w:b/>
                <w:bCs/>
              </w:rPr>
            </w:pPr>
            <w:r w:rsidRPr="00293D94">
              <w:rPr>
                <w:b/>
                <w:bCs/>
              </w:rPr>
              <w:t xml:space="preserve">4. Sankciju režīma maiņa bez samērīguma un alternatīvu izvērtējuma </w:t>
            </w:r>
          </w:p>
          <w:p w14:paraId="26795981" w14:textId="06EBE6DA" w:rsidR="00293D94" w:rsidRDefault="00293D94" w:rsidP="00360B15">
            <w:pPr>
              <w:spacing w:after="240"/>
            </w:pPr>
            <w:r>
              <w:t xml:space="preserve">Finanšu ministrijas informatīvajā ziņojumā “Par vienotas patērētāju kreditētāju licencēšanas un uzraudzības institūcijas noteikšanu” sankcijas tika pieminētas kā uzraudzības mehānisma elements, nevis kā normatīvā regulējuma izmaiņu priekšmets. Savukārt Likumprojekts paredz atteikšanos no administratīvā pārkāpuma procesa finanšu pakalpojumu jomā, to aizstājot ar sankciju piemērošanu Administratīvā procesa likuma kārtībā. Likumprojektā paredzēti būtiski augstākus soda griestus (līdz 142 300 euro juridiskām personām, fiziskai personai, tai skaitā juridiskas personas valdes loceklim, pilnsabiedrības biedram, vai citai par pārkāpumu atbildīgajai personai, – līdz 14 230 euro). Ņemot vērā, ka saskaņā ar Administratīvās atbildības likuma 16. panta otro daļu viena naudas soda vienība ir pieci </w:t>
            </w:r>
            <w:r>
              <w:lastRenderedPageBreak/>
              <w:t xml:space="preserve">euro, spēkā esošais maksimālais naudas sods juridiskajai personai par patērētāju kreditēšanas pakalpojumu sniegšanu bez licences Patērētāju tiesību aizsardzības likuma 37. panta devītās daļas ietvaros ir 75 000 euro. PTAL grozījumos paredzētais naudas soda maksimums 142 300 euro apmērā nozīmē faktisku sankciju palielinājumu par aptuveni 90 %, savukārt fiziskajām personām – vairāk nekā septiņas reizes. Anotācijā nav sniegts pietiekams pamatojums šādas sankciju intensitātes palielināšanas nepieciešamībai, kā arī nav izvērtēta esošā regulējuma efektivitāte, radot šaubas par grozījumu atbilstību samērīguma un tiesiskās noteiktības principiem. No minētā secināms, ka nav izvērtēta ietekme uz maziem un vidējiem tirgus dalībniekiem, kā arī nav analizētas alternatīvas mazāk represīvam, bet efektīvam modelim. Būtiski, ka sankciju salīdzināšana ar kredītiestāžu sektoru ignorē patērētāju kreditētāju atšķirīgo riska profilu un mērogu. Papildus minētajam paredzēts PTAC funkcijas, kas izriet no Negodīgas komercprakses aizlieguma likuma normām nodot Latvijas Bankai. Proti, jau šobrīd uzraudzības iestāde par negodīgu komercpraksi, kas īstenota Latvijas Republikas teritorijā, ir tiesīga uzlikt soda naudu līdz četriem procentiem no komercprakses īstenotāja gada apgrozījuma, bet ne vairāk kā 300 000 euro, secināms, ka </w:t>
            </w:r>
            <w:r>
              <w:lastRenderedPageBreak/>
              <w:t xml:space="preserve">normatīvajā regulējumā jau šobrīd ir paredzēts efektīvs, atturošs un diferencēts sankciju instruments, kas pielāgots pārkāpuma smagumam un komersanta ekonomiskajai jaudai. Līdz ar to, paplašinot Latvijas Bankas kompetenci uz negodīgas komercprakses uzraudzību finanšu pakalpojumu jomā, nav konstatējams objektīvs pamats paralēli paaugstināt fiksēto sankciju griestus Patērētāju tiesību aizsardzības likuma regulējumā, jo negodīgas komercprakses gadījumos jau pastāv sankciju mehānisms ar būtiski augstāku maksimālo apmēru un elastīgu piesaisti apgrozījumam. Šādā situācijā rodas risks, ka sankciju intensitāte būs atkarīga nevis no pārkāpuma rakstura un ietekmes uz patērētājiem, bet no tā, kura tiesību norma un process konkrētajā gadījumā tiks piemērots. Turklāt pastāv ne bis in idem principa pārkāpums, kā arī samērīguma un tiesiskās noteiktības prasības. Ņemot vērā minēto, sankciju sistēma negodīgas komercprakses jomā finanšu pakalpojumu sektorā jāvērtē kopsakarā, skaidri nodalot gadījumus, kuros piemērojamas apgrozījumā balstītas sankcijas saskaņā ar Negodīgas komercprakses aizlieguma likumu, un gadījumus, kuros piemērojamas administratīvā procesa ietvaros noteiktas fiksēta apmēra sankcijas. Bez šāda normatīvā un metodoloģiskā nošķīruma fiksēto sankciju griestu būtiska palielināšana </w:t>
            </w:r>
            <w:r>
              <w:lastRenderedPageBreak/>
              <w:t xml:space="preserve">rada risku nesamērīgi pastiprināt atbildību jomā, kur likumdevējs jau ir paredzējis īpašu, ekonomiski diferencētu sankciju mehānismu. Līdz ar to deklaratīva atsauce uz samērīguma principu anotācijā neaizvieto faktisku samērīguma analīzi un Likumprojekts daļā par soda sankcijām ir nepietiekami pamatots. </w:t>
            </w:r>
          </w:p>
          <w:p w14:paraId="299B049A" w14:textId="77777777" w:rsidR="00293D94" w:rsidRPr="00293D94" w:rsidRDefault="00293D94" w:rsidP="00360B15">
            <w:pPr>
              <w:spacing w:after="240"/>
              <w:rPr>
                <w:b/>
                <w:bCs/>
              </w:rPr>
            </w:pPr>
            <w:r w:rsidRPr="00293D94">
              <w:rPr>
                <w:b/>
                <w:bCs/>
              </w:rPr>
              <w:t xml:space="preserve">5. Administratīvā sloga mazināšanas un maksājumu regulējuma iekšēja pretruna </w:t>
            </w:r>
          </w:p>
          <w:p w14:paraId="6D46FD7A" w14:textId="6ACBDAEF" w:rsidR="00293D94" w:rsidRDefault="00293D94" w:rsidP="00360B15">
            <w:pPr>
              <w:spacing w:after="240"/>
            </w:pPr>
            <w:r>
              <w:t xml:space="preserve">Finanšu ministrijas informatīvajā ziņojumā “Par vienotas patērētāju kreditētāju licencēšanas un uzraudzības institūcijas noteikšanu” un Likumprojekta anotācijā ir deklarēts būtisks administratīvo izmaksu samazinājums nozares līmenī. Taču no Likumprojekta izriet tikai būtisks samazinājums par jaunu licences pieteikuma izskatīšanas maksu, proti, 2500 euro </w:t>
            </w:r>
            <w:proofErr w:type="spellStart"/>
            <w:r>
              <w:t>līdšinējās</w:t>
            </w:r>
            <w:proofErr w:type="spellEnd"/>
            <w:r>
              <w:t xml:space="preserve"> 250 000 EUR licences maksas vietā. Savukārt ikgadējo valsts nodevas maksājumu 55 000 EUR apmērā paredzēts aizstāt ar fiksētu ikgadēju maksu 5000 euro un mainīgu maksu līdz 0,033 % no </w:t>
            </w:r>
            <w:proofErr w:type="spellStart"/>
            <w:r>
              <w:t>apitālsabiedrības</w:t>
            </w:r>
            <w:proofErr w:type="spellEnd"/>
            <w:r>
              <w:t xml:space="preserve"> vidējās patērētājiem izsniegto kredītu kredītportfeļa apjoma vērtības katrā kalendārā gada ceturksnī ar griestiem 100 000 euro gadā. Rezultātā daļai tirgus dalībnieku faktiskās izmaksas pieaugs, nevis samazināsies un slogs tiek diferencēts pēc ekonomiskā apjoma, neraugoties uz atšķirīgu faktiskās uzraudzības intensitāti; Anotācijā šī </w:t>
            </w:r>
            <w:r>
              <w:lastRenderedPageBreak/>
              <w:t xml:space="preserve">diferenciācija nav kvalitatīvi analizēta, tādējādi radot nevienlīdzīgu situāciju tirgū un apšauba apgalvojumu par sloga mazināšanu. Būtiski, ka minētā maksa tiks ieskaitīta Latvijas Bankas, nevis Latvijas Republikas budžetā. Tādējādi minētās izmaiņas ir pretrunā ar Ministru kabineta 2011. gada 29. marta noteikumi Nr. 245 "Noteikumi par speciālo atļauju (licenci) patērētāju kreditēšanas pakalpojumu sniegšanai" 08.10.2019. grozījumu anotācijā ietverto pamatojumu valsts nodevu par speciālās atļaujas (licences) izsniegšanu palielināšanai no 71 140 euro uz 250 000 euro un ikgadējo valsts nodevu par kreditēšanas pakalpojumu sniedzēja darbības uzraudzību paaugstināšanai no 14 225 euro uz 55 000 euro. Proti, minēto valsts nodevu </w:t>
            </w:r>
            <w:proofErr w:type="spellStart"/>
            <w:r>
              <w:t>paaugstinšāna</w:t>
            </w:r>
            <w:proofErr w:type="spellEnd"/>
            <w:r>
              <w:t xml:space="preserve"> 2019.gadā tika īstenota ar mērķi veikt tirgus filtrēšanu, sociālo risku mazināšanu un palielināt budžeta ieņēmumus. Likumdevējs atzina, ka augstas valsts nodevas objektīvi samazinās tirgus dalībnieku skaitu, vienlaikus tieši identificējot Satversmes 91. panta risku, ja nodevas tiktu diferencētas nepamatoti vai tikai atsevišķām grupām. Pretstatā tam šobrīd faktiski tiek ieviests jauns, diferencēts maksājumu modelis, kā rezultātā atsevišķiem tirgus dalībniekiem izmaksas var pārsniegt vēsturisko 55 000 euro slieksni, bet vienlaikus anotācijā tiek apgalvots, ka netiek radīts jauns negatīvs </w:t>
            </w:r>
            <w:r>
              <w:lastRenderedPageBreak/>
              <w:t xml:space="preserve">slogs. Rezultātā valsts tiesību politika kļūst iekšēji pretrunīga, jo 2019. gadā augstas maksas tika atzītas par apzinātu regulatīvu instrumentu, savukārt šobrīd līdzīgas vai augstākas maksas tiek ieviestas, noliedzot to kā slogu. Šī nekonsekvence nav analizēta anotācijā un nav salāgota ar iepriekš pašu valdības atzītajiem konstitucionālajiem riskiem. </w:t>
            </w:r>
          </w:p>
          <w:p w14:paraId="62C5C812" w14:textId="77777777" w:rsidR="00293D94" w:rsidRPr="00293D94" w:rsidRDefault="00293D94" w:rsidP="00360B15">
            <w:pPr>
              <w:spacing w:after="240"/>
              <w:rPr>
                <w:b/>
                <w:bCs/>
              </w:rPr>
            </w:pPr>
            <w:r w:rsidRPr="00293D94">
              <w:rPr>
                <w:b/>
                <w:bCs/>
              </w:rPr>
              <w:t xml:space="preserve">6. Tiesiskās paļāvības un institucionālās pēctecības vājināšana </w:t>
            </w:r>
          </w:p>
          <w:p w14:paraId="36C937E3" w14:textId="589956FE" w:rsidR="00434067" w:rsidRDefault="00293D94" w:rsidP="00360B15">
            <w:pPr>
              <w:spacing w:after="240"/>
              <w:rPr>
                <w:b/>
              </w:rPr>
            </w:pPr>
            <w:r>
              <w:t xml:space="preserve">Pārejas noteikumu 55. punkts, ar kuru Latvijas Banka atsakās no atbildības par zaudējumiem, kas izriet no PTAC iepriekšējās rīcības, rada neskaidru publiskās varas atbildības ķēdi, risku tiesiskajai paļāvībai un situāciju, kurā privātpersona uzņemas institucionālās reformas risku. Šāda pieeja nav pietiekami pamatota anotācijā un nav savienojama ar tiesiskas valsts principu. Kopumā secināms, ka Likumprojekts nesasniedz anotācijā deklarētos mērķus pilnā apjomā, tas rada normatīvās varas koncentrāciju bez pietiekama līdzsvara, vājina PTAL kā vispārīga patērētāju aizsardzības likuma lomu finanšu pakalpojumu jomā, ievieš maksājumu un sankciju režīmu, kas daļai tirgus dalībnieku faktiski palielina slogu, nav saskaņots ar iepriekš paša likumdevēja </w:t>
            </w:r>
            <w:r>
              <w:lastRenderedPageBreak/>
              <w:t>2019. gadā atzīto pieeju un konstitucionālajiem riskiem.</w:t>
            </w:r>
          </w:p>
        </w:tc>
        <w:tc>
          <w:tcPr>
            <w:tcW w:w="4820" w:type="dxa"/>
            <w:shd w:val="clear" w:color="auto" w:fill="FFFFFF"/>
            <w:noWrap/>
            <w:tcMar>
              <w:top w:w="75" w:type="dxa"/>
              <w:left w:w="75" w:type="dxa"/>
              <w:bottom w:w="75" w:type="dxa"/>
              <w:right w:w="75" w:type="dxa"/>
            </w:tcMar>
          </w:tcPr>
          <w:p w14:paraId="50A53ED7" w14:textId="77777777" w:rsidR="00040285" w:rsidRDefault="00040285" w:rsidP="00040285">
            <w:pPr>
              <w:rPr>
                <w:b/>
                <w:bCs/>
              </w:rPr>
            </w:pPr>
            <w:r w:rsidRPr="00D771D4">
              <w:rPr>
                <w:b/>
                <w:bCs/>
              </w:rPr>
              <w:lastRenderedPageBreak/>
              <w:t>Nav ņemts vērā</w:t>
            </w:r>
          </w:p>
          <w:p w14:paraId="6E68958B" w14:textId="77777777" w:rsidR="00040285" w:rsidRDefault="00040285" w:rsidP="00040285">
            <w:pPr>
              <w:jc w:val="center"/>
              <w:rPr>
                <w:b/>
                <w:bCs/>
              </w:rPr>
            </w:pPr>
          </w:p>
          <w:p w14:paraId="3D3DF4BA" w14:textId="77777777" w:rsidR="00040285" w:rsidRDefault="00040285" w:rsidP="00040285">
            <w:pPr>
              <w:rPr>
                <w:b/>
                <w:bCs/>
              </w:rPr>
            </w:pPr>
            <w:r w:rsidRPr="001A0482">
              <w:rPr>
                <w:b/>
                <w:bCs/>
              </w:rPr>
              <w:t xml:space="preserve">I </w:t>
            </w:r>
            <w:r>
              <w:rPr>
                <w:b/>
                <w:bCs/>
              </w:rPr>
              <w:t>P</w:t>
            </w:r>
            <w:r w:rsidRPr="001A0482">
              <w:rPr>
                <w:b/>
                <w:bCs/>
              </w:rPr>
              <w:t>ar reformas pamato</w:t>
            </w:r>
            <w:r>
              <w:rPr>
                <w:b/>
                <w:bCs/>
              </w:rPr>
              <w:t>tību</w:t>
            </w:r>
          </w:p>
          <w:p w14:paraId="0CE24789" w14:textId="77777777" w:rsidR="00040285" w:rsidRPr="00F15CC9" w:rsidRDefault="00040285" w:rsidP="00040285">
            <w:pPr>
              <w:rPr>
                <w:b/>
                <w:bCs/>
              </w:rPr>
            </w:pPr>
          </w:p>
          <w:p w14:paraId="5FDEFC94" w14:textId="77777777" w:rsidR="00040285" w:rsidRDefault="00040285" w:rsidP="00040285">
            <w:r>
              <w:t>Skaidrojam, ka a</w:t>
            </w:r>
            <w:r w:rsidRPr="00E4498E">
              <w:t>r likumprojekt</w:t>
            </w:r>
            <w:r>
              <w:t>u pakotnē</w:t>
            </w:r>
            <w:r w:rsidRPr="00E4498E">
              <w:t xml:space="preserve"> ietvertajiem</w:t>
            </w:r>
            <w:r>
              <w:t xml:space="preserve"> 13 likumu</w:t>
            </w:r>
            <w:r w:rsidRPr="00E4498E">
              <w:t xml:space="preserve"> grozījumiem</w:t>
            </w:r>
            <w:r>
              <w:t>, tajā skaitā likumprojektu,</w:t>
            </w:r>
            <w:r w:rsidRPr="00E4498E">
              <w:t xml:space="preserve"> tiek pildīts Ministru kabineta 17.03.2026. sēdes protokollēmuma Nr. 15; 46. § 4. punktā  noteiktais, kas paredz to, ka Finanšu ministrijai sadarbībā ar Latvijas Banku, </w:t>
            </w:r>
            <w:r w:rsidRPr="00E4498E">
              <w:lastRenderedPageBreak/>
              <w:t>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14:paraId="088CA13F" w14:textId="77777777" w:rsidR="00040285" w:rsidRDefault="00040285" w:rsidP="00040285"/>
          <w:p w14:paraId="16129B72" w14:textId="77777777" w:rsidR="00040285" w:rsidRDefault="00040285" w:rsidP="00040285">
            <w:r>
              <w:t xml:space="preserve">Diskurss par patērētāju kreditēšanas uzraudzības sistēmas reformu jau pirms likumprojektu pakotnes izstrādes ir bijis ilgs un pietiekami izdiskutēts gan valsts institūciju, gan nozares nevalstiskā sektora ietvarā. </w:t>
            </w:r>
          </w:p>
          <w:p w14:paraId="62E228AC" w14:textId="77777777" w:rsidR="00040285" w:rsidRPr="00D61B3D" w:rsidRDefault="00040285" w:rsidP="00040285">
            <w:r>
              <w:t xml:space="preserve">Diskusijas par </w:t>
            </w:r>
            <w:r w:rsidRPr="00F31FD1">
              <w:t>patērētāju kreditēšanas uzraudzības un licencēšanas, kā arī patērētāju tiesību un interešu aizsardzīb</w:t>
            </w:r>
            <w:r>
              <w:t>as</w:t>
            </w:r>
            <w:r w:rsidRPr="00F31FD1">
              <w:t xml:space="preserve"> finanšu sektorā nodošanu vienai institūcijai</w:t>
            </w:r>
            <w:r>
              <w:t xml:space="preserve"> </w:t>
            </w:r>
            <w:r w:rsidRPr="00F31FD1">
              <w:t>tika uzsākta</w:t>
            </w:r>
            <w:r>
              <w:t>s</w:t>
            </w:r>
            <w:r w:rsidRPr="00F31FD1">
              <w:t xml:space="preserve"> jau 2025. gada</w:t>
            </w:r>
            <w:r>
              <w:t xml:space="preserve"> </w:t>
            </w:r>
            <w:r w:rsidRPr="00F31FD1">
              <w:t xml:space="preserve">sākumā Ekonomikas ministrijas sagatavotā </w:t>
            </w:r>
            <w:r>
              <w:t>r</w:t>
            </w:r>
            <w:r w:rsidRPr="00F31FD1">
              <w:t xml:space="preserve">īcības plāna projekta ietvaros. Ar Ministru kabineta </w:t>
            </w:r>
            <w:r>
              <w:t xml:space="preserve">15.07.2025. </w:t>
            </w:r>
            <w:r w:rsidRPr="00F31FD1">
              <w:t xml:space="preserve"> rīkojumu Nr.422 “Rīcības plāns investīciju piesaistei un finanšu pieejamībai tautsaimniecībā” (prot. Nr. 28 50. §) tika apstiprināts Rīcības plāns, kura 14. virzienā Ekonomikas ministrija identificēj</w:t>
            </w:r>
            <w:r>
              <w:t>a</w:t>
            </w:r>
            <w:r w:rsidRPr="00F31FD1">
              <w:t xml:space="preserve"> kreditēšanas pakalpojumu sniedzēju sadrumstalotas uzraudzības problemātiku un attiecīgi uzdev</w:t>
            </w:r>
            <w:r>
              <w:t>a</w:t>
            </w:r>
            <w:r w:rsidRPr="00F31FD1">
              <w:t xml:space="preserve"> Finanšu ministrijai izstrādāt informatīvā ziņojum</w:t>
            </w:r>
            <w:r>
              <w:t xml:space="preserve">u ar </w:t>
            </w:r>
            <w:r w:rsidRPr="00D61B3D">
              <w:t xml:space="preserve">izvērtējumu par vienotas kreditētāju uzraudzības un kontroles institūcijas noteikšanu, tādējādi samazinot birokrātisko slogu un nodrošinot caurskatāmu vienotu pieeju </w:t>
            </w:r>
            <w:r w:rsidRPr="00D61B3D">
              <w:lastRenderedPageBreak/>
              <w:t xml:space="preserve">kreditētāju uzraudzībā un kontrolē. Vienlaikus </w:t>
            </w:r>
            <w:r>
              <w:t>tika noteikta</w:t>
            </w:r>
            <w:r w:rsidRPr="00D61B3D">
              <w:t xml:space="preserve"> nepieciešamību izvērtēt arī Lietuvas pieredzi, kur visu kreditētāju, kuru uzraudzību neveic Eiropas Centrālā banka, uzraudzība ir nodota Lietuvas Bankai.</w:t>
            </w:r>
          </w:p>
          <w:p w14:paraId="193F3A89" w14:textId="77777777" w:rsidR="00040285" w:rsidRDefault="00040285" w:rsidP="00040285">
            <w:r w:rsidRPr="0056712A">
              <w:t>Finanšu ministrija</w:t>
            </w:r>
            <w:r>
              <w:t xml:space="preserve"> izstrādāja</w:t>
            </w:r>
            <w:r w:rsidRPr="0056712A">
              <w:t xml:space="preserve"> informatīv</w:t>
            </w:r>
            <w:r>
              <w:t>o</w:t>
            </w:r>
            <w:r w:rsidRPr="0056712A">
              <w:t xml:space="preserve"> ziņojum</w:t>
            </w:r>
            <w:r>
              <w:t xml:space="preserve">u </w:t>
            </w:r>
            <w:r w:rsidRPr="0056712A">
              <w:t>“Par vienotas patērētāju kreditētāju licencēšanas un uzraudzības institūcijas noteikšanu”</w:t>
            </w:r>
            <w:r>
              <w:t xml:space="preserve"> </w:t>
            </w:r>
            <w:r w:rsidRPr="00D53237">
              <w:t xml:space="preserve">(25-TA-3014) </w:t>
            </w:r>
            <w:r>
              <w:t xml:space="preserve">(turpmāk – Informatīvais ziņojums), kura izstrādes laikā, kā arī oficiālajā sabiedriskās apspriešanas procesā tika uzklausītas praktiski visas nozares  asociācijas, kā arī individuāli patērētāju kreditētāji, un tā apspriešanai tika organizēta sanāksme. </w:t>
            </w:r>
            <w:r w:rsidRPr="00D53237">
              <w:t>TAP pieejami atzinumi un izziņa par sniegtajiem iebildumiem un priekšlikumiem  pie minētā informatīvā ziņojuma.</w:t>
            </w:r>
          </w:p>
          <w:p w14:paraId="29B54A66" w14:textId="77777777" w:rsidR="00040285" w:rsidRDefault="00040285" w:rsidP="00040285">
            <w:r>
              <w:t>Informatīvā ziņojuma projekts tika arī izskatīts un atbalstīts Finanšu sektora attīstības padomes (</w:t>
            </w:r>
            <w:r w:rsidRPr="00430A8D">
              <w:t xml:space="preserve">turpmāk – </w:t>
            </w:r>
            <w:r>
              <w:t>FSAP) 09.12.2025. sēdē, tajā skaitā, piedaloties finanšu nozares asociācijām.</w:t>
            </w:r>
          </w:p>
          <w:p w14:paraId="2AF40079" w14:textId="77777777" w:rsidR="00040285" w:rsidRDefault="00040285" w:rsidP="00040285"/>
          <w:p w14:paraId="6DC2FE7E" w14:textId="77777777" w:rsidR="00040285" w:rsidRDefault="00040285" w:rsidP="00040285">
            <w:r>
              <w:t>Ar I</w:t>
            </w:r>
            <w:r w:rsidRPr="00E3061F">
              <w:t>nformatīv</w:t>
            </w:r>
            <w:r>
              <w:t>o</w:t>
            </w:r>
            <w:r w:rsidRPr="00E3061F">
              <w:t xml:space="preserve"> ziņojum</w:t>
            </w:r>
            <w:r>
              <w:t>u</w:t>
            </w:r>
            <w:r w:rsidRPr="00E3061F">
              <w:t xml:space="preserve"> </w:t>
            </w:r>
            <w:r>
              <w:t xml:space="preserve">tika </w:t>
            </w:r>
            <w:r w:rsidRPr="00E3061F">
              <w:t>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w:t>
            </w:r>
            <w:r>
              <w:t>as modelis.</w:t>
            </w:r>
          </w:p>
          <w:p w14:paraId="6CAA0E20" w14:textId="77777777" w:rsidR="00040285" w:rsidRDefault="00040285" w:rsidP="00040285">
            <w:r>
              <w:t xml:space="preserve">Tāpat minams, ka FSAP </w:t>
            </w:r>
            <w:r w:rsidRPr="00354F2F">
              <w:t>09.12.2025</w:t>
            </w:r>
            <w:r>
              <w:t xml:space="preserve">. sēdē arī tika iekļauts un izskatīts jautājums par vienotas </w:t>
            </w:r>
            <w:r>
              <w:lastRenderedPageBreak/>
              <w:t>nebanku kreditētāju uzraudzības un kontroles institūcijas noteikšanu. Šajā FSAP sēdē lēmuma pieņemšanai tika piedāvāti divi iespējamie risinājuma varianti: 1.variants – ar normatīvā regulējuma palīdzību skaidrāk noteikt praktiskās uzraudzības jomas robežas starp Patērētāju tiesību centru (turpmāk – PTAC) un Valsts ieņēmumu dienestu uzraudzībā esošajiem subjektiem; 2.variants – patērētāju kreditēšanas pakalpojumu sniedzēju licencēšanas un uzraudzības funkcijas, patērētāju – finanšu pakalpojumu saņēmēju – tiesību un interešu aizsardzības funkcijas un negodīgas komercprakses uzraudzības finanšu pakalpojumu jomā funkcijas nodošanu no PTAC Latvijas Bankai. FSAP sēdē tika nolemts virzīt tālāk piedāvāto 2. variantu.</w:t>
            </w:r>
          </w:p>
          <w:p w14:paraId="52ECC042" w14:textId="77777777" w:rsidR="00040285" w:rsidRDefault="00040285" w:rsidP="00040285"/>
          <w:p w14:paraId="5F988DB3" w14:textId="77777777" w:rsidR="00040285" w:rsidRPr="009B33BB" w:rsidRDefault="00040285" w:rsidP="00040285">
            <w:r>
              <w:t>Vienlaikus atzīmējams, l</w:t>
            </w:r>
            <w:r w:rsidRPr="009B33BB">
              <w:t xml:space="preserve">ai nodrošinātu to, ka </w:t>
            </w:r>
            <w:r>
              <w:t xml:space="preserve">patērētāju </w:t>
            </w:r>
            <w:r w:rsidRPr="009B33BB">
              <w:t xml:space="preserve">kreditēšanas pakalpojumu sniedzējiem ir saprotams </w:t>
            </w:r>
            <w:r>
              <w:t>plānotais</w:t>
            </w:r>
            <w:r w:rsidRPr="009B33BB">
              <w:t xml:space="preserve"> Latvijas Bankas uzraudzības ietvars, </w:t>
            </w:r>
            <w:r>
              <w:t>Latvijas Banka</w:t>
            </w:r>
            <w:r w:rsidRPr="009B33BB">
              <w:t xml:space="preserve"> sadarbībā ar biedrības "Asociācija Fintech Latvija" biedriem uzsāk</w:t>
            </w:r>
            <w:r>
              <w:t>a</w:t>
            </w:r>
            <w:r w:rsidRPr="009B33BB">
              <w:t xml:space="preserve"> vairāku tematisko virzienu sarunu ciklu, kura ietvaros </w:t>
            </w:r>
            <w:r>
              <w:t>tika izskatīti</w:t>
            </w:r>
            <w:r w:rsidRPr="009B33BB">
              <w:t xml:space="preserve"> galvenie uzraudzības aspekti un izrunāti neskaidrie jautājumi, izveidojot piecas tematiskās sarunu grupas:</w:t>
            </w:r>
          </w:p>
          <w:p w14:paraId="7A80F12D" w14:textId="77777777" w:rsidR="00040285" w:rsidRPr="009B33BB" w:rsidRDefault="00040285" w:rsidP="00040285">
            <w:pPr>
              <w:ind w:firstLine="720"/>
            </w:pPr>
            <w:r w:rsidRPr="009B33BB">
              <w:t xml:space="preserve">1) </w:t>
            </w:r>
            <w:r>
              <w:rPr>
                <w:rFonts w:eastAsia="Calibri"/>
              </w:rPr>
              <w:t>n</w:t>
            </w:r>
            <w:r w:rsidRPr="004B0E78">
              <w:rPr>
                <w:rFonts w:eastAsia="Calibri"/>
              </w:rPr>
              <w:t>oziedzīgi iegūtu līdzekļu legalizācijas un terorisma un proliferācijas finansēšanas novēršan</w:t>
            </w:r>
            <w:r>
              <w:rPr>
                <w:rFonts w:eastAsia="Calibri"/>
              </w:rPr>
              <w:t xml:space="preserve">as (turpmāk – </w:t>
            </w:r>
            <w:r w:rsidRPr="009B33BB">
              <w:t>NILLTPFN</w:t>
            </w:r>
            <w:r>
              <w:t>)</w:t>
            </w:r>
            <w:r w:rsidRPr="009B33BB" w:rsidDel="0008057C">
              <w:t xml:space="preserve"> </w:t>
            </w:r>
            <w:r w:rsidRPr="009B33BB">
              <w:t>jautājumi;</w:t>
            </w:r>
          </w:p>
          <w:p w14:paraId="3FB153CB" w14:textId="77777777" w:rsidR="00040285" w:rsidRPr="009B33BB" w:rsidRDefault="00040285" w:rsidP="00040285">
            <w:pPr>
              <w:ind w:firstLine="720"/>
            </w:pPr>
            <w:r w:rsidRPr="009B33BB">
              <w:t>2) kredītrisku/kredītspējas vērtēšana;</w:t>
            </w:r>
          </w:p>
          <w:p w14:paraId="10E863BF" w14:textId="77777777" w:rsidR="00040285" w:rsidRPr="009B33BB" w:rsidRDefault="00040285" w:rsidP="00040285">
            <w:pPr>
              <w:ind w:firstLine="720"/>
            </w:pPr>
            <w:r w:rsidRPr="009B33BB">
              <w:lastRenderedPageBreak/>
              <w:t xml:space="preserve">3) </w:t>
            </w:r>
            <w:proofErr w:type="spellStart"/>
            <w:r w:rsidRPr="009B33BB">
              <w:t>pirmslīguma</w:t>
            </w:r>
            <w:proofErr w:type="spellEnd"/>
            <w:r w:rsidRPr="009B33BB">
              <w:t xml:space="preserve"> informācija un līguma saturs;</w:t>
            </w:r>
          </w:p>
          <w:p w14:paraId="3E47576D" w14:textId="77777777" w:rsidR="00040285" w:rsidRDefault="00040285" w:rsidP="00040285">
            <w:pPr>
              <w:ind w:firstLine="720"/>
            </w:pPr>
            <w:r w:rsidRPr="009B33BB">
              <w:t xml:space="preserve">4) reklāmas ierobežojumi, aizdevumu administrēšana un kvalitātes pārraudzība; </w:t>
            </w:r>
            <w:r w:rsidRPr="009B33BB">
              <w:tab/>
            </w:r>
          </w:p>
          <w:p w14:paraId="51F1BD8C" w14:textId="77777777" w:rsidR="00040285" w:rsidRDefault="00040285" w:rsidP="00040285">
            <w:pPr>
              <w:ind w:firstLine="720"/>
            </w:pPr>
            <w:r w:rsidRPr="009B33BB">
              <w:t xml:space="preserve">5) pārvaldības jautājumi. </w:t>
            </w:r>
          </w:p>
          <w:p w14:paraId="4201929B" w14:textId="77777777" w:rsidR="00040285" w:rsidRDefault="00040285" w:rsidP="00040285">
            <w:r w:rsidRPr="00234FF2">
              <w:t xml:space="preserve">Darba grupu ietvaros, izskatot Latvijas Bankas uzraudzības pieeju katrā attiecīgajā tematiskajā jautājumā, notika diskusijas un ir panāktas vienošanās un kopējas izpratnes par pārvaldības sistēmu, </w:t>
            </w:r>
            <w:r w:rsidRPr="18B3CC22">
              <w:rPr>
                <w:rFonts w:eastAsia="Calibri"/>
              </w:rPr>
              <w:t>NILLTPFN</w:t>
            </w:r>
            <w:r w:rsidRPr="00234FF2">
              <w:t xml:space="preserve"> jautājumiem, kredītrisku un kredītspējas novērtēšanas atsevišķiem aspektiem, vienlaikus tiks turpinātas diskusijas par kredītspējas vērtēšanas pieejas pilnveides iespējām un salīdzinājumu ar Lietuvā izmantot modeli, atsevišķiem tehniskiem </w:t>
            </w:r>
            <w:r w:rsidRPr="18B3CC22">
              <w:rPr>
                <w:rFonts w:eastAsia="Calibri"/>
              </w:rPr>
              <w:t>NILLTPFN</w:t>
            </w:r>
            <w:r w:rsidRPr="00234FF2">
              <w:t xml:space="preserve"> </w:t>
            </w:r>
            <w:r>
              <w:t xml:space="preserve">jomas </w:t>
            </w:r>
            <w:r w:rsidRPr="00234FF2">
              <w:t xml:space="preserve">uzraudzības aspektiem, </w:t>
            </w:r>
            <w:r>
              <w:t>K</w:t>
            </w:r>
            <w:r w:rsidRPr="00234FF2">
              <w:t>redīt</w:t>
            </w:r>
            <w:r>
              <w:t xml:space="preserve">u </w:t>
            </w:r>
            <w:r w:rsidRPr="00234FF2">
              <w:t xml:space="preserve">reģistram  </w:t>
            </w:r>
            <w:r w:rsidRPr="396E4632">
              <w:t>sniedzamās</w:t>
            </w:r>
            <w:r w:rsidRPr="1EFEED41">
              <w:t xml:space="preserve"> </w:t>
            </w:r>
            <w:r w:rsidRPr="00234FF2">
              <w:t>informācij</w:t>
            </w:r>
            <w:r w:rsidRPr="3D1CF749">
              <w:t xml:space="preserve">as </w:t>
            </w:r>
            <w:r w:rsidRPr="614832AF">
              <w:t>apjomu</w:t>
            </w:r>
            <w:r w:rsidRPr="00234FF2">
              <w:t>, iesniedzamo uzraudzības pārskatu</w:t>
            </w:r>
            <w:r>
              <w:t xml:space="preserve"> u.c. jautājumiem.</w:t>
            </w:r>
            <w:r w:rsidRPr="00234FF2">
              <w:t xml:space="preserve"> </w:t>
            </w:r>
            <w:r w:rsidRPr="009D0164">
              <w:t>Latvijas Banka ir izveidojusi informācijas apmaiņas kanālu regulārai saziņai ar nozari, kurā tai skaitā tiek nodrošināta atbilžu publicēšana uz nozares neskaidriem jautājumiem.</w:t>
            </w:r>
            <w:r>
              <w:t xml:space="preserve"> Latvijas Banka turpina saziņa ar patērētāju kreditētājiem. </w:t>
            </w:r>
          </w:p>
          <w:p w14:paraId="5162099E" w14:textId="77777777" w:rsidR="00040285" w:rsidRDefault="00040285" w:rsidP="00040285"/>
          <w:p w14:paraId="3917CCEA" w14:textId="77777777" w:rsidR="00040285" w:rsidRDefault="00040285" w:rsidP="00040285">
            <w:r>
              <w:t xml:space="preserve">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w:t>
            </w:r>
            <w:r>
              <w:lastRenderedPageBreak/>
              <w:t>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kreditētāju tiesības un pienākumi ar šo iecerēto funkciju un no tām izrietošo uzdevumu pāreju netiek ierobežoti, kā arī nerada jaunu administratīvo, finanšu vai konkurences slogu.</w:t>
            </w:r>
          </w:p>
          <w:p w14:paraId="611CF0AB" w14:textId="77777777" w:rsidR="00040285" w:rsidRDefault="00040285" w:rsidP="00040285"/>
          <w:p w14:paraId="2E49AAC9" w14:textId="77777777" w:rsidR="00040285" w:rsidRDefault="00040285" w:rsidP="00040285">
            <w:r w:rsidRPr="00BE63DC">
              <w:t>Tiesiskās paļāvības princips nozīmē, ka persona var paļauties uz to, ka tiesības un likumiskās intereses, kuras tā ir ieguvusi, tai vēlāk netiks atņemtas. Šā principa pamatā ir personas paļaušanās uz valsts tiesisku un konsekventu rīcību (</w:t>
            </w:r>
            <w:r w:rsidRPr="00BE63DC">
              <w:rPr>
                <w:i/>
              </w:rPr>
              <w:t>Satversmes tiesas 2012.gada 25.janvāra sprieduma lietā Nr. 2011-08-01 10.punkts</w:t>
            </w:r>
            <w:r w:rsidRPr="00BE63DC">
              <w:t>). Tā galvenais uzdevums ir aizsargāt personas tiesības gadījumos, kad normatīvā regulējuma grozījumu rezultātā notiek vai ir iespējama privātpersonu tiesiskā stāvokļa pasliktināšanās (</w:t>
            </w:r>
            <w:r w:rsidRPr="00BE63DC">
              <w:rPr>
                <w:i/>
              </w:rPr>
              <w:t>Satversmes tiesas 2006.gada 8.novembra sprieduma lietā Nr. 2006-04-01 21.punkts</w:t>
            </w:r>
            <w:r w:rsidRPr="00BE63DC">
              <w:t>). Taču tiesiskās paļāvības princips neizslēdz valsts iespēju grozīt pastāvošo tiesisko regulējumu (</w:t>
            </w:r>
            <w:r w:rsidRPr="00BE63DC">
              <w:rPr>
                <w:i/>
              </w:rPr>
              <w:t xml:space="preserve">Satversmes tiesas </w:t>
            </w:r>
            <w:r w:rsidRPr="00BE63DC">
              <w:rPr>
                <w:i/>
              </w:rPr>
              <w:lastRenderedPageBreak/>
              <w:t>2010.gada 1.decembra sprieduma lietā Nr. 2010-21-01 19.punkts</w:t>
            </w:r>
            <w:r w:rsidRPr="00BE63DC">
              <w:t>). Tiesiskās paļāvības princips tostarp noteic arī to, ka personas reiz iegūtās tiesības nevar pastāvēt neierobežoti ilgi, proti, šis princips nedod pamatu ticēt, ka reiz noteiktā tiesiskā situācija nekad nemainīsies (</w:t>
            </w:r>
            <w:r w:rsidRPr="00BE63DC">
              <w:rPr>
                <w:i/>
              </w:rPr>
              <w:t>Satversmes tiesas 2004.gada 25.oktobra sprieduma lietā Nr. 2004-03-01 9.3.punkts</w:t>
            </w:r>
            <w:r w:rsidRPr="00BE63DC">
              <w:t>).</w:t>
            </w:r>
          </w:p>
          <w:p w14:paraId="5B29B29D" w14:textId="77777777" w:rsidR="00040285" w:rsidRDefault="00040285" w:rsidP="00040285">
            <w:r>
              <w:t>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14:paraId="69B629D1" w14:textId="77777777" w:rsidR="00040285" w:rsidRDefault="00040285" w:rsidP="00040285">
            <w: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 </w:t>
            </w:r>
          </w:p>
          <w:p w14:paraId="0C6F2FA4" w14:textId="77777777" w:rsidR="00040285" w:rsidRDefault="00040285" w:rsidP="00040285"/>
          <w:p w14:paraId="20834B98" w14:textId="77777777" w:rsidR="00040285" w:rsidRDefault="00040285" w:rsidP="00040285">
            <w:r>
              <w:t xml:space="preserve">Attiecībā uz labas likumdošanas principu norādāms, ka Satversmes tiesa ir atzinusi to, ka tas, ka </w:t>
            </w:r>
            <w:r w:rsidRPr="00CF1F0A">
              <w:t xml:space="preserve">likumdevējs nav ņēmis vērā visus paustos </w:t>
            </w:r>
            <w:r w:rsidRPr="00CF1F0A">
              <w:lastRenderedPageBreak/>
              <w:t>iebildumus un sniegtos priekšlikumus, nevar būt par pamatu tam, lai atzītu, ka labas likumdošanas princips nav ievērots (</w:t>
            </w:r>
            <w:r w:rsidRPr="00CF1F0A">
              <w:rPr>
                <w:i/>
                <w:iCs/>
              </w:rPr>
              <w:t>sk., piemēram, Satversmes tiesas 2015. gada 25. marta sprieduma lietā Nr. 2014-11-0103 18.1. punktu</w:t>
            </w:r>
            <w:r>
              <w:rPr>
                <w:i/>
                <w:iCs/>
              </w:rPr>
              <w:t>;</w:t>
            </w:r>
            <w:r w:rsidRPr="00391BD4">
              <w:rPr>
                <w:i/>
                <w:iCs/>
              </w:rPr>
              <w:t xml:space="preserve"> </w:t>
            </w:r>
            <w:r>
              <w:rPr>
                <w:i/>
                <w:iCs/>
              </w:rPr>
              <w:t xml:space="preserve">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 xml:space="preserve">). </w:t>
            </w:r>
            <w:r>
              <w:t xml:space="preserve">Tāpat </w:t>
            </w:r>
            <w:r w:rsidRPr="00CF1F0A">
              <w:t xml:space="preserve">Satversmes tiesa </w:t>
            </w:r>
            <w:r>
              <w:t xml:space="preserve">ir </w:t>
            </w:r>
            <w:r w:rsidRPr="00CF1F0A">
              <w:t>uzsv</w:t>
            </w:r>
            <w:r>
              <w:t>ērusi</w:t>
            </w:r>
            <w:r w:rsidRPr="00CF1F0A">
              <w:t xml:space="preserve">,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w:t>
            </w:r>
            <w:r w:rsidRPr="009115A7">
              <w:rPr>
                <w:color w:val="auto"/>
              </w:rPr>
              <w:t>ievērojot </w:t>
            </w:r>
            <w:hyperlink r:id="rId8" w:tgtFrame="_blank" w:history="1">
              <w:r w:rsidRPr="009115A7">
                <w:rPr>
                  <w:rStyle w:val="Hyperlink"/>
                  <w:color w:val="auto"/>
                  <w:u w:val="none"/>
                </w:rPr>
                <w:t>Satversmē</w:t>
              </w:r>
            </w:hyperlink>
            <w:r w:rsidRPr="00CF1F0A">
              <w:t> ietvertās vērtības un vispārējos tiesību principus (</w:t>
            </w:r>
            <w:r w:rsidRPr="00CF1F0A">
              <w:rPr>
                <w:i/>
                <w:iCs/>
              </w:rPr>
              <w:t>sal. sk. Satversmes tiesas 2019. gada 23. aprīļa sprieduma lietā Nr. 2018-12-01 24.1. punktu</w:t>
            </w:r>
            <w:r>
              <w:rPr>
                <w:i/>
                <w:iCs/>
              </w:rPr>
              <w:t xml:space="preserve">; 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w:t>
            </w:r>
            <w:r>
              <w:t xml:space="preserve"> </w:t>
            </w:r>
          </w:p>
          <w:p w14:paraId="67F7D5B7" w14:textId="77777777" w:rsidR="00040285" w:rsidRDefault="00040285" w:rsidP="00040285">
            <w:r>
              <w:t xml:space="preserve">Ņemot vērā līdzšinējo finanšu sektora asociāciju aktīvo iesaisti gan  Informatīvā ziņojuma izstrādē, gan arī sniedzot atzinumus par likumprojektu </w:t>
            </w:r>
            <w:proofErr w:type="spellStart"/>
            <w:r>
              <w:t>pakotni</w:t>
            </w:r>
            <w:proofErr w:type="spellEnd"/>
            <w:r>
              <w:t xml:space="preserve">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14:paraId="29CEC2F8" w14:textId="77777777" w:rsidR="00040285" w:rsidRDefault="00040285" w:rsidP="00040285"/>
          <w:p w14:paraId="7C1A76BC" w14:textId="77777777" w:rsidR="00040285" w:rsidRDefault="00040285" w:rsidP="00040285">
            <w:r>
              <w:t xml:space="preserve">Tāpēc vēlreiz uzsverams, ka jau </w:t>
            </w:r>
            <w:r w:rsidRPr="005B6105">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w:t>
            </w:r>
            <w:r>
              <w:t>Savukārt a</w:t>
            </w:r>
            <w:r w:rsidRPr="005B6105">
              <w:t xml:space="preserve">r </w:t>
            </w:r>
            <w:r>
              <w:t xml:space="preserve">13 </w:t>
            </w:r>
            <w:r w:rsidRPr="005B6105">
              <w:t>likumprojektu</w:t>
            </w:r>
            <w:r>
              <w:t xml:space="preserve"> </w:t>
            </w:r>
            <w:proofErr w:type="spellStart"/>
            <w:r>
              <w:t>pakotni</w:t>
            </w:r>
            <w:proofErr w:type="spellEnd"/>
            <w:r>
              <w:t xml:space="preserve"> </w:t>
            </w:r>
            <w:r w:rsidRPr="005B6105">
              <w:t xml:space="preserve">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r>
              <w:t>.</w:t>
            </w:r>
          </w:p>
          <w:p w14:paraId="41A620E3" w14:textId="77777777" w:rsidR="00FE00E6" w:rsidRDefault="00FE00E6" w:rsidP="00040285"/>
          <w:p w14:paraId="4E7F03E4" w14:textId="7E22CA89" w:rsidR="00FE00E6" w:rsidRPr="00A72C48" w:rsidRDefault="00FE00E6" w:rsidP="00FE00E6">
            <w:pPr>
              <w:rPr>
                <w:b/>
                <w:bCs/>
              </w:rPr>
            </w:pPr>
            <w:r>
              <w:rPr>
                <w:b/>
                <w:bCs/>
              </w:rPr>
              <w:t>II</w:t>
            </w:r>
            <w:r w:rsidRPr="00A72C48">
              <w:rPr>
                <w:b/>
                <w:bCs/>
              </w:rPr>
              <w:t xml:space="preserve"> Par deleģējumu</w:t>
            </w:r>
          </w:p>
          <w:p w14:paraId="79C5307E" w14:textId="77777777" w:rsidR="00FE00E6" w:rsidRDefault="00FE00E6" w:rsidP="00FE00E6"/>
          <w:p w14:paraId="1CE25CD8" w14:textId="77777777" w:rsidR="00FE00E6" w:rsidRDefault="00FE00E6" w:rsidP="00FE00E6">
            <w:r>
              <w:t xml:space="preserve">Latvijas Banka neplāno jaunu prasību ieviešanu tirgus dalībniekiem. Norādāms, ka Latvijas tiesību sistēmā ietvertā kārtība paredz, ka likumi ir vispārēji tiesību akti kas nosaka vispārējas tiesības un pienākumus, tiem nav instrukcijas rakstura, savukārt detalizētu jomas regulējumu ietver Ministru kabineta noteikumi un citi līdzīga rakstura tiesību akti. </w:t>
            </w:r>
            <w:r w:rsidRPr="00FD6FC5">
              <w:t xml:space="preserve">Latvijas Bankai ir tiesības izdot ārējos normatīvos aktus finanšu tirgus dalībniekiem, un šo pilnvaru paplašināšana uz patērētāju aizsardzību finanšu jomā ir loģiska, lai </w:t>
            </w:r>
            <w:r w:rsidRPr="00FD6FC5">
              <w:lastRenderedPageBreak/>
              <w:t>nodrošinātu konsekventu, vienoti piemērojamu regulējumu, nevis fragmentētu sistēmu.</w:t>
            </w:r>
          </w:p>
          <w:p w14:paraId="4450E3C2" w14:textId="77777777" w:rsidR="00FE00E6" w:rsidRDefault="00FE00E6" w:rsidP="00FE00E6"/>
          <w:p w14:paraId="6E45199A" w14:textId="2C14C8F1" w:rsidR="00FE00E6" w:rsidRDefault="00FE00E6" w:rsidP="00FE00E6">
            <w:pPr>
              <w:rPr>
                <w:b/>
                <w:bCs/>
              </w:rPr>
            </w:pPr>
            <w:r>
              <w:rPr>
                <w:b/>
                <w:bCs/>
              </w:rPr>
              <w:t>III</w:t>
            </w:r>
            <w:r w:rsidRPr="00C97B18">
              <w:rPr>
                <w:b/>
                <w:bCs/>
              </w:rPr>
              <w:t xml:space="preserve"> Par </w:t>
            </w:r>
            <w:r>
              <w:rPr>
                <w:b/>
                <w:bCs/>
              </w:rPr>
              <w:t>sankcijām</w:t>
            </w:r>
          </w:p>
          <w:p w14:paraId="6BF426AC" w14:textId="77777777" w:rsidR="00FE00E6" w:rsidRDefault="00FE00E6" w:rsidP="00FE00E6">
            <w:pPr>
              <w:rPr>
                <w:color w:val="auto"/>
              </w:rPr>
            </w:pPr>
          </w:p>
          <w:p w14:paraId="107C8CE6" w14:textId="77777777" w:rsidR="00FE00E6" w:rsidRPr="00F4502F" w:rsidRDefault="00FE00E6" w:rsidP="00FE00E6">
            <w:r w:rsidRPr="00F4502F">
              <w:rPr>
                <w:szCs w:val="24"/>
              </w:rPr>
              <w:t xml:space="preserve">Sodi, kas tiek piemēroti saskaņā ar Negodīgas komercprakses likumu, arī turpmāk tiks piemēroti saskaņā ar minēto likumu, to neietekmē ar likumprojektu grozījumi Patērētāju tiesību aizsardzības likumā. </w:t>
            </w:r>
          </w:p>
          <w:p w14:paraId="15360323" w14:textId="77777777" w:rsidR="00FE00E6" w:rsidRPr="00F4502F" w:rsidRDefault="00FE00E6" w:rsidP="00FE00E6">
            <w:r w:rsidRPr="00F4502F">
              <w:t>Likumprojektā paredzētais jaunais pants paredz atbildību tikai par Patērētāju tiesību aizsardzības likuma, nevis citu likumu prasību pārkāpumiem, un paredz Latvijas Bankas kompetenci atbildības piemērošanā.</w:t>
            </w:r>
          </w:p>
          <w:p w14:paraId="3FF1F233" w14:textId="77777777" w:rsidR="00434067" w:rsidRDefault="00FE00E6" w:rsidP="00FE00E6">
            <w:pPr>
              <w:rPr>
                <w:szCs w:val="24"/>
              </w:rPr>
            </w:pPr>
            <w:r w:rsidRPr="00F4502F">
              <w:rPr>
                <w:szCs w:val="24"/>
              </w:rPr>
              <w:t xml:space="preserve">Piedāvātie grozījumi Patērētāju tiesību aizsardzības likumā neparedz jaunu patērētāju tiesību pārkāpumu vai sankciju sistēmas ieviešanu. Tie nodrošina esošā regulējuma nepārtrauktību, pārceļot līdzšinējo atbildības piemērošanas kārtību uz Administratīvā procesa likuma ietvaru, vienlaikus ņemot vērā Latvijas Bankas institucionālo lomu finanšu pakalpojumu jomā. Līdz šim tie paši patērētāju tiesību pārkāpumi – tostarp maksas par pakalpojumu nepareiza noteikšana, informācijas sniegšanas pienākuma neievērošana, kreditēšanas nosacījumu pārkāpšana vai pakalpojumu sniegšana bez licences – bija tieši noteikti Patērētāju tiesību aizsardzības likuma 37. pantā un piemērojami administratīvā pārkāpuma procesa kārtībā. Arī turpmāk tie paši pārkāpumi </w:t>
            </w:r>
            <w:r w:rsidRPr="00F4502F">
              <w:rPr>
                <w:szCs w:val="24"/>
              </w:rPr>
              <w:lastRenderedPageBreak/>
              <w:t>saglabājas nemainīgi pēc būtības – tiek mainīta vienīgi procedūra, kādā tiek piemērota atbildība.</w:t>
            </w:r>
          </w:p>
          <w:p w14:paraId="600122E3" w14:textId="77777777" w:rsidR="00FE00E6" w:rsidRDefault="00FE00E6" w:rsidP="00FE00E6">
            <w:pPr>
              <w:rPr>
                <w:szCs w:val="24"/>
              </w:rPr>
            </w:pPr>
          </w:p>
          <w:p w14:paraId="26A441BF" w14:textId="31561F07" w:rsidR="00FE00E6" w:rsidRDefault="00FE00E6" w:rsidP="00FE00E6">
            <w:pPr>
              <w:rPr>
                <w:b/>
                <w:bCs/>
              </w:rPr>
            </w:pPr>
            <w:r>
              <w:rPr>
                <w:b/>
                <w:bCs/>
              </w:rPr>
              <w:t>IV</w:t>
            </w:r>
            <w:r w:rsidRPr="00C97B18">
              <w:rPr>
                <w:b/>
                <w:bCs/>
              </w:rPr>
              <w:t xml:space="preserve"> Par uzraudzības maksām </w:t>
            </w:r>
          </w:p>
          <w:p w14:paraId="067B09B7" w14:textId="77777777" w:rsidR="00FE00E6" w:rsidRPr="00C97B18" w:rsidRDefault="00FE00E6" w:rsidP="00FE00E6">
            <w:pPr>
              <w:rPr>
                <w:b/>
                <w:bCs/>
              </w:rPr>
            </w:pPr>
          </w:p>
          <w:p w14:paraId="39307657" w14:textId="77777777" w:rsidR="00FE00E6" w:rsidRPr="00651AA8" w:rsidRDefault="00FE00E6" w:rsidP="00FE00E6">
            <w:r w:rsidRPr="00651AA8">
              <w:t xml:space="preserve">Precizēts pārejas regulējums likumprojektā, nosakot uz 3 gadiem pārejas periodu, kurā kopējais uzraudzības maksājums Latvijas Bankai nepārsniedz 55 000 </w:t>
            </w:r>
            <w:r w:rsidRPr="00651AA8">
              <w:rPr>
                <w:i/>
                <w:iCs/>
              </w:rPr>
              <w:t>euro</w:t>
            </w:r>
            <w:r w:rsidRPr="00651AA8">
              <w:t xml:space="preserve"> gadā.</w:t>
            </w:r>
          </w:p>
          <w:p w14:paraId="1338BEAD" w14:textId="77777777" w:rsidR="00FE00E6" w:rsidRPr="00651AA8" w:rsidRDefault="00FE00E6" w:rsidP="00FE00E6"/>
          <w:p w14:paraId="02F7A8E0" w14:textId="77777777" w:rsidR="00FE00E6" w:rsidRPr="00651AA8" w:rsidRDefault="00FE00E6" w:rsidP="00FE00E6">
            <w:pPr>
              <w:rPr>
                <w:color w:val="auto"/>
              </w:rPr>
            </w:pPr>
            <w:r w:rsidRPr="00651AA8">
              <w:rPr>
                <w:color w:val="auto"/>
              </w:rPr>
              <w:t xml:space="preserve">Vienlaikus skaidrojams, kā jau ir norādīts likumprojekta anotācijā, Latvijas Bankas papildu tiešās izmaksas funkcijas nodrošināšanai maksimālā apmērā sasniegtu 352 800 </w:t>
            </w:r>
            <w:r w:rsidRPr="00651AA8">
              <w:rPr>
                <w:i/>
                <w:iCs/>
                <w:color w:val="auto"/>
              </w:rPr>
              <w:t>euro</w:t>
            </w:r>
            <w:r w:rsidRPr="00651AA8">
              <w:rPr>
                <w:color w:val="auto"/>
              </w:rPr>
              <w:t xml:space="preserve"> ik gadu, paredzot, ka šo funkciju Latvijas Bankā īstenotu seši darbinieki kā jomas eksperti, kuriem atalgojuma izdevumi būtu vidēji 55 800 </w:t>
            </w:r>
            <w:r w:rsidRPr="00651AA8">
              <w:rPr>
                <w:i/>
                <w:iCs/>
                <w:color w:val="auto"/>
              </w:rPr>
              <w:t>euro</w:t>
            </w:r>
            <w:r w:rsidRPr="00651AA8">
              <w:rPr>
                <w:color w:val="auto"/>
              </w:rPr>
              <w:t xml:space="preserve">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 </w:t>
            </w:r>
          </w:p>
          <w:p w14:paraId="72164B6D" w14:textId="77777777" w:rsidR="00FE00E6" w:rsidRPr="00651AA8" w:rsidRDefault="00FE00E6" w:rsidP="00FE00E6">
            <w:pPr>
              <w:rPr>
                <w:color w:val="auto"/>
              </w:rPr>
            </w:pPr>
            <w:r w:rsidRPr="00651AA8">
              <w:rPr>
                <w:color w:val="auto"/>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w:t>
            </w:r>
            <w:r w:rsidRPr="00651AA8">
              <w:rPr>
                <w:color w:val="auto"/>
              </w:rPr>
              <w:lastRenderedPageBreak/>
              <w:t>izmaksas (t.sk. tādas, kas rodas papildus, gan esošas izmaksas, kas attiecinātas uz konkrēto tirgus segmentu), jo to uzraudzība netiek finansēta no valsts budžeta vai citiem publiskiem līdzekļiem.</w:t>
            </w:r>
          </w:p>
          <w:p w14:paraId="5C587B53" w14:textId="77777777" w:rsidR="00FE00E6" w:rsidRPr="00651AA8" w:rsidRDefault="00FE00E6" w:rsidP="00FE00E6">
            <w:pPr>
              <w:rPr>
                <w:color w:val="auto"/>
              </w:rPr>
            </w:pPr>
            <w:r w:rsidRPr="00651AA8">
              <w:rPr>
                <w:color w:val="auto"/>
              </w:rPr>
              <w:t xml:space="preserve">Ņemot vērā iepriekš minēto, Latvijas Banka aprēķināja, ka maksimālā no nozares iekasējamā un izdevumu segšanai nepieciešamā summa gadā varētu sasniegt 88 0000 </w:t>
            </w:r>
            <w:r w:rsidRPr="00651AA8">
              <w:rPr>
                <w:i/>
                <w:iCs/>
                <w:color w:val="auto"/>
              </w:rPr>
              <w:t>euro</w:t>
            </w:r>
            <w:r w:rsidRPr="00651AA8">
              <w:rPr>
                <w:color w:val="auto"/>
              </w:rPr>
              <w:t xml:space="preserve"> pretstatā 2 991 250 </w:t>
            </w:r>
            <w:r w:rsidRPr="00651AA8">
              <w:rPr>
                <w:i/>
                <w:iCs/>
                <w:color w:val="auto"/>
              </w:rPr>
              <w:t>euro</w:t>
            </w:r>
            <w:r w:rsidRPr="00651AA8">
              <w:rPr>
                <w:color w:val="auto"/>
              </w:rPr>
              <w:t xml:space="preserve">, ko saskaņā ar EM aprēķiniem 2025. gadā samaksāja patērētāju kreditēšanas nozares sabiedrības. Tas atspoguļots likumprojekta anotācijas  2.1. punktā, kur norādīts, ka ikgadējā uzraudzības maksa katram patērētāju kreditētājam samazinās vidēji par 32 435, 9 eiro (mīnus 59%) jeb sasniedz 22 564,1 </w:t>
            </w:r>
            <w:r w:rsidRPr="00651AA8">
              <w:rPr>
                <w:i/>
                <w:iCs/>
                <w:color w:val="auto"/>
              </w:rPr>
              <w:t>euro</w:t>
            </w:r>
            <w:r w:rsidRPr="00651AA8">
              <w:rPr>
                <w:color w:val="auto"/>
              </w:rPr>
              <w:t xml:space="preserve"> pretstatā spēkā esošajai ikgadējai nodevai 55 000 </w:t>
            </w:r>
            <w:r w:rsidRPr="00651AA8">
              <w:rPr>
                <w:i/>
                <w:iCs/>
                <w:color w:val="auto"/>
              </w:rPr>
              <w:t>euro</w:t>
            </w:r>
            <w:r w:rsidRPr="00651AA8">
              <w:rPr>
                <w:color w:val="auto"/>
              </w:rPr>
              <w:t>.</w:t>
            </w:r>
          </w:p>
          <w:p w14:paraId="4980111E" w14:textId="77777777" w:rsidR="00FE00E6" w:rsidRPr="00651AA8" w:rsidRDefault="00FE00E6" w:rsidP="00FE00E6">
            <w:pPr>
              <w:rPr>
                <w:color w:val="auto"/>
              </w:rPr>
            </w:pPr>
            <w:r w:rsidRPr="00651AA8">
              <w:rPr>
                <w:color w:val="auto"/>
              </w:rPr>
              <w:t>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14:paraId="511D904D" w14:textId="77777777" w:rsidR="00FE00E6" w:rsidRDefault="00FE00E6" w:rsidP="00FE00E6">
            <w:pPr>
              <w:rPr>
                <w:color w:val="auto"/>
              </w:rPr>
            </w:pPr>
            <w:r w:rsidRPr="00651AA8">
              <w:rPr>
                <w:color w:val="auto"/>
              </w:rPr>
              <w:t xml:space="preserve">Minētie resursi aprēķināti gan patērētāju kreditēšanas pakalpojumu sniedzēju licencēšanai </w:t>
            </w:r>
            <w:r w:rsidRPr="00651AA8">
              <w:rPr>
                <w:color w:val="auto"/>
              </w:rPr>
              <w:lastRenderedPageBreak/>
              <w:t>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14:paraId="4A65E814" w14:textId="77777777" w:rsidR="00FE00E6" w:rsidRDefault="00FE00E6" w:rsidP="00FE00E6"/>
          <w:p w14:paraId="42852201" w14:textId="7571F9D7" w:rsidR="00FE00E6" w:rsidRPr="00AB49A6" w:rsidRDefault="00FE00E6" w:rsidP="00FE00E6">
            <w:pPr>
              <w:rPr>
                <w:b/>
                <w:bCs/>
              </w:rPr>
            </w:pPr>
            <w:r w:rsidRPr="00AB49A6">
              <w:rPr>
                <w:b/>
                <w:bCs/>
              </w:rPr>
              <w:t xml:space="preserve">V Par tiesisko pēctecību pārejas periodā </w:t>
            </w:r>
          </w:p>
          <w:p w14:paraId="087658EF" w14:textId="77777777" w:rsidR="00FE00E6" w:rsidRPr="0050041F" w:rsidRDefault="00FE00E6" w:rsidP="00FE00E6">
            <w:pPr>
              <w:rPr>
                <w:i/>
                <w:iCs/>
              </w:rPr>
            </w:pPr>
          </w:p>
          <w:p w14:paraId="6071D2C9" w14:textId="3F3E70C3" w:rsidR="00FE00E6" w:rsidRDefault="00FE00E6" w:rsidP="00FE00E6">
            <w:r>
              <w:t>Pārejas regulējumā ir noteikts, ka t</w:t>
            </w:r>
            <w:r w:rsidRPr="00B86603">
              <w: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r>
              <w:t xml:space="preserve"> Tāpat </w:t>
            </w:r>
            <w:r w:rsidRPr="00B86603">
              <w:t>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r>
              <w:t>, līdz ar to Patērētāju tiesību aizsardzības centra atbildība par uzsāktajiem procesiem saglabājas</w:t>
            </w:r>
            <w:r w:rsidRPr="00B86603">
              <w:t>.</w:t>
            </w:r>
          </w:p>
        </w:tc>
        <w:tc>
          <w:tcPr>
            <w:tcW w:w="2949" w:type="dxa"/>
            <w:shd w:val="clear" w:color="auto" w:fill="FFFFFF"/>
            <w:noWrap/>
            <w:tcMar>
              <w:top w:w="75" w:type="dxa"/>
              <w:left w:w="75" w:type="dxa"/>
              <w:bottom w:w="75" w:type="dxa"/>
              <w:right w:w="75" w:type="dxa"/>
            </w:tcMar>
          </w:tcPr>
          <w:p w14:paraId="09B04243" w14:textId="77777777" w:rsidR="00434067" w:rsidRDefault="00434067" w:rsidP="00360B15">
            <w:pPr>
              <w:spacing w:after="240"/>
              <w:rPr>
                <w:b/>
              </w:rPr>
            </w:pPr>
          </w:p>
        </w:tc>
      </w:tr>
    </w:tbl>
    <w:p w14:paraId="5B6EE59F" w14:textId="77777777" w:rsidR="00F04A11" w:rsidRDefault="00F04A11"/>
    <w:sectPr w:rsidR="00F04A11" w:rsidSect="00470F6D">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433AB" w14:textId="77777777" w:rsidR="003D58CF" w:rsidRDefault="003D58CF" w:rsidP="00470F6D">
      <w:r>
        <w:separator/>
      </w:r>
    </w:p>
  </w:endnote>
  <w:endnote w:type="continuationSeparator" w:id="0">
    <w:p w14:paraId="1E4EB33D" w14:textId="77777777" w:rsidR="003D58CF" w:rsidRDefault="003D58CF" w:rsidP="0047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D3F2" w14:textId="77777777" w:rsidR="00470F6D" w:rsidRDefault="00470F6D">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F418" w14:textId="77777777" w:rsidR="00470F6D" w:rsidRDefault="00470F6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FE2E6" w14:textId="77777777" w:rsidR="003D58CF" w:rsidRDefault="003D58CF" w:rsidP="00470F6D">
      <w:r>
        <w:separator/>
      </w:r>
    </w:p>
  </w:footnote>
  <w:footnote w:type="continuationSeparator" w:id="0">
    <w:p w14:paraId="26996ED7" w14:textId="77777777" w:rsidR="003D58CF" w:rsidRDefault="003D58CF" w:rsidP="0047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7530" w14:textId="77777777" w:rsidR="00470F6D" w:rsidRDefault="00470F6D">
    <w:pPr>
      <w:pStyle w:val="Header"/>
      <w:contextualSpacing w:val="0"/>
    </w:pPr>
    <w:r>
      <w:t>Izziņa 26-TA-744</w:t>
    </w:r>
    <w:r>
      <w:br/>
      <w:t>Izdrukāts 23.04.2026. 13.01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A4EA" w14:textId="57E91D34" w:rsidR="00470F6D" w:rsidRDefault="00470F6D">
    <w:pPr>
      <w:pStyle w:val="Header"/>
      <w:contextualSpacing w:val="0"/>
    </w:pPr>
    <w:r>
      <w:t>Izziņa 26-TA-744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039"/>
    <w:multiLevelType w:val="multilevel"/>
    <w:tmpl w:val="6A10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71FDE"/>
    <w:multiLevelType w:val="multilevel"/>
    <w:tmpl w:val="7024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A7AC7"/>
    <w:multiLevelType w:val="multilevel"/>
    <w:tmpl w:val="0E226A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A61C7F"/>
    <w:multiLevelType w:val="multilevel"/>
    <w:tmpl w:val="CAFEF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81C33"/>
    <w:multiLevelType w:val="multilevel"/>
    <w:tmpl w:val="274AC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CA7FC9"/>
    <w:multiLevelType w:val="multilevel"/>
    <w:tmpl w:val="479A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51254"/>
    <w:multiLevelType w:val="multilevel"/>
    <w:tmpl w:val="B7FCD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0A229C"/>
    <w:multiLevelType w:val="multilevel"/>
    <w:tmpl w:val="DE28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10C54"/>
    <w:multiLevelType w:val="hybridMultilevel"/>
    <w:tmpl w:val="E140F272"/>
    <w:lvl w:ilvl="0" w:tplc="384C2D3C">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9" w15:restartNumberingAfterBreak="0">
    <w:nsid w:val="64F26D22"/>
    <w:multiLevelType w:val="multilevel"/>
    <w:tmpl w:val="E628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0A422C"/>
    <w:multiLevelType w:val="multilevel"/>
    <w:tmpl w:val="A378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501211">
    <w:abstractNumId w:val="4"/>
    <w:lvlOverride w:ilvl="0"/>
    <w:lvlOverride w:ilvl="1">
      <w:startOverride w:val="1"/>
    </w:lvlOverride>
    <w:lvlOverride w:ilvl="2"/>
    <w:lvlOverride w:ilvl="3"/>
    <w:lvlOverride w:ilvl="4"/>
    <w:lvlOverride w:ilvl="5"/>
    <w:lvlOverride w:ilvl="6"/>
    <w:lvlOverride w:ilvl="7"/>
    <w:lvlOverride w:ilvl="8"/>
  </w:num>
  <w:num w:numId="2" w16cid:durableId="26142435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8128628">
    <w:abstractNumId w:val="2"/>
  </w:num>
  <w:num w:numId="4" w16cid:durableId="746651876">
    <w:abstractNumId w:val="3"/>
  </w:num>
  <w:num w:numId="5" w16cid:durableId="117379229">
    <w:abstractNumId w:val="0"/>
  </w:num>
  <w:num w:numId="6" w16cid:durableId="61103446">
    <w:abstractNumId w:val="1"/>
  </w:num>
  <w:num w:numId="7" w16cid:durableId="156963027">
    <w:abstractNumId w:val="10"/>
  </w:num>
  <w:num w:numId="8" w16cid:durableId="78792941">
    <w:abstractNumId w:val="6"/>
  </w:num>
  <w:num w:numId="9" w16cid:durableId="1657610013">
    <w:abstractNumId w:val="5"/>
  </w:num>
  <w:num w:numId="10" w16cid:durableId="136609502">
    <w:abstractNumId w:val="9"/>
  </w:num>
  <w:num w:numId="11" w16cid:durableId="1462729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6D"/>
    <w:rsid w:val="00040285"/>
    <w:rsid w:val="00094BCE"/>
    <w:rsid w:val="000C36C5"/>
    <w:rsid w:val="00293D94"/>
    <w:rsid w:val="003D58CF"/>
    <w:rsid w:val="00434067"/>
    <w:rsid w:val="004351B8"/>
    <w:rsid w:val="00470F6D"/>
    <w:rsid w:val="00503413"/>
    <w:rsid w:val="00762B06"/>
    <w:rsid w:val="00907E7D"/>
    <w:rsid w:val="00910B5B"/>
    <w:rsid w:val="0098143C"/>
    <w:rsid w:val="009D178C"/>
    <w:rsid w:val="00A72C48"/>
    <w:rsid w:val="00AB49A6"/>
    <w:rsid w:val="00C127D2"/>
    <w:rsid w:val="00C97B18"/>
    <w:rsid w:val="00DF146D"/>
    <w:rsid w:val="00E85989"/>
    <w:rsid w:val="00EA369D"/>
    <w:rsid w:val="00F04A11"/>
    <w:rsid w:val="00F4502F"/>
    <w:rsid w:val="00FA57B7"/>
    <w:rsid w:val="00FC2B2A"/>
    <w:rsid w:val="00FD6FC5"/>
    <w:rsid w:val="00FE0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7686"/>
  <w15:chartTrackingRefBased/>
  <w15:docId w15:val="{287D1559-1776-4116-B01B-9337A77A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0E6"/>
    <w:pPr>
      <w:spacing w:after="0" w:line="240" w:lineRule="auto"/>
      <w:jc w:val="both"/>
    </w:pPr>
    <w:rPr>
      <w:rFonts w:ascii="Times New Roman" w:eastAsia="Times New Roman" w:hAnsi="Times New Roman" w:cs="Times New Roman"/>
      <w:color w:val="333333"/>
      <w:kern w:val="0"/>
      <w:szCs w:val="20"/>
      <w:lang w:eastAsia="lv-LV"/>
      <w14:ligatures w14:val="none"/>
    </w:rPr>
  </w:style>
  <w:style w:type="paragraph" w:styleId="Heading1">
    <w:name w:val="heading 1"/>
    <w:basedOn w:val="Normal"/>
    <w:next w:val="Normal"/>
    <w:link w:val="Heading1Char"/>
    <w:uiPriority w:val="9"/>
    <w:qFormat/>
    <w:rsid w:val="00470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F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F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F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F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F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F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F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F6D"/>
    <w:rPr>
      <w:rFonts w:eastAsiaTheme="majorEastAsia" w:cstheme="majorBidi"/>
      <w:color w:val="272727" w:themeColor="text1" w:themeTint="D8"/>
    </w:rPr>
  </w:style>
  <w:style w:type="paragraph" w:styleId="Title">
    <w:name w:val="Title"/>
    <w:basedOn w:val="Normal"/>
    <w:next w:val="Normal"/>
    <w:link w:val="TitleChar"/>
    <w:uiPriority w:val="10"/>
    <w:qFormat/>
    <w:rsid w:val="00470F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F6D"/>
    <w:pPr>
      <w:spacing w:before="160"/>
      <w:jc w:val="center"/>
    </w:pPr>
    <w:rPr>
      <w:i/>
      <w:iCs/>
      <w:color w:val="404040" w:themeColor="text1" w:themeTint="BF"/>
    </w:rPr>
  </w:style>
  <w:style w:type="character" w:customStyle="1" w:styleId="QuoteChar">
    <w:name w:val="Quote Char"/>
    <w:basedOn w:val="DefaultParagraphFont"/>
    <w:link w:val="Quote"/>
    <w:uiPriority w:val="29"/>
    <w:rsid w:val="00470F6D"/>
    <w:rPr>
      <w:i/>
      <w:iCs/>
      <w:color w:val="404040" w:themeColor="text1" w:themeTint="BF"/>
    </w:rPr>
  </w:style>
  <w:style w:type="paragraph" w:styleId="ListParagraph">
    <w:name w:val="List Paragraph"/>
    <w:basedOn w:val="Normal"/>
    <w:uiPriority w:val="34"/>
    <w:qFormat/>
    <w:rsid w:val="00470F6D"/>
    <w:pPr>
      <w:ind w:left="720"/>
      <w:contextualSpacing/>
    </w:pPr>
  </w:style>
  <w:style w:type="character" w:styleId="IntenseEmphasis">
    <w:name w:val="Intense Emphasis"/>
    <w:basedOn w:val="DefaultParagraphFont"/>
    <w:uiPriority w:val="21"/>
    <w:qFormat/>
    <w:rsid w:val="00470F6D"/>
    <w:rPr>
      <w:i/>
      <w:iCs/>
      <w:color w:val="0F4761" w:themeColor="accent1" w:themeShade="BF"/>
    </w:rPr>
  </w:style>
  <w:style w:type="paragraph" w:styleId="IntenseQuote">
    <w:name w:val="Intense Quote"/>
    <w:basedOn w:val="Normal"/>
    <w:next w:val="Normal"/>
    <w:link w:val="IntenseQuoteChar"/>
    <w:uiPriority w:val="30"/>
    <w:qFormat/>
    <w:rsid w:val="00470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F6D"/>
    <w:rPr>
      <w:i/>
      <w:iCs/>
      <w:color w:val="0F4761" w:themeColor="accent1" w:themeShade="BF"/>
    </w:rPr>
  </w:style>
  <w:style w:type="character" w:styleId="IntenseReference">
    <w:name w:val="Intense Reference"/>
    <w:basedOn w:val="DefaultParagraphFont"/>
    <w:uiPriority w:val="32"/>
    <w:qFormat/>
    <w:rsid w:val="00470F6D"/>
    <w:rPr>
      <w:b/>
      <w:bCs/>
      <w:smallCaps/>
      <w:color w:val="0F4761" w:themeColor="accent1" w:themeShade="BF"/>
      <w:spacing w:val="5"/>
    </w:rPr>
  </w:style>
  <w:style w:type="paragraph" w:customStyle="1" w:styleId="paragraph">
    <w:name w:val="paragraph"/>
    <w:basedOn w:val="Normal"/>
    <w:next w:val="Normal"/>
    <w:rsid w:val="00470F6D"/>
    <w:pPr>
      <w:contextualSpacing/>
    </w:pPr>
  </w:style>
  <w:style w:type="paragraph" w:customStyle="1" w:styleId="titleparagraph">
    <w:name w:val="title_paragraph"/>
    <w:basedOn w:val="Normal"/>
    <w:next w:val="Normal"/>
    <w:rsid w:val="00470F6D"/>
    <w:pPr>
      <w:spacing w:after="280"/>
      <w:contextualSpacing/>
    </w:pPr>
    <w:rPr>
      <w:b/>
      <w:sz w:val="28"/>
    </w:rPr>
  </w:style>
  <w:style w:type="paragraph" w:styleId="Header">
    <w:name w:val="header"/>
    <w:basedOn w:val="Normal"/>
    <w:next w:val="Normal"/>
    <w:link w:val="HeaderChar"/>
    <w:rsid w:val="00470F6D"/>
    <w:pPr>
      <w:spacing w:after="280"/>
      <w:contextualSpacing/>
      <w:jc w:val="right"/>
    </w:pPr>
  </w:style>
  <w:style w:type="character" w:customStyle="1" w:styleId="HeaderChar">
    <w:name w:val="Header Char"/>
    <w:basedOn w:val="DefaultParagraphFont"/>
    <w:link w:val="Header"/>
    <w:rsid w:val="00470F6D"/>
    <w:rPr>
      <w:rFonts w:ascii="Times New Roman" w:eastAsia="Times New Roman" w:hAnsi="Times New Roman" w:cs="Times New Roman"/>
      <w:color w:val="333333"/>
      <w:kern w:val="0"/>
      <w:szCs w:val="20"/>
      <w:lang w:eastAsia="lv-LV"/>
      <w14:ligatures w14:val="none"/>
    </w:rPr>
  </w:style>
  <w:style w:type="paragraph" w:customStyle="1" w:styleId="signeddocumentparagraph">
    <w:name w:val="signed_document_paragraph"/>
    <w:basedOn w:val="Normal"/>
    <w:next w:val="Normal"/>
    <w:rsid w:val="00470F6D"/>
    <w:pPr>
      <w:contextualSpacing/>
      <w:jc w:val="right"/>
    </w:pPr>
  </w:style>
  <w:style w:type="paragraph" w:styleId="Footer">
    <w:name w:val="footer"/>
    <w:basedOn w:val="Normal"/>
    <w:link w:val="FooterChar"/>
    <w:uiPriority w:val="99"/>
    <w:unhideWhenUsed/>
    <w:rsid w:val="00470F6D"/>
    <w:pPr>
      <w:tabs>
        <w:tab w:val="center" w:pos="4153"/>
        <w:tab w:val="right" w:pos="8306"/>
      </w:tabs>
    </w:pPr>
  </w:style>
  <w:style w:type="character" w:customStyle="1" w:styleId="FooterChar">
    <w:name w:val="Footer Char"/>
    <w:basedOn w:val="DefaultParagraphFont"/>
    <w:link w:val="Footer"/>
    <w:uiPriority w:val="99"/>
    <w:rsid w:val="00470F6D"/>
    <w:rPr>
      <w:rFonts w:ascii="Times New Roman" w:eastAsia="Times New Roman" w:hAnsi="Times New Roman" w:cs="Times New Roman"/>
      <w:color w:val="333333"/>
      <w:kern w:val="0"/>
      <w:szCs w:val="20"/>
      <w:lang w:eastAsia="lv-LV"/>
      <w14:ligatures w14:val="none"/>
    </w:rPr>
  </w:style>
  <w:style w:type="character" w:styleId="Hyperlink">
    <w:name w:val="Hyperlink"/>
    <w:basedOn w:val="DefaultParagraphFont"/>
    <w:uiPriority w:val="99"/>
    <w:unhideWhenUsed/>
    <w:rsid w:val="00470F6D"/>
    <w:rPr>
      <w:color w:val="467886" w:themeColor="hyperlink"/>
      <w:u w:val="single"/>
    </w:rPr>
  </w:style>
  <w:style w:type="character" w:styleId="CommentReference">
    <w:name w:val="annotation reference"/>
    <w:basedOn w:val="DefaultParagraphFont"/>
    <w:uiPriority w:val="99"/>
    <w:semiHidden/>
    <w:unhideWhenUsed/>
    <w:rsid w:val="00470F6D"/>
    <w:rPr>
      <w:sz w:val="16"/>
      <w:szCs w:val="16"/>
    </w:rPr>
  </w:style>
  <w:style w:type="paragraph" w:styleId="CommentText">
    <w:name w:val="annotation text"/>
    <w:basedOn w:val="Normal"/>
    <w:link w:val="CommentTextChar"/>
    <w:uiPriority w:val="99"/>
    <w:unhideWhenUsed/>
    <w:rsid w:val="00470F6D"/>
    <w:rPr>
      <w:sz w:val="20"/>
    </w:rPr>
  </w:style>
  <w:style w:type="character" w:customStyle="1" w:styleId="CommentTextChar">
    <w:name w:val="Comment Text Char"/>
    <w:basedOn w:val="DefaultParagraphFont"/>
    <w:link w:val="CommentText"/>
    <w:uiPriority w:val="99"/>
    <w:rsid w:val="00470F6D"/>
    <w:rPr>
      <w:rFonts w:ascii="Times New Roman" w:eastAsia="Times New Roman" w:hAnsi="Times New Roman" w:cs="Times New Roman"/>
      <w:color w:val="333333"/>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470F6D"/>
    <w:rPr>
      <w:b/>
      <w:bCs/>
    </w:rPr>
  </w:style>
  <w:style w:type="character" w:customStyle="1" w:styleId="CommentSubjectChar">
    <w:name w:val="Comment Subject Char"/>
    <w:basedOn w:val="CommentTextChar"/>
    <w:link w:val="CommentSubject"/>
    <w:uiPriority w:val="99"/>
    <w:semiHidden/>
    <w:rsid w:val="00470F6D"/>
    <w:rPr>
      <w:rFonts w:ascii="Times New Roman" w:eastAsia="Times New Roman" w:hAnsi="Times New Roman" w:cs="Times New Roman"/>
      <w:b/>
      <w:bCs/>
      <w:color w:val="333333"/>
      <w:kern w:val="0"/>
      <w:sz w:val="20"/>
      <w:szCs w:val="20"/>
      <w:lang w:eastAsia="lv-LV"/>
      <w14:ligatures w14:val="none"/>
    </w:rPr>
  </w:style>
  <w:style w:type="character" w:styleId="Mention">
    <w:name w:val="Mention"/>
    <w:basedOn w:val="DefaultParagraphFont"/>
    <w:uiPriority w:val="99"/>
    <w:unhideWhenUsed/>
    <w:rsid w:val="00470F6D"/>
    <w:rPr>
      <w:color w:val="2B579A"/>
      <w:shd w:val="clear" w:color="auto" w:fill="E1DFDD"/>
    </w:rPr>
  </w:style>
  <w:style w:type="character" w:styleId="UnresolvedMention">
    <w:name w:val="Unresolved Mention"/>
    <w:basedOn w:val="DefaultParagraphFont"/>
    <w:uiPriority w:val="99"/>
    <w:semiHidden/>
    <w:unhideWhenUsed/>
    <w:rsid w:val="0047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57980-latvijas-republikas-satversm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26</Pages>
  <Words>35884</Words>
  <Characters>20454</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Jenerte</dc:creator>
  <cp:keywords/>
  <dc:description/>
  <cp:lastModifiedBy>Santa</cp:lastModifiedBy>
  <cp:revision>15</cp:revision>
  <dcterms:created xsi:type="dcterms:W3CDTF">2026-04-24T08:30:00Z</dcterms:created>
  <dcterms:modified xsi:type="dcterms:W3CDTF">2026-04-29T07:39:00Z</dcterms:modified>
</cp:coreProperties>
</file>