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26-TA-840: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(30.10.2025.)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18.05.2026. 18:11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anotācijas 1.3. apakšsadaļā "Risinājuma apraksts" ietverto informāciju par grozījumu Noteikumu 36. punktā, ņemot vērā to, ka tajā netiek paredzēts regulējums, ka termiņš skaitāms no projektu iesniegumu vērtēšanas beigu datuma.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svītrojot informāciju par MK noteikumu 36.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22.04.2026. 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88 701 370 </w:t>
            </w:r>
            <w:r w:rsidR="00000000" w:rsidRPr="00000000" w:rsidDel="00000000">
              <w:rPr>
                <w:i w:val="1"/>
                <w:rtl w:val="0"/>
              </w:rPr>
              <w:t xml:space="preserve">euro</w:t>
            </w:r>
            <w:r w:rsidR="00000000" w:rsidRPr="00000000" w:rsidDel="00000000">
              <w:rPr>
                <w:rtl w:val="0"/>
              </w:rPr>
              <w:t xml:space="preserve">, tai skaitā elastības finansējums – 13 990 452 </w:t>
            </w:r>
            <w:r w:rsidR="00000000" w:rsidRPr="00000000" w:rsidDel="00000000">
              <w:rPr>
                <w:i w:val="1"/>
                <w:rtl w:val="0"/>
              </w:rPr>
              <w:t xml:space="preserve">euro</w:t>
            </w:r>
            <w:r w:rsidR="00000000" w:rsidRPr="00000000" w:rsidDel="00000000">
              <w:rPr>
                <w:rtl w:val="0"/>
              </w:rPr>
              <w:t xml:space="preserve">, ko veido ERAF finansējums – 75 396 164 </w:t>
            </w:r>
            <w:r w:rsidR="00000000" w:rsidRPr="00000000" w:rsidDel="00000000">
              <w:rPr>
                <w:i w:val="1"/>
                <w:rtl w:val="0"/>
              </w:rPr>
              <w:t xml:space="preserve">euro</w:t>
            </w:r>
            <w:r w:rsidR="00000000" w:rsidRPr="00000000" w:rsidDel="00000000">
              <w:rPr>
                <w:rtl w:val="0"/>
              </w:rPr>
              <w:t xml:space="preserve"> (no tā elastības finansējums – 11 891 884 </w:t>
            </w:r>
            <w:r w:rsidR="00000000" w:rsidRPr="00000000" w:rsidDel="00000000">
              <w:rPr>
                <w:i w:val="1"/>
                <w:rtl w:val="0"/>
              </w:rPr>
              <w:t xml:space="preserve">euro</w:t>
            </w:r>
            <w:r w:rsidR="00000000" w:rsidRPr="00000000" w:rsidDel="00000000">
              <w:rPr>
                <w:rtl w:val="0"/>
              </w:rPr>
              <w:t xml:space="preserve">) un nacionālais (pašvaldību un privātais) finansējums – ne mazāk kā 13 305 206 </w:t>
            </w:r>
            <w:r w:rsidR="00000000" w:rsidRPr="00000000" w:rsidDel="00000000">
              <w:rPr>
                <w:i w:val="1"/>
                <w:rtl w:val="0"/>
              </w:rPr>
              <w:t xml:space="preserve">euro</w:t>
            </w:r>
            <w:r w:rsidR="00000000" w:rsidRPr="00000000" w:rsidDel="00000000">
              <w:rPr>
                <w:rtl w:val="0"/>
              </w:rPr>
              <w:t xml:space="preserve"> (no tā elastības finansējums – 2 098 568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ar 2025.gada 15.decembra Eiropas Komisijas lēmumu, viss Eiropas Savienības kohēzijas politikas programmas 2021.-2027.gadam finansējums ir pieejams, šobrīd vairs netiek izmantots jēdziens "elastības finansējums", attiecīgi lūdzam Ministru kabineta 2024. gada 19. novembra noteikumu Nr. 726 "Eiropas Savienības kohēzijas politikas programmas 2021.–2027. gadam 2.3.1. specifiskā atbalsta mērķa "Veicināt ilgtspējīgu daudzveidu mobilitāti pilsētās" 2.3.1.2. pasākuma "Multimodāls sabiedriskā transporta tīkls" īstenošanas noteikumi" (turpmāk - MK noteikumi) 11.punktā un attiecīgi citur MK noteikumu tekstā precizēt informāciju, norādot konkrētu pieejamo finansējumu (neminot un neizdalot atsevišķi elastības finansējuma 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88 701 370 euro, ko veido ERAF finansējums – 75 396 164 euro un nacionālais (pašvaldību un privātais) finansējums – ne mazāk kā 13 305 206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pirmās atlases kārtas ietvaros pieejamais finansējums ir 74 710 918 </w:t>
            </w:r>
            <w:r w:rsidR="00000000" w:rsidRPr="00000000" w:rsidDel="00000000">
              <w:rPr>
                <w:i w:val="1"/>
                <w:rtl w:val="0"/>
              </w:rPr>
              <w:t xml:space="preserve">euro</w:t>
            </w:r>
            <w:r w:rsidR="00000000" w:rsidRPr="00000000" w:rsidDel="00000000">
              <w:rPr>
                <w:rtl w:val="0"/>
              </w:rPr>
              <w:t xml:space="preserve">, tai skaitā ERAF finansējums – 63 504 280 </w:t>
            </w:r>
            <w:r w:rsidR="00000000" w:rsidRPr="00000000" w:rsidDel="00000000">
              <w:rPr>
                <w:i w:val="1"/>
                <w:rtl w:val="0"/>
              </w:rPr>
              <w:t xml:space="preserve">euro</w:t>
            </w:r>
            <w:r w:rsidR="00000000" w:rsidRPr="00000000" w:rsidDel="00000000">
              <w:rPr>
                <w:rtl w:val="0"/>
              </w:rPr>
              <w:t xml:space="preserve"> un nacionālais (pašvaldību un privātais) finansējums – ne mazāk kā 11 206 638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12.1.apakšpunktā norādīto informāciju, ņemot vērā to, ka 1.kārtas ietvaros pieejamā finansējuma summa ir zināma (atbilstoši KPVIS datiem kopējais 1.kārtai pieejamais finansējums ir - 12 753 853 euro (t.sk., Eiropas Reģionālās attīstības fonda finansējums - 10 840 775 euro un nacionālais līdzfinansējums - 1 913 078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precizēt arī MK noteikumu 12.2.apakšpunktā norādīto informāciju, norādot konkrētu 2.kārtā pieejamo finansējumu, t.sk., ka tas nedrīkst pārsniegt kopējo MK noteikumu 11.punktā minēto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tiek ņemts vērā daļēji. Skaidrojam, ka ar mērķi saglabāt 2.3.1.2.pasākuma ietvaros paredzēto finansējuma sadalījuma principu (finansējums pieejams uzreiz pirmajā projektu iesniegumu atlases kārtā, otrajā atlases kārtā pieejamais finansējums ir pirmās atlases kārtas finansējuma atlikums un trešās kārtas finansējuma atlikums ar elastības finansējumu), ka arī ar mērķi  izvairīties no MK noteikumu grozījumiem gadījumā, ja noslēdzoties pirmās atlases kārtas ietvaros apstiprināto projektu īstenošanai izveidosies finansējuma atlikums (projektu īstenošana līdz 2026.gada 30.jūnijam), iebildums netiek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12.2.apakšpunkts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otrās atlases kārtas ietvaros pieejamais finansējums ir šo noteikumu 11. punktā norādītā finansējuma un pirmās atlases kārtas ietvaros piešķirtā finansējuma starpība.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pirmās atlases kārtas ietvaros pieejamais finansējums ir 74 710 918 </w:t>
            </w:r>
            <w:r w:rsidR="00000000" w:rsidRPr="00000000" w:rsidDel="00000000">
              <w:rPr>
                <w:i w:val="1"/>
                <w:rtl w:val="0"/>
              </w:rPr>
              <w:t xml:space="preserve">euro</w:t>
            </w:r>
            <w:r w:rsidR="00000000" w:rsidRPr="00000000" w:rsidDel="00000000">
              <w:rPr>
                <w:rtl w:val="0"/>
              </w:rPr>
              <w:t xml:space="preserve">, tai skaitā ERAF finansējums – 63 504 280 </w:t>
            </w:r>
            <w:r w:rsidR="00000000" w:rsidRPr="00000000" w:rsidDel="00000000">
              <w:rPr>
                <w:i w:val="1"/>
                <w:rtl w:val="0"/>
              </w:rPr>
              <w:t xml:space="preserve">euro</w:t>
            </w:r>
            <w:r w:rsidR="00000000" w:rsidRPr="00000000" w:rsidDel="00000000">
              <w:rPr>
                <w:rtl w:val="0"/>
              </w:rPr>
              <w:t xml:space="preserve"> un nacionālais (pašvaldību un privātais) finansējums – ne mazāk kā 11 206 638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apliecinājumu, ka uz projekta iesniedzēju neattiecas neviena no </w:t>
            </w:r>
            <w:r w:rsidR="00000000" w:rsidRPr="00000000" w:rsidDel="00000000">
              <w:rPr>
                <w:rtl w:val="0"/>
              </w:rPr>
              <w:t xml:space="preserve">regulas Nr. 651/2014</w:t>
            </w:r>
            <w:r w:rsidR="00000000" w:rsidRPr="00000000" w:rsidDel="00000000">
              <w:rPr>
                <w:rtl w:val="0"/>
              </w:rPr>
              <w:t xml:space="preserve">  2. panta 18. punktā minētajām pazīmēm komercdarbības atbalsta gadījumā. Projekta iesniedzējs tiek vērtēts viena vienota uzņēmuma līmenī, ņemot vērā arī visus ar to saistītus uzņēmumus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MK noteikumu redakcijas ir viennozīmīgi skaidrs, ka Komisijas 2014. gada 17. jūnija Regulas Nr. 651/2014, ar ko noteiktas atbalsta kategorijas atzīst par saderīgām ar iekšējo tirgu, piemērojot Līguma 107. un 108. pantu (turpmāk - Komisijas Regula Nr. 651/2014) 2. panta 18. punkta nosacījumi ir jāvērtē/jāpiemēro uzņēmuma grupas līmenī (Komisijas Regulas Nr. 651/2014 angliskajā versijā nosacījumi, kas ir attiecināmi uz "undertaking", ir jāpārbauda/jāpiemēro uzņēmuma grupas līmenī), lūdzam precizēt MK noteikumu 24.2. apakšpunkta otro teikumu, norādot, ka projekta iesniedzējs un sadarbības partneris (ja attiecināms) tiek vērtēts grupas līmenī, nevis viena vienota uzņēmuma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iepriekš minēto, lūdzam atbilstoši precizēt arī MK noteikumu 62. punktu, norādot, ka projekta iesniedzējs un sadarbības partneris (ja attiecināms) tiek vērtēts uzņēmuma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grūtībās nonākuša uzņēmuma pazīmes izvērtē uz projekta apstiprināšanas brīdi. Ņemot vērā, ka finansējuma saņēmējs ir projekta iesniedzējs, kuram jau ir apstiprināts projekts un kurš jau ir izvērtēts, kā arī ņemot vērā MK noteikumu 66. punktu, ka komercdarbības atbalsta piešķiršanas diena ir diena, kad sadarbības iestāde pieņem lēmumu par projekta iesnieguma apstiprināšanu, lūdzam precizēt MK noteikumu 62. punktu, kad tiek vērtēts projekta iesniedzējs un sadarbības partneris (ja attiecināms).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Skaidrojam, ka saskaņā ar MK noteikumu 20.punktu, sadarbības partneri var iesaistīties ar valdījumā vai īpašumā esošu nekustamo īpašumu, ja nekustamais īpašums ir nepieciešams projekta mērķu sasniegšanai. Sadarbības partneris, ja tāds tiek piesaistīts, MK noteikumu ietvaros nesaņem finansējumu un neveic nekādas darbības. Lielākoties sadarbības partneri pasākuma ietvaros ir LDz un LVC, reti trešās personas. Sadarbības partneris ar sadarbības līguma un, piemēram, patapinājuma līguma starpniecību dod piekrišanu attīstīt projekta mērķu sasniegšanai nepieciešamo infrastruktūru savā NĪ (piemēram, gājēju ietves izbūve, lai nodrošinātu infrastruktūras lietotāju iespēju piekļūt sabiedriskā transporta savienojuma punktam vai dzelzceļa stacijas platformai). Ņemot vērā minēto, MK noteikumu 62., 66. punkti netiek papildināti ar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projektu iesniegumu iesniegšana ir noslēgusies un projektu iesniegumi vairs netiks pieņemti. Šobrīd procesā ir projektu iesniegumu vērtēšana ar vērtēšanas termiņu š.g. 10.jūnijs.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ņemts vērā un precizēts MK noteikumu 24.2.apakšpunkts un 62.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apliecinājumu, ka uz projekta iesniedzēju neattiecas neviena no </w:t>
            </w:r>
            <w:r w:rsidR="00000000" w:rsidRPr="00000000" w:rsidDel="00000000">
              <w:rPr>
                <w:rtl w:val="0"/>
              </w:rPr>
              <w:t xml:space="preserve">regulas Nr. 651/2014</w:t>
            </w:r>
            <w:r w:rsidR="00000000" w:rsidRPr="00000000" w:rsidDel="00000000">
              <w:rPr>
                <w:rtl w:val="0"/>
              </w:rPr>
              <w:t xml:space="preserve">  2. panta 18. punktā minētajām pazīmēm komercdarbības atbalsta gadījumā. Projekta iesniedzējs tiek vērtēts uzņēmuma grupas līmenī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iestāde lēmumu par projekta iesnieguma apstiprināšanu, apstiprināšanu ar nosacījumu vai noraidīšanu pieņem divu mēnešu laikā pirmās atlases kārtas ietvaros un triju mēnešu laikā otrās atlases kārtas ietvaros pēc projektu iesniegumu iesniegšanas beigu datuma, ne vēlāk kā pēc projektu iesniegumu vērtēšanas beigu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 punktu, proti, neveikt tajā ietverto grozījumu Ministru kabineta 2024. gada 19. novembra noteikumu Nr. 726 "Eiropas Savienības kohēzijas politikas programmas 2021.–2027. gadam 2.3.1. specifiskā atbalsta mērķa "Veicināt ilgtspējīgu daudzveidu mobilitāti pilsētās" 2.3.1.2. pasākuma "Multimodāls sabiedriskā transporta tīkls" īstenošanas noteikumi" 36. punktā, ņemot vērā to, ka tas ir pretrunā Eiropas Savienības fondu 2021.-2027. gada plānošanas perioda vadības likuma 28. panta pirmajā daļā noteiktajam, ka sadarbības iestādes lēmuma pieņemšanas termiņš skaitāms no projekta iesniegumu iesniegšanas beigu datuma.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uz sākotnējo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lēmumu par projekta iesnieguma apstiprināšanu, apstiprināšanu ar nosacījumu vai noraidīšanu pieņem divu mēnešu laikā pirmās atlases kārtas ietvaros un triju mēnešu laikā otrās un trešās atlases kārtas ietvaros pēc projektu iesniegumu iesniegšanas beigu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skaidrojumu par noteikumu projekta ietekmi uz atlasē esošajiem projektu iesniegumiem/jau noslēgtajiem līgumiem.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neietekmēs īstenošanā esošus projektus, ņemot vērā to, ka netiek precizētas vai mainītas atbalstāmās darbības, īstenošanas nosacījumi un projektu īstenošanas termiņi. Ņemot vērā to, ka otrās projektu iesniegumu atlases kārtas ietvaros iesniegti projektu iesniegumi par ievērojami lielāku ERAF finansējumu nekā otrajā atlases kārtā ir pieejams, MK noteikumu grozījumi ļaus piešķirt atbalstu lielākam pretendentu skaitam, tādējādi nodrošinot garāku projektu īstenošanas termiņu, nekā tas būtu organizējot arī trešo projektu iesniegumu atlases kārtu. MK noteikumu grozījumi par finansējuma pārvirzīšanu no trešās un otro atlases kārtu pozitīvi ietekmē pasākuma īstenošanu un ievērojami samazina projektu īstenošanas termiņu kavējumu riskus.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iestāde pēc Eiropas Komisijas lēmuma par vidusposma pārskatu var ierosināt no 2026. gada 1. janvāra palielināt pasākumam pieejamo finansējumu līdz šo noteikumu </w:t>
            </w:r>
            <w:r w:rsidR="00000000" w:rsidRPr="00000000" w:rsidDel="00000000">
              <w:rPr>
                <w:rtl w:val="0"/>
              </w:rPr>
              <w:t xml:space="preserve">11.</w:t>
            </w:r>
            <w:r w:rsidR="00000000" w:rsidRPr="00000000" w:rsidDel="00000000">
              <w:rPr>
                <w:rtl w:val="0"/>
              </w:rPr>
              <w:t xml:space="preserve"> punktā minētajam kopējam finansējuma apmēram, paredzot elastības finansējuma izmantošanu šo noteikumu </w:t>
            </w:r>
            <w:r w:rsidR="00000000" w:rsidRPr="00000000" w:rsidDel="00000000">
              <w:rPr>
                <w:rtl w:val="0"/>
              </w:rPr>
              <w:t xml:space="preserve">12.2.</w:t>
            </w:r>
            <w:r w:rsidR="00000000" w:rsidRPr="00000000" w:rsidDel="00000000">
              <w:rPr>
                <w:rtl w:val="0"/>
              </w:rPr>
              <w:t xml:space="preserve"> apakšpunktā minētajai otrajai atlases kārtai.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13.punkts ir zaudējis aktualitāti, aicinām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iestāde pēc Eiropas Komisijas lēmuma par vidusposma pārskatu var ierosināt no 2026. gada 1. janvāra palielināt pasākumam pieejamo finansējumu līdz šo noteikumu </w:t>
            </w:r>
            <w:r w:rsidR="00000000" w:rsidRPr="00000000" w:rsidDel="00000000">
              <w:rPr>
                <w:rtl w:val="0"/>
              </w:rPr>
              <w:t xml:space="preserve">11.</w:t>
            </w:r>
            <w:r w:rsidR="00000000" w:rsidRPr="00000000" w:rsidDel="00000000">
              <w:rPr>
                <w:rtl w:val="0"/>
              </w:rPr>
              <w:t xml:space="preserve"> punktā minētajam kopējam finansējuma apmēram, paredzot elastības finansējuma izmantošanu šo noteikumu </w:t>
            </w:r>
            <w:r w:rsidR="00000000" w:rsidRPr="00000000" w:rsidDel="00000000">
              <w:rPr>
                <w:rtl w:val="0"/>
              </w:rPr>
              <w:t xml:space="preserve">12.2.</w:t>
            </w:r>
            <w:r w:rsidR="00000000" w:rsidRPr="00000000" w:rsidDel="00000000">
              <w:rPr>
                <w:rtl w:val="0"/>
              </w:rPr>
              <w:t xml:space="preserve"> apakšpunktā minētajai otrajai atlases kārtai.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projekta iesniedzējs nav sabiedrisko ūdenssaimniecības pakalpojumu sniedzējs un projekta ietvaros plānotas šo noteikumu </w:t>
            </w:r>
            <w:r w:rsidR="00000000" w:rsidRPr="00000000" w:rsidDel="00000000">
              <w:rPr>
                <w:rtl w:val="0"/>
              </w:rPr>
              <w:t xml:space="preserve">27.15.</w:t>
            </w:r>
            <w:r w:rsidR="00000000" w:rsidRPr="00000000" w:rsidDel="00000000">
              <w:rPr>
                <w:rtl w:val="0"/>
              </w:rPr>
              <w:t xml:space="preserve"> apakšpunktā minētās izmaksas, projekta iesniedzējs projekta iesniegumam pievieno ar sabiedrisko ūdenssaimniecības pakalpojumu sniedzēju noslēgto līgumu, kurā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2026. gada 8. janvārī stājies spēkā Komisijas Lēmumd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jaunais VTNP lēmums), kas aizstās Komisijas Lēmumu 2012/21/ES (2011.gada 20.decembris) par Līguma par Eiropas Savienības darbību 106.panta 2.punkta piemērošanu valsts atbalstam attiecībā uz kompensāciju par sabiedriskajiem pakalpojumiem dažiem uzņēmumiem, kuriem uzticēts sniegt pakalpojumus ar vispārēju tautsaimniecisku nozīmi (turpmāk – vecais VTNP lēmums). Vienlaikus jaunajā VTNP lēmumā ir noteikts, ka visas atbalsta programmas, kas stājās spēkā pirms tā spēkā stāšanās un kas bija saderīgas ar iekšējo tirgu un atbrīvotas no paziņošanas prasības saskaņā ar veco VTNP lēmumu, arī turpmāk ir saderīgas ar iekšējo tirgu un atbrīvotas no paziņošanas prasības vēl divu gadu laikposmā pēc šā lēmuma stāšanās spēkā. Neskatoties uz jauno regulējumu, saderības ar ES iekšējo tirgu pamatnosacījumi nav konceptuāli mainīti, proti, gan vecais VTNP lēmums, gan jaunais VTNP lēmums balstās uz tiem pašiem principiem, un jaunais lēmums būtiski nepārskata šos principus, bet tikai precizē terminoloģiju un atsevišķus aspektus, piemēram, pilnvarojuma satura prasības un atsevišķu vispārējas tautsaimniecības nozīmes pakalpojuma kategoriju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ka, neveicot grozījumus MK noteikumos, atbalstu programmas ietvaros saskaņā ar veco VTNP lēmumu var saņemt arī subjekti, kam noslēgts pilnvarojuma akts ar jauno VTNP lēmumu, aicinām anotācijā iekļaut atrunu, ka atbalstu saskaņā ar veco VTNP lēmumu var saņemt arī subjekti, kam noslēgts pilnvarojuma akts ar jauno VTNP lēmumu, ievērojot noteikumos ietvertos atbalsta nosacījumus un nosacījumus, kas izriet no vecā VTNP lēmuma, un atsauces neesamība pilnvarojuma aktā uz veco VTNP lēmumu nav šķērslis, lai piešķirtu atbalstu saskaņā ar veco VTNP lēmumu. Taču, ja plānots, ka gadījumos, kad pilnvarojuma akts noslēgts atbilstoši jaunajam VTNP lēmumam, atbalstu piešķirs ar jauno VTNP lēmumu, tad lūgums veikt precizējumus MK noteikumos un sniegt atbilstošu skaidrojumu anotācijā, skaidri nosakot, kuros gadījumos atbalstu piešķirs atbilstoši vecajam VTNP lēmumam un kuros – atbilstoši jaunajam VTNP lēmumam (atkarībā no tā, ar kuru Lēmumu pilnvarojuma akts). Piemēram, tad MK noteikumu 23.8., 23.</w:t>
            </w:r>
            <w:r w:rsidR="00000000" w:rsidRPr="00000000" w:rsidDel="00000000">
              <w:rPr>
                <w:vertAlign w:val="superscript"/>
                <w:rtl w:val="0"/>
              </w:rPr>
              <w:t xml:space="preserve">2</w:t>
            </w:r>
            <w:r w:rsidR="00000000" w:rsidRPr="00000000" w:rsidDel="00000000">
              <w:rPr>
                <w:rtl w:val="0"/>
              </w:rPr>
              <w:t xml:space="preserve">5.punkts būtu papildināms ar tekstu "(izņemot, ja pilnvarojum akts ir ar Komisijas Lēmumu (ES) 2025/2630 (2025. gada 16. decembris)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un jāsniedz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8. janvārī stājās spēkā 2025. gada 16. decembra Komisijas Lēmums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Lēmums 2025/2630), kas aizstās 2011. gada 20. decembra Komisijas Lēmumu 2012/21/ES par Līguma par Eiropas Savienības darbību 106.panta 2.punkta piemērošanu valsts atbalstam attiecībā uz kompensāciju par sabiedriskajiem pakalpojumiem dažiem uzņēmumiem, kuriem uzticēts sniegt pakalpojumus ar vispārēju tautsaimniecisku nozīmi (turpmāk – Lēmums 2012/21/ES).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Lēmuma 2025/2630 9. panta a) punktu visas atbalsta programmas, kas stājās spēkā pirms Lēmuma 2025/2630 spēkā stāšanās un kas bija saderīgas ar iekšējo tirgu un atbrīvotas no paziņošanas prasības saskaņā ar Lēmumu 2021/21/ES, arī turpmāk ir saderīgas ar iekšējo tirgu un atbrīvotas no paziņošanas prasības vēl divu gadu laikposmā pēc Lēmuma 2025/2630 stāšanās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saskaņā ar Lēmumu 2021/21/ES var saņemt arī subjekti, kam noslēgts pilnvarojuma akts saskaņā ar Lēmumu 2025/2630, ievērojot MK noteikumos ietvertos atbalsta nosacījumus un nosacījumus, kas izriet no Lēmuma 2012/21/ES. Atsauces neesamība pilnvarojuma aktā uz Lēmumu 2012/21/ES nav šķērslis, lai piešķirtu atbalstu saskaņā ar minēto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projekta iesniedzējs nav sabiedrisko ūdenssaimniecības pakalpojumu sniedzējs un projekta ietvaros plānotas šo noteikumu </w:t>
            </w:r>
            <w:r w:rsidR="00000000" w:rsidRPr="00000000" w:rsidDel="00000000">
              <w:rPr>
                <w:rtl w:val="0"/>
              </w:rPr>
              <w:t xml:space="preserve">27.15.</w:t>
            </w:r>
            <w:r w:rsidR="00000000" w:rsidRPr="00000000" w:rsidDel="00000000">
              <w:rPr>
                <w:rtl w:val="0"/>
              </w:rPr>
              <w:t xml:space="preserve"> apakšpunktā minētās izmaksas, projekta iesniedzējs projekta iesniegumam pievieno ar sabiedrisko ūdenssaimniecības pakalpojumu sniedzēju noslēgto līgumu, kurā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projekta iesniegumu pamatojošās dokumentācijas sagatavošanas izmaksas (izņemot projekta iesnieguma veidlapas aizpildīšanas izmaksas) un uzraudzības izmaksas, kas kopā nepārsniedz 10 %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Ministru kabineta noteikumu redakcijā izdevumu pozīcijām, kurām noteikts procentuāls ierobežojums (piemēram, 27.1., 27.11., 27.12. apakšpunktos), nav skaidri noteikts, vai minētais procentuālais ierobežojums ir aprēķināms no projekta plānotajām vai faktiskajām attiecināmajām izmaksām. Ņemot vērā Revīzijas iestādes konstatējumus par situācijām, kad projekta īstenošanas gaitā rodas ietaupījums vai tiek konstatēti pārkāpumi, kuru rezultātā paredzēta nepamatoti izmaksāto vai neatļauti izmantoto līdzekļu atgūšana, pastāv risks, ka var tikt konstatēts procentuālā ierobežojuma pārsniegums arī gadījumos, kad izdevumi atbilst apstiprinātajam projekta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iespēju precizēt procentuālā ierobežojuma piemērošanas nosacījumus, nodrošinot to viennozīmīgu, saprotamu un praksē vienādi piemērojamu interpretāciju visām iesaistītajām pusēm, nosakot, ka procentuālais ierobežojums tiek aprēķināts attiecībā pret projekta plānotajām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Finanšu ministrijas vadlīnijās noteikto pieeju, procentuāli ierobežoto izmaksu apmērs uz projekta iesniegšanas brīdi nosakāms no projekta plānotajām izmaksām, bet projekta īstenošanas noslēgumā budžeta kopsavilkums ir koriģējams atbilstoši faktiskajai situācijai. Līdz ar to spēkā esošais regulējums jau nodrošina attiecīgā ierobežojuma piemērošanu gan projekta plānošanas, gan īstenošanas stadijā. Papildu precizējums Ministru kabineta noteikumos, nosakot, ka procentuālais ierobežojums aprēķināms attiecībā pret projekta plānotajām izmaksām, varētu radīt neatbilstību starp projekta plānošanas un noslēguma izvērtēšanas pieeju. Vienlaikus vienošanās paredz, ka atbalsts tiek izmaksāts par faktiski veiktajām projekta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projekta iesniegumu pamatojošās dokumentācijas sagatavošanas izmaksas (izņemot projekta iesnieguma veidlapas aizpildīšanas izmaksas) un uzraudzības izmaksas, kas kopā nepārsniedz 10 %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transporta būvju un ielu tīklam piegulošo inženiertīklu, inženiertīklu pievadu un kontakttīklu pārbūves un atjaunošanas izmaksas atbilstoši būvprojekta risinājumam. Izmaksas attiecināmas tikai tad, ja ir sertificēta būvinženiera atzinums, kurā konstatēts, ka, projekta ietvaros veicot plānotos ieguldījumus noteiktās teritorijās, nav iespējams izvairīties no minētās infrastruktūras bojāšanas vai pārcelšanas, bet vienlaikus tiek nodrošināts, ka netiek mainīti inženiertīklu, inženiertīklu pievadu un kontakttīklu tehniskie parametri un investīcijas nerada priekšrocības šīs infrastruktūras īpašniekam, ievērojot, ka sabiedriskā transporta savienojumu punktu infrastruktūra ir bez maksas, publiski pieejama bez diskriminācijas un tai nav piemērojami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jaunu punktu, paredzot, ka atbalsts tiek sniegts arī</w:t>
            </w:r>
            <w:r w:rsidR="00000000" w:rsidRPr="00000000" w:rsidDel="00000000">
              <w:rPr>
                <w:b w:val="1"/>
                <w:rtl w:val="0"/>
              </w:rPr>
              <w:t xml:space="preserve"> kontakttīklu izbūvei</w:t>
            </w:r>
            <w:r w:rsidR="00000000" w:rsidRPr="00000000" w:rsidDel="00000000">
              <w:rPr>
                <w:rtl w:val="0"/>
              </w:rPr>
              <w:t xml:space="preserve">, ja tas nepieciešams, lai nodrošinātu sabiedriskā transporta infrastruktūras, kas nodrošina nokļūšanu līdz sabiedriskā transporta savienojuma punktam, funkcionēšanu un darbību pēc infrastruktūras pārbūves, vienlaikus nodrošinot, ka kontakttīklu izbūve, pārbūve vai atjaunošana nerada priekšrocības elektroenerģijas infrastruktūras īpašniekiem,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“27.10.</w:t>
            </w:r>
            <w:r w:rsidR="00000000" w:rsidRPr="00000000" w:rsidDel="00000000">
              <w:rPr>
                <w:i w:val="1"/>
                <w:vertAlign w:val="superscript"/>
                <w:rtl w:val="0"/>
              </w:rPr>
              <w:t xml:space="preserve">1 </w:t>
            </w:r>
            <w:r w:rsidR="00000000" w:rsidRPr="00000000" w:rsidDel="00000000">
              <w:rPr>
                <w:i w:val="1"/>
                <w:rtl w:val="0"/>
              </w:rPr>
              <w:t xml:space="preserve">Tramvaja un trolejbusa līniju kontakttīklu izbūves, pārbūves un atjaunošanas izmaksas, kā arī saistītu elektroapgādes sistēmu – kabeļu trašu un apakšstaciju – izbūves, pārbūves un atjaunošanas izmaksas, ja minētie darbi nepieciešami sabiedriskā transporta savienojuma punkta vai ar to saistītās transporta infrastruktūras pārbūves rezultātā un tiek nodrošināts, ka netiek izbūvēta jauna patstāvīga sabiedriskā transporta līniju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lūdzam precizēt 27.10. punktu šādā redakcijā, lai novērstu atbalsta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“27.10. Transporta būvju un ielu tīklam piegulošo inženiertīklu, inženiertīklu pievadu pārbūves un atjaunošanas izmaksas atbilstoši būvprojekta risinājumam. Izmaksas attiecināmas tikai tad, ja ir sertificēta būvinženiera atzinums, kurā konstatēts, ka, projekta ietvaros veicot plānotos ieguldījumus noteiktās teritorijās, nav iespējams izvairīties no minētās infrastruktūras bojāšanas vai pārcelšanas, bet vienlaikus tiek nodrošināts, ka netiek mainīti inženiertīklu, inženiertīklu pievadu tehniskie parametri un investīcijas nerada priekšrocības šīs infrastruktūras īpašniekam, ievērojot, ka sabiedriskā transporta savienojumu punktu infrastruktūra ir bez maksas, publiski pieejama bez diskriminācijas un tai nav piemērojami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veikt skaidrojošus precizējumus anotācijā, veidojot vienu izpratni par atbalsta saņemšanas nosacījumiem, skaidrojot, ka kontakttīklu izbūves, pārbūves un atjaunošanas izmaksu gadījumā atbalsts tiek sniegts kontakttīklu izbūves, pārbūves un atjaunošanas darbiem sabiedriskā transporta savienojumu punktā (projekta piegulošā teritorijā) esošajiem kontakttīkliem (piemēram, tramvaja un trolejbusu līnijas kontakttīkliem), kā arī esošo kontakttīklu trases pārbūvei vai nepieciešamajam pagarinājumam, ja tas nepieciešams, lai nodrošinātu sabiedriskā transporta infrastruktūras, kas nodrošina nokļūšanu līdz sabiedriskā transporta savienojuma punktam, funkcionēšanu un darbību pēc infrastruktūras pārbūves. Finansējuma saņēmējs nodrošina, ka kontakttīklu izbūve, pārbūve vai atjaunošana nerada priekšrocības elektroenerģijas infrastruktūras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grozījumu rezultātā tiktu nodrošināta efektīvāka tādu projektu īstenošana, kuros paredzēta esošās sabiedriskā transporta infrastruktūras pārbūve saistībā ar satiksmes organizācijas izmaiņām un transporta infrastruktūras pielāgošanu jaunajiem risinājumiem projekta mērķu sasniegšanai, kas neparedz jaunas trolejbusa līnijas izbūvi vai jaunas, patstāvīgas kontakttīklu infrastruktūras izveidi, bet </w:t>
            </w:r>
            <w:r w:rsidR="00000000" w:rsidRPr="00000000" w:rsidDel="00000000">
              <w:rPr>
                <w:b w:val="1"/>
                <w:rtl w:val="0"/>
              </w:rPr>
              <w:t xml:space="preserve">tikai esošās kontakttīklu infrastruktūras pārbūvi un funkcionālu pielāgošanu, tai skaitā nepieciešamo infrastruktūras pagarinājumu piegulošajā teritorijā</w:t>
            </w:r>
            <w:r w:rsidR="00000000" w:rsidRPr="00000000" w:rsidDel="00000000">
              <w:rPr>
                <w:rtl w:val="0"/>
              </w:rPr>
              <w:t xml:space="preserve">, lai nodrošinātu nokļūšanu līdz sabiedriskā transporta savienojuma punktam atbilstoši plānotajai satiksmes organizācijai.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sākotnēji jaunu kontakttīklu izbūve 2.3.1.2.pasākuma ietvaros nebija paredzēta. Savstarpējā komunikācijā par šo jautājumu Sadarbības iestāde, iepriekš saskaņojot ar SM, ir sniegusi atbildi Rīgas valstspilsētas pašvaldībai par to, ka jaunu kontakttīklu izbūve nav atbalstāma (09.01.2026. e-pasts), atbalsts tiek piešķirts esošo kontakttīklu pārbūvei un atjaunošanai. SM izprot situāciju, tomēr, ņemot vērā to, ka projektu iesniegumu iesniegšana ir noslēgusies, jaunu projektu iesniegumu iesniegšana nav iespējama, jau iesniegto projektu iesniegumu un pamatojošās dokumentācijas maiņa nav iespējama, kā arī ņemot vērā ierobežoto pieejamo finansējumu un sabiedriskā transporta savienojumu punktu veidiem noteiktus finansējuma limitus (nav iespējams piešķirt lielāku finansējumu kā noteikts), priekšlikums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skaidrojam, ka pasākuma ietvaros atbalsts tiek piešķirts darbībām projekta īstenošanas teritorijā (sabiedriskā transporta savienojumu punkta teritorijā), savienojošais infrastruktūrai (MK noteikumu 27.8.apakašpunkts).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MK noteikumu 2.punktu, pasākuma mērķis ir veicināt multimodāla sabiedriskā transporta tīkla attīstību ar dzelzceļu kā sabiedriskā transporta sistēmas mugurkaulu, izveidojot sabiedriskā transporta savienojuma punktu pie dzelzceļa stacijas un vienlaikus kopējā mobilitātē veicinot mikromobilitāti.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transporta būvju un ielu tīklam piegulošo inženiertīklu, inženiertīklu pievadu un kontakttīklu pārbūves un atjaunošanas izmaksas atbilstoši būvprojekta risinājumam. Izmaksas attiecināmas tikai tad, ja ir sertificēta būvinženiera atzinums, kurā konstatēts, ka, projekta ietvaros veicot plānotos ieguldījumus noteiktās teritorijās, nav iespējams izvairīties no minētās infrastruktūras bojāšanas vai pārcelšanas, bet vienlaikus tiek nodrošināts, ka netiek mainīti inženiertīklu, inženiertīklu pievadu un kontakttīklu tehniskie parametri un investīcijas nerada priekšrocības šīs infrastruktūras īpašniekam, ievērojot, ka sabiedriskā transporta savienojumu punktu infrastruktūra ir bez maksas, publiski pieejama bez diskriminācijas un tai nav piemērojami komercdarbības atbalsta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iestāde lēmumu par projekta iesnieguma apstiprināšanu, apstiprināšanu ar nosacījumu vai noraidīšanu pieņem divu mēnešu laikā pirmās atlases kārtas ietvaros un triju mēnešu laikā otrās atlases kārtas ietvaros pēc projektu iesniegumu iesniegšanas beigu datuma, ne vēlāk kā pēc projektu iesniegumu vērtēšanas beigu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paredz izteikt noteikumu 36. punktu jaunā redakcijā. Papildus svītrotajai atsaucei uz projektu iesniegumu trešo atlases kārtu, tajā ir iekļauts palīgteikums "</w:t>
            </w:r>
            <w:r w:rsidR="00000000" w:rsidRPr="00000000" w:rsidDel="00000000">
              <w:rPr>
                <w:u w:val="single"/>
                <w:rtl w:val="0"/>
              </w:rPr>
              <w:t xml:space="preserve">ne vēlāk kā pēc projektu iesniegumu vērtēšanas beigu datuma</w:t>
            </w:r>
            <w:r w:rsidR="00000000" w:rsidRPr="00000000" w:rsidDel="00000000">
              <w:rPr>
                <w:rtl w:val="0"/>
              </w:rPr>
              <w:t xml:space="preserve">", tādējādi ietverot tiesību normā termiņu, kas varētu pārsniegt trīs mēnešu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fondu 2021.—2027. gada plānošanas perioda vadības likuma (turpmāk - likums) 28. pants noteic: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Sadarbības iestāde lēmumu par projekta iesnieguma apstiprināšanu, apstiprināšanu ar nosacījumu vai noraidīšanu </w:t>
            </w:r>
            <w:r w:rsidR="00000000" w:rsidRPr="00000000" w:rsidDel="00000000">
              <w:rPr>
                <w:i w:val="1"/>
                <w:u w:val="single"/>
                <w:rtl w:val="0"/>
              </w:rPr>
              <w:t xml:space="preserve">pieņem triju mēnešu laikā pēc projekta iesnieguma iesniegšanas beigu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u w:val="single"/>
                <w:rtl w:val="0"/>
              </w:rPr>
              <w:t xml:space="preserve">Ja objektīvu iemeslu dēļ šā panta pirmajā daļā noteikto termiņu nav iespējams ievērot, sadarbības iestāde to var pagarināt uz laiku, kas nav ilgāks par sešiem mēnešiem no projekta iesnieguma iesniegšanas beigu datuma</w:t>
            </w:r>
            <w:r w:rsidR="00000000" w:rsidRPr="00000000" w:rsidDel="00000000">
              <w:rPr>
                <w:i w:val="1"/>
                <w:rtl w:val="0"/>
              </w:rPr>
              <w:t xml:space="preserve">, par to paziņojot projekta iesniedzējam. Lēmums par termiņa pagarināšanu ir apstrīdams vadošajā iestādē, bet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 likuma 28. panta otrā daļa paredz, ka sadarbības iestāde lēmuma par projekta iesnieguma apstiprināšanu, apstiprināšanu ar nosacījumu vai noraidīšanu termiņu var pagarināt un šis regulējums sadarbības iestādei iestāsies, ja tā nevarēs iekļauties termiņā, un attiecīgi sadarbības iestāde konkrētajā situācijā būs tā, kas izvērtēs objektīvos iemeslus, kuru dēļ lēmuma pieņemšanas termiņš varēs tikt pagarināts.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noteikumu projekta 8. punktu un MK noteikumu 36. punkta tiesību normu atstāt līdzšinējā redakcijā, svītrojot vien atsauci uz projektu iesniegumu trešo atlases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iestāde lēmumu par projekta iesnieguma apstiprināšanu, apstiprināšanu ar nosacījumu vai noraidīšanu pieņem divu mēnešu laikā pirmās atlases kārtas ietvaros un triju mēnešu laikā otrās atlases kārtas ietvaros pēc projektu iesniegumu iesniegšanas beigu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36. punkts precizēts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nodrošina interešu konflikta neesību saskaņā ar </w:t>
            </w:r>
            <w:r w:rsidR="00000000" w:rsidRPr="00000000" w:rsidDel="00000000">
              <w:rPr>
                <w:rtl w:val="0"/>
              </w:rPr>
              <w:t xml:space="preserve">2024. gada 23. septembra Eiropas Parlamenta un Padomes Regulas Nr. 2024/2509 par finanšu noteikumiem, ko piemēro Savienības vispārējam budžetam</w:t>
            </w:r>
            <w:r w:rsidR="00000000" w:rsidRPr="00000000" w:rsidDel="00000000">
              <w:rPr>
                <w:rtl w:val="0"/>
              </w:rPr>
              <w:t xml:space="preserve">, 61. panta prasībām,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izvērtējama MK noteikumu 40. punktā ietvertās atsauces uz  Eiropas Parlamenta un Padomes 2024. gada 23. septembra Regulas Nr. 2024/2509 par finanšu noteikumiem, ko piemēro Savienības vispārējam budžetam (turpmāk - Regula), 61. pantu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regulējums ir tieši piemērojams tādiem projektiem, kas saistīti ar Eiropas Savienības fondu atbalsta saņemšanu un vienlaikus kuros atbilstoši specifiskā atbalsta mērķim finansējuma saņēmējs atlases kārtībā Eiropas Savienības fondu projekta dalībniekiem vai gala saņēmējiem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konkrētā pasākuma ietvaros realizējamie projekti nav uzskatāmi par daudzpakāpju projektiem, tādēļ aicinām izvērtēt MK noteikumu 40. punktā ietverto atsauci uz regulu, to svītrojot,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atsauce uz 2024. gada 23. septembra Eiropas Parlamenta un Padomes Regulas Nr. 2024/2509 par finanšu noteikumiem, ko piemēro Savienības vispārējam budžetam, 61. panta prasībām ir iestrādāta KPVIS apliecinājumā (obligāts) “Apliecinājums par informētību attiecībā uz interešu konflikta jautājumu regulējumu”, kuru projekta iesniedzējs paraksta KPVIS pie projekta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nodrošina interešu konflikta neesību saskaņā ar </w:t>
            </w:r>
            <w:r w:rsidR="00000000" w:rsidRPr="00000000" w:rsidDel="00000000">
              <w:rPr>
                <w:rtl w:val="0"/>
              </w:rPr>
              <w:t xml:space="preserve">2024. gada 23. septembra Eiropas Parlamenta un Padomes Regulas Nr. 2024/2509 par finanšu noteikumiem, ko piemēro Savienības vispārējam budžetam</w:t>
            </w:r>
            <w:r w:rsidR="00000000" w:rsidRPr="00000000" w:rsidDel="00000000">
              <w:rPr>
                <w:rtl w:val="0"/>
              </w:rPr>
              <w:t xml:space="preserve">, 61. panta prasībām, kā arī paraksta interešu konflikta neesības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57.6. informāciju par sniegto komercdarbības atbalstu publicē saskaņā ar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9. pantu, ņemot vērā </w:t>
            </w:r>
            <w:r w:rsidR="00000000" w:rsidRPr="00000000" w:rsidDel="00000000">
              <w:rPr>
                <w:rtl w:val="0"/>
              </w:rPr>
              <w:t xml:space="preserve">Ministru kabineta 2016. gada 21. jūnija noteikumus Nr. 386 "Kārtība, kādā publicē informāciju par sniegto komercdarbības atbalstu un piešķir un anulē elektroniskās sistēmas lietošanas tiesības"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2025. gada 25. jūlijā ir stājušies spēkā grozījumi Ministru kabineta 2016. gada 21. jūnija noteikumos Nr. 386 "Kārtība, kādā publicē informāciju par sniegto komercdarbības atbalstu un piešķir un anulē elektroniskās sistēmas lietošanas tiesības", ar kuru tika grozīts iepriekš minēto MK noteikumu nosaukums uz "Kārtība, kādā publicē informāciju par sniegto komercdarbības atbalstu", lūdzam atbilstoši precizēt MK noteikumu 57.6.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57.6.apakšpunkts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57.6. informāciju par sniegto komercdarbības atbalstu publicē saskaņā ar </w:t>
            </w:r>
            <w:r w:rsidR="00000000" w:rsidRPr="00000000" w:rsidDel="00000000">
              <w:rPr>
                <w:rtl w:val="0"/>
              </w:rPr>
              <w:t xml:space="preserve">regulas Nr. 651/2014</w:t>
            </w:r>
            <w:r w:rsidR="00000000" w:rsidRPr="00000000" w:rsidDel="00000000">
              <w:rPr>
                <w:rtl w:val="0"/>
              </w:rPr>
              <w:t xml:space="preserve"> 9. pantu, ņemot vērā </w:t>
            </w:r>
            <w:r w:rsidR="00000000" w:rsidRPr="00000000" w:rsidDel="00000000">
              <w:rPr>
                <w:rtl w:val="0"/>
              </w:rPr>
              <w:t xml:space="preserve">Ministru kabineta 2016. gada 21. jūnija noteikumus Nr. 386 "Kārtība, kādā publicē informāciju par sniegto komercdarbības atbalstu"</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26-TA-840</w:t>
    </w:r>
    <w:r>
      <w:br/>
    </w:r>
    <w:r w:rsidR="00000000" w:rsidRPr="00000000" w:rsidDel="00000000">
      <w:rPr>
        <w:rtl w:val="0"/>
      </w:rPr>
      <w:t xml:space="preserve">07.06.2026. 21.27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26-TA-840</w:t>
    </w:r>
    <w:r>
      <w:br/>
    </w:r>
    <w:r w:rsidR="00000000" w:rsidRPr="00000000" w:rsidDel="00000000">
      <w:rPr>
        <w:rtl w:val="0"/>
      </w:rPr>
      <w:t xml:space="preserve">07.06.2026. 21.27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Izziņa_26-TA-840.docx</dc:title>
</cp:coreProperties>
</file>

<file path=docProps/custom.xml><?xml version="1.0" encoding="utf-8"?>
<Properties xmlns="http://schemas.openxmlformats.org/officeDocument/2006/custom-properties" xmlns:vt="http://schemas.openxmlformats.org/officeDocument/2006/docPropsVTypes"/>
</file>