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24-TA-1245: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16. novembra rīkojumā Nr. 841 "Par Eiropas Savienības kohēzijas politikas programmu 2021.–2027.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(28.12.2023.)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Interneta asociācija” (turpmāk – LIA) un “Latvijas Informācijas un komunikācijas tehnoloģijas asociācija” (turpmāk – LIKTA) ir izskatījušas Finanšu ministrijas sadarbībā ar Satiksmes ministriju (turpmāk – SM) sagatavoto skaidrojumu (turpmāk – Ministriju skaidrojums) par grozījumu priekšlikumu “Eiropas Savienības kohēzijas politikas programma 2021.-2027.gadam” (24-TA-1245) (turpmāk – Programma). </w:t>
            </w:r>
            <w:r w:rsidR="00000000" w:rsidRPr="00000000" w:rsidDel="00000000">
              <w:rPr>
                <w:b w:val="1"/>
                <w:rtl w:val="0"/>
              </w:rPr>
              <w:t xml:space="preserve">LIA un LIKTA ieskatā skaidrojums nav pamatots un asociācijas uztur spēkā iebildumu</w:t>
            </w:r>
            <w:r w:rsidR="00000000" w:rsidRPr="00000000" w:rsidDel="00000000">
              <w:rPr>
                <w:rtl w:val="0"/>
              </w:rPr>
              <w:t xml:space="preserve"> par Programmas grozījumiem, kas paredz samazināt 1.4.prioritātes “Digitālā savienojamība” 1.4.1.SAM “Uzlabot digitālo savienojamību”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Ministriju skaidrojumā norādīts, ka </w:t>
            </w:r>
            <w:r w:rsidR="00000000" w:rsidRPr="00000000" w:rsidDel="00000000">
              <w:rPr>
                <w:i w:val="1"/>
                <w:rtl w:val="0"/>
              </w:rPr>
              <w:t xml:space="preserve">“pārdale no šiem pasākumiem ir ierosināta, ņemot vērā, ka 5G savienojamības izvēršanu gar TEN-T tīkla sauszemes transporta ceļiem iespējams īstenot ar Eiropas infrastruktūras savienošanas instrumenta (CEF) atbalsta un privāto finansējumu (..)”. </w:t>
            </w:r>
            <w:r w:rsidR="00000000" w:rsidRPr="00000000" w:rsidDel="00000000">
              <w:rPr>
                <w:rtl w:val="0"/>
              </w:rPr>
              <w:t xml:space="preserve">Vēršam uzmanību, ka Eiropas infrastruktūras savienošanas instruments (turpmāk – CEF) paredz atbalstu arī transportam, t.sk., dzelzceļam, kam šobrīd paredzēts pārdalīt sākotnēji sakaru nozarei plānoto finansējumu. Pasākumu 1.4.1.2. “5G  infrastruktūras izbūve, VIA Baltica un Rail Baltica” un 1.4.1.3. “Nākamās paaudzes tīkla izveide lauku teritorijās (“vidējā jūdze”)” finansējums tika paredzēts </w:t>
            </w:r>
            <w:r w:rsidR="00000000" w:rsidRPr="00000000" w:rsidDel="00000000">
              <w:rPr>
                <w:b w:val="1"/>
                <w:rtl w:val="0"/>
              </w:rPr>
              <w:t xml:space="preserve">“vidējās jūdzes” attīstībai, t.i. atvilces maršrutēšanas tīkla attīstībai</w:t>
            </w:r>
            <w:r w:rsidR="00000000" w:rsidRPr="00000000" w:rsidDel="00000000">
              <w:rPr>
                <w:rtl w:val="0"/>
              </w:rPr>
              <w:t xml:space="preserve"> un ņemot vērā Satiksmes ministrijas 2020.gadā pasūtītā pētījuma rezultātus un nepieciešamo investīciju apjomu sakaru nozarei, būtu tikai loģiski šo finansējumu novirzīt pašas sakaru nozares attīstībai un Eiropas/nacionālo mērķu sasniegšanai (5G izvēršana, augstas veiktspējas tīklu pieejamība visiem Latvijas iedzīvotājiem un uzņēmumiem), savukārt dzelzceļa līnijas Zemitāni – Garkalne attīstībai piesaistīt CEF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Eiropas Reģionālās attīstības fonda (turpmāk – ERAF) finansējums un Atveseļošanās fonda (turpmāk – AF) finansējums salīdzinot ar to vietā piedāvāto alternatīvo finansējuma programmu CEF īsti nav salīdzināmi finansējuma avoti. ERAF un AF finansējumi tiek piešķirti noteiktam mērķim un ar ievērojami augstāku atbalsta intensitāti (85-100%), kamēr CEF finansējums tiek piešķirts konkursa kārtībā, izvēloties atbalstāmos projektus no kopējā projektu skaita un ar maksimālo  atbalsta intensitāti līdz 50%, kas ir būtiska atšķirība, ja investīcijas tiek plānotas “baltajās” teritorijās, kur ir tirgus nepietiekamība. Tāpat ministriju skaidrojumā ir minēts, ka AF ietvaros ir pieejams finansējums 16 500 000 EUR apmērā elektronisko sakaru pakalpojumu pieejamības nodrošināšanai galalietotājiem (“pēdējā jūdze”). Elektronisko sakaru tīklu būvniecības vidējais laiks ir divi gadi, tas ir laiks, kas nepieciešams, lai veiktu infrastruktūras projektēšanas, būvniecības un ekspluatācijā nodošanas darbus. Papildus Ministru kabineta noteikumi Nr. 753 </w:t>
            </w:r>
            <w:r w:rsidR="00000000" w:rsidRPr="00000000" w:rsidDel="00000000">
              <w:rPr>
                <w:i w:val="1"/>
                <w:rtl w:val="0"/>
              </w:rPr>
              <w:t xml:space="preserve">“Eiropas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w:t>
            </w:r>
            <w:r w:rsidR="00000000" w:rsidRPr="00000000" w:rsidDel="00000000">
              <w:rPr>
                <w:rtl w:val="0"/>
              </w:rPr>
              <w:t xml:space="preserve"> (turpmāk – MK 753) nosaka, ka </w:t>
            </w:r>
            <w:r w:rsidR="00000000" w:rsidRPr="00000000" w:rsidDel="00000000">
              <w:rPr>
                <w:i w:val="1"/>
                <w:rtl w:val="0"/>
              </w:rPr>
              <w:t xml:space="preserve">“preču piegādātāju un pakalpojumu sniedzēju piesaisti atbilstoši normatīvajiem aktiem iepirkumu jomā, ievērojot atklātu, caurskatāmu un vienlīdzīgu konkurenci nodrošinošu procedūru”</w:t>
            </w:r>
            <w:r w:rsidR="00000000" w:rsidRPr="00000000" w:rsidDel="00000000">
              <w:rPr>
                <w:rtl w:val="0"/>
              </w:rPr>
              <w:t xml:space="preserve">, kas faktiski paredz papildu darbību veikšanu (tirgus izpēti, iepirkumu organizēšanu u.c.) pirms līguma noslēgšanas par infrastruktūras būvniecību. AF īstenošanas laiks ir noteikts līdz 2026. gada 30. jūnijam un atlase uz projektiem tika uzsākta 2024.gada sākumā. Faktiski jau izsludinot konkursa atlasi, gadījumos, kad “pēdējās jūdzes” izvēršanai ir nepieciešama infrastruktūras būvniecība, bija skaidrs, ka to  nav iespējams paveikt noteiktajos termiņos, kas arī ir izskaidrojums elektronisko sakaru komersantu zemajai aktivitātei šajā konkursā. Vēršam uzmanību, ka MK 753 skaņošanas laikā Tiesību aktu portālā LIKTA jau bija norādījusi uz nesamērīgajiem investīciju apguves termiņiem AF projekta ietvaros, tomēr tas netika ņemts vērā. Līdz ar to nevar uzskatīt, ka </w:t>
            </w:r>
            <w:r w:rsidR="00000000" w:rsidRPr="00000000" w:rsidDel="00000000">
              <w:rPr>
                <w:i w:val="1"/>
                <w:rtl w:val="0"/>
              </w:rPr>
              <w:t xml:space="preserve">“kopumā elektronisko sakaru pakalpojumu pieejamības nodrošināšanai galalietotājiem (“pēdējā jūdze”) ir pieejams finansējums 23 895 000 EUR apmērā”,</w:t>
            </w:r>
            <w:r w:rsidR="00000000" w:rsidRPr="00000000" w:rsidDel="00000000">
              <w:rPr>
                <w:rtl w:val="0"/>
              </w:rPr>
              <w:t xml:space="preserve"> jo lielākā daļa, jeb AF no tā nav apgūstāma noteiktajos termiņos tam sākotnēji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LIA un LIKTA uztur spēkā iebildumu par Programmas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 un LIKTA izsaka gatavību aktīvi ņemt dalību labākā iespējamā risinājuma izstrādē, lai maksimāli efektīvi stiprinātu un izvērstu ātrdarbīgu elektronisko sakaru tīklu.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Interneta asociācijas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priekšsēdētājs  Andis Āriņš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Informācijas un komunikācijas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tehnoloģijas asociācijas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priekšsēdētājs  Andris Melnūdris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Satiksmes ministrijas ar Latvijas Interneta asociācijas (LIA) un Latvijas Informācijas un komunikācijas tehnoloģijas asociācijas (LIKTA) pārstāvjiem š.g. 3.jūlijā organizētajā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nozares pārstāvju identificētās problēmas un vajadzības, tālāk izvērtējama iespēja paredzēt papildu finansējumu elektronisko sakaru nozarei pēc ES fondu vidusposma izvērtējuma pārskata, t.sk. elastības finansējuma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š.g. 13.jūnija atzinumā iekļauto iebildumu par veiktajām izmaiņām 4.2.prioritātes 4.2.1.SAM “Uzlabot vienlīdzīgu piekļuvi iekļaujošiem un kvalitatīviem pakalpojumiem izglītības, mācību un mūžizglītības jomā, attīstot pieejamu infrastruktūru, tostarp, veicinot noturību izglītošanā un mācībās attālinātā un tiešsaistes režīmā” atbalstāmo darbību tvērumā, no atbalstāmo darbību uzskaitījuma svītrojot "Infrastruktūras izveide starpnozaru sadarbības un atbalsta sistēmas izveidei bērnu attīstībai, nodrošinot savlaicīgu atbalsta sniegšanu pedagogiem, izglītības iestādēm un vecākiem darbā ar bērniem, kuriem ir dažādas mācīšanās vajadzības, tādējādi stiprinot iekļaujošas izglītības pieejamību, kā arī nodrošinot agrīnu prevenciju un instrumentu pārvaldību bērna attīstības vajadzību nodrošināšanā". Vēršam uzmanību, ka pretēji Izglītības un zinātnes ministrijas norādītājam līdz šim ne Pārresoru koordinācijas centram, ne arī Valsts kancelejai kā Pārresoru koordinācijas centra tiesību un saistību pārņēmējai sarakste ar ministriju par 4.2.1.1.pasākuma īstenošanas uzsākšanu nav bijusi. Kopš 2022.gada starp PKC un IZM ir notikusi sarakste par cita - 4.2.1.2.pasākuma Izveidot asistīvo tehnoloģiju (tehnisko palīglīdzekļu) apmaiņas sistēmu izglītības iestādēm - īstenošanu, ņemot vērā Eiropas Komisijas interesi par šī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apstiprinot Ministru kabinetā 2023.gada 12.decembra noteikumus nr. 749 "Eiropas Savienības kohēzijas politikas programmas 2021.–2027. gadam 4.3.6. specifiskā atbalsta mērķa "Veicināt nabadzības vai sociālās atstumtības riskam pakļauto cilvēku, tostarp vistrūcīgāko un bērnu, sociālo integrāciju" 4.3.6.7. pasākuma "Starpnozaru sadarbības un atbalsta sistēmas izveide bērnu veselīgai attīstībai un sekmīgai pašrealizācijai" īstenošanas noteikumi", tika dots uzdevums Valsts kancelejai sagatavot un līdz 2024.gada 2.septembrim iesniegt izskatīšanai Ministru kabinetā informatīvo ziņojumu par ES fondu 4.3.6.7. pasākuma “Starpnozaru sadarbības un atbalsta sistēmas izveide bērnu veselīgai attīstībai un sekmīgai pašrealizācijai” ieviešanu, kurā ietvert iespējamos risinājumus pakalpojumu nodošanai nozaru ministrijām pēc to saturiskās piederības un starpinstitucionālai sadarbībai, kā arī priekšlikumus par nepieciešamajiem grozījumiem normatīvajā regulējumā. Vienlaikus tika dots uzdevums sadarbības līgumos ar sadarbības partneriem par pasākuma realizāciju iekļaut arī informāciju par pakalpojumu turpmāku attīstības plānošanu atbilstošās nozares politikas īstenošanā, kā arī starpinstitucionāla sadarbības mehānisma izstrādi pakalpojumu attīstībai. Tieši tāpēc šobrīd organizē sarunas ar iesaistītajām pusēm, t.sk. IZM par strukturālām izmaiņām agrīna atbalsta sistēmas organizēšanā bērniem. Darba grupā, kurā tika sākotnēji skatīti iespējamie risinājumu varianti, ir iesaistīti arī izglītības resora, t.sk. IZM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finansējuma pārdale speciālo izglītības iestāžu infrastruktūras vajadzībām neatrisinās Darbības programmā definēto sākotnējo problēmu - uzlabot iekļaujošas izglītības pieejamību, nodrošinot agrīnu prevenciju un instrumentu pārvaldību bērnu attīstības vajadzību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2.jūlijā notika sanāksme starp Valsts kanceleju, Izglītības un zinātnes ministriju un Finanšu ministriju, kuras ietvaros panākta vienošanās, ka rosinātā pārdale tiek atcelta un veikti attiecīgi labojumi Programmas grozījumu dokumentācijā.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Interneta asociācija” (turpmāk - LIA) un “Latvijas Informācijas un komunikācijas tehnoloģijas asociācija” (turpmāk - LIKTA) ir izskatījušas un konceptuāli iebilst grozījumu priekšlikumam “Eiropas Savienības kohēzijas politikas programma 2021.-2027.gadam” (24-TA-1245) (turpmāk - Programma).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projekts paredz samazināt 1.4.prioritātes “Digitālā savienojamība”  1.4.1.SAM “Uzlabot digitālo savienojamību” pieejamo finansējumu 21 815 259 EUR apmērā   (Programmas 14.tabula dzēsta rinda ar kodu 32), kas tika paredzēts ļoti augstas veiktspējas elektronisko sakaru tīklu infrastruktūras izveidei elektronisko sakaru pakalpojumu pieejamības nodrošināšanai galalietotājiem (“pēdējā jūdze”), un atvilces maršrutēšanas (“vidējās jūdzes”) tīkla izveide baltajās teritorijās, lai veicinātu elektronisko sakaru pakalpojumu atbilstību Savienojamības paziņojuma mērķiem. Grozījumi tiek veikti arī Programmas 2. un 3. tabulā Politikas mērķa iznākuma rādītājos, atbilstoši pieejamā finansējuma samazinājumam. Faktiski grozījumi paredz, ka gandrīz 19 tūkstošiem mājsaimniecību/uzņēmumu joprojām nebūs pieejams ātrs internets.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IKT nozares nevalstisko organizāciju ieskatā šādas izmaiņas nav akceptējamas un finansējumam ir jāsaglabā, lai realizētu Savienojamības paziņojuma “Paziņojumā par Gigabitu sabiedrību[1]” un Elektronisko sakaru nozares plānā[2] noteikto mērķu sasniegšanai, kas paredz visām Eiropas mājsaimniecībām piekļuvi interneta savienojamībai, kas nodrošina vismaz 100 Mb/s, kā arī gigabitu savienojamību visiem galvenajiem sociālekonomiskajiem virzītājspēkiem, piemēram, skolām, transporta mezgliem un galvenajiem sabiedrisko pakalpojumu sniedzējiem, kā arī uzņēmumiem, kas intensīvi izmanto digitālos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apzinātas vairāk kā 500 000 “baltās” teritorijas[3] (adrešu līmenī), kur gala lietotājiem nav pieejams kvalitatīvs internets.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2020. gadā Satiksmes ministrijas pasūtīto pētījumu tika sniegts novērtējums par investīciju nepietiekamību sakaru nozarē, kas jārisina, lai sasniegtu ES savienojamības mērķus. Investīciju nepietiekamība atkarībā no valsts izvēlētā scenārija, kas tika izskatīti pētījumā, ir līdz 957 milj. EUR. Tātad jau sākotnēji paredzētais ERAF finansējums ~ 32,9 miljoni EUR ir tālu no nepieciešamā, un plānotie Programmas grozījumi, to samazina līdz minimumam. Jāņem vērā, ka augstas veiktspējas tīkla izbūves izmaksas ir dārgas un vienam operatoram vietās, kur nav pietiekams klientu skaits (baltajās teritorijās), investēt ir neizdevīgi.  Vidējās viena km optiskā tīkla infrastruktūras izbūves izmaksas svārstās no 30-40 tūkstošiem EUR/km, savukārt jauna sakaru torņa būvniecība, atkarībā no augstuma un nestspējas, izmaksas ir ~200- 350 tūkstoši EUR. Līdz ar to valsts un/vai Eiropas savienības atbalsts ir vitāli nepieciešams, lai mazinātu digitālo plaisu un  veicinātu augstas veiktspējas tīklu pieejamību visiem valsts iedzīvotājiem/uzņēmumiem, kā arī stiprinātu valsts digitālo drošību un redundanci.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Lietuvā līdz 2026.gada aprīlim plānots realizēt projektu “Īpaši ātrdarbīga komunikāciju infrastruktūra” (turpmāk – ISRI projekts[4]), kura mērķis ir nodrošināt piekļuvi gigabitu ātruma platjoslas pakalpojumiem sociālo un ekonomisko progresu veicinošām struktūrām un elektronisko sakaru komersantiem, kas atrodas "baltajos apgabalos". Projekta ietvaros plānots izveidot gigabitu ātruma savienojumu piekļuvi laukos/attālajos rajonos 5000 objektu, izbūvējot 2050 km optiskā tīkla infrastruktūras un  12 jaunus 30 m augstus sakaru torņus. Kopējās projekta izmaksas plānotas ~49 miljoni EUR un to plānots realizēt piesaistot Eiropas Savienības Ekonomikas atveseļošanas un noturības fonda finanšu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lietuvieši līdz 2027.gada aprīlim plāno realizēt projektu “Īpaši ātrgaitas sakaru infrastruktūras attīstība” (turpmāk -ISRI-2 projekts[5]), kura mērķis ir nodrošināt piekļuvi īpaši ātrdarbīgiem sakariem mājām un uzņēmumiem, kur infrastruktūras attīstību un pakalpojumu sniegšanu nevar nodrošināt tirgus dalībnieki. Ātrgaitas sakaru piekļuvi plānots nodrošināt 14 909 mājsaimniecībām, 1 348 uzņēmumiem, un projekta laikā izveidoto infrastruktūru varēs izmantot 138 elektronisko sakaru pakalpojumu sniedzēji. Pētījuma laikā tika noteikts, ka, lai nodrošinātu minēto rādītāju sasniegšanu, būs nepieciešams izbūvēt 63 jaunus sakaru torņus un uzstādīt sakaru infrastruktūras funkcionalitātei nepieciešamo aprīkojumu. Plānotās projekta izmaksas ir 30 miljoni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 un LIKTA iebilst minētajiem Programmas grozījumiem un lūdz saglabāt 1.4.prioritātes “Digitālā savienojamība” 1.4.1.SAM “Uzlabot digitālo savienojamību” finansējumu un tā mērķa iznākumu rādītājus esošajā redakcijā. Vienlaicīgi, sakaru nozares lielie spēlētāji (LMT, BITE, Tele2, LVRTC un TET, kā arī pēc nepieciešamības pieaicinot citus elektronisko sakaru komersantus) ir gatavi organizēt darba grupu, lai vienotos par plānu (projekta aprakstu) saistībā šobrīd Programmā noteiktā finansējuma (~28 miljonus EUR) investēšanu un plānošanas dokumentos noteikto sakaru nozares rādītāju sasniegšanu. Un vienlaikus lai spētu izpildīt Latvijas IKT stratēģiskos mērķis. Papildus norādām, ka mūsu ieskatā optimālākais modelis ātram rezultātam ir darboties pēc konsorciju principa, proti, ka projekta pieteikums tiek atbalstīts  un  nepieciešamo rezultātu sasniegšana tiek nodrošināta ar konsorcija - vairāku tirgus dalībnieku dalību. Mūsu ieskatā šāda pieeja nodrošinātu vairāku darba paku izpildi paralēli, kopēju tīkla plānošanu un realizāciju, nodrošinot iespējami ātrāko un efektīvāko rezultātu gala patērētājam, sociālo un ekonomisko progresu veicinošām struktūrām.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 un LIKTA izsaka gatavību aktīvi ņemt dalību labākā iespējamā risinājuma izstrādē, lai maksimāli efektīvi stiprinātu un izvērstu ātrdarbīgu elektronisko sakaru tīklu.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Interneta asociācijas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priekšsēdētājs  Andis Āriņš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Informācijas un komunikācijas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tehnoloģijas asociācijas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priekšsēdētājs  Andris Melnūdris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Eiropas Komisijas 2016. gada 14. septembra paziņojums Eiropas Parlamentam, Padomei, Eiropas Ekonomikas un sociālo lietu komitejai un Reģionu komitejai “Konkurētspējīga digitālā vienotā tirgus savienojamība. Virzība uz Eiropas Gigabitu sabiedrību” (COM(2016) 587 final).</w:t>
            </w:r>
            <w:r w:rsidR="00000000" w:rsidRPr="00000000" w:rsidDel="00000000">
              <w:rPr>
                <w:i w:val="1"/>
                <w:rtl w:val="0"/>
              </w:rPr>
              <w:t xml:space="preserve">[2] Elektronisko sakaru nozares attīstības plāns - https://likumi.lv/ta/id/327586-par-elektronisko-sakaru-nozares-attistibas-planu-2021-2027-gadam</w:t>
            </w:r>
            <w:r w:rsidR="00000000" w:rsidRPr="00000000" w:rsidDel="00000000">
              <w:rPr>
                <w:i w:val="1"/>
                <w:rtl w:val="0"/>
              </w:rPr>
              <w:t xml:space="preserve">[3] Teritorijas, kurās iespējams valsts atbalsts -  https://www.cfla.gov.lv/lv/2-4-1-2-i</w:t>
            </w:r>
            <w:r w:rsidR="00000000" w:rsidRPr="00000000" w:rsidDel="00000000">
              <w:rPr>
                <w:i w:val="1"/>
                <w:rtl w:val="0"/>
              </w:rPr>
              <w:t xml:space="preserve">[4] ISRI projekts- https://placiajuostis.lrv.lt/en/projects/isri/</w:t>
            </w:r>
            <w:r w:rsidR="00000000" w:rsidRPr="00000000" w:rsidDel="00000000">
              <w:rPr>
                <w:i w:val="1"/>
                <w:rtl w:val="0"/>
              </w:rPr>
              <w:t xml:space="preserve">[5] ISRI-2 projekts- https://placiajuostis.lrv.lt/en/projects/isri2/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sadarbībā ar Satiksmes ministriju (turpmāk – SM) skaidro, ka ierosinātie grozījumi, kas paredz pasākumu 1.4.1.2. “5G  infrastruktūras izbūve, VIA Baltica un Rail Baltica” un 1.4.1.3. “Nākamās paaudzes tīkla izveide lauku teritorijās (“vidējā jūdze”) finansējuma pārdali ir balstīti uz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Pasākumu 1.4.1.2. “5G  infrastruktūras izbūve, VIA Baltica un Rail Baltica” un 1.4.1.3. “Nākamās paaudzes tīkla izveide lauku teritorijās (“vidējā jūdze”)” finansējums tika paredzēts “vidējās jūdzes” attīstībai, t.i. atvilces maršrutēšanas tīkla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a.Pārdale no šiem pasākumiem ir ierosināta, ņemot vērā, ka 5G savienojamības izvēršanu gar TEN-T tīkla sauszemes transporta ceļiem iespējams īstenot ar Eiropas infrastruktūras savienošanas instrumenta (CEF) atbalsta un privāto finansējumu, t.i., šobrīd viens projekts attiecībā uz 5G aktīvo infrastruktūru ir apstiprināts, otrs projekts attiecībā uz pasīvo infrastruktūru atrodas izskatīšanā. Apstiprinātā projekta mērķis ir 5G aktīvās infrastruktūras ierīkošana TEN-T automaģistrālē, “Via Baltica” un “Rail Baltica” transporta koridoros. Izskatīšanā esošā projekta mērķis ir optiskās šķiedras tīkla infrastruktūras ierīkošana un nodrošināšana “Via Baltica” transporta  koridorā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b.Savukārt “Rail Baltica” pamattrasē plānots līdz 2030.gadam koordinēti attīstīt pasīvo platjoslas infrastruktūru (torņi, optikas kabelis, kas ieguldīts dzelzceļa uzbērumā izbūvētajā caurulē) ar mērķi koplietot 85-90% pasīvās infrastruktūras ar trešajām pusēm – komersantiem, kas nodrošina 5G sakaru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c.Papildus komersantu digitālajai infrastruktūrai būs pieejams finansējums no CEF projektu atlases, kas plānota 2024. gada beigās (piemēram, “5G gudrās kopienas”), un kur ir atvieglotāki komercdarbības atbalsta nosacījumi un mazāks administratīvais slogs, tas ir, piemērojams  Regulas Nr. 651/2014[1] 52.b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2.Savukārt ES kohēzijas politikas programmā 2021.-2027. gadam (turpmāk - Programma) paredzētais ERAF finansējums 7 395 000 EUR apmērā elektronisko sakaru pakalpojumu pieejamības nodrošināšanai galalietotājiem (“pēdējā jūdze”) tiek saglabāts. Informējam, ka 1.4.1.1. pasākuma “Platjoslas infrastruktūras attīstība (pēdējā jūdze)” īstenošanas noteikumi ir izstrādāti un tuvākajā laikā plānots uzsākt to sabiedrisko apspriešanu un tālāku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3.Papildus minētajam, Atveseļošanas fonda (AF) ietvaros elektronisko sakaru pakalpojumu pieejamības nodrošināšanai galalietotājiem (“pēdējā jūdze”) ir pieejams finansējums 16 500 000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4.Līdz ar to kopumā elektronisko sakaru pakalpojumu pieejamības nodrošināšanai galalietotājiem (“pēdējā jūdze”) ir pieejams finansējums 23 895 000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5.2024.gada 11.janvārī Centrālās finanšu un līgumu aģentūras AF ietvaros izsludinātā projektu iesniegumu atlase potenciālo finansējuma saņēmēju, t.i. elektronisko sakaru  komersantu, zemās aktivitātes dēļ tika pagarināta līdz š.g. 25.jūnijam. Attiecīgi aicinām LIA un LIKTA līdzdarboties, aicinot savus biedrus būt proaktīviem un pieteikties šim finansējumam, lai tas netiktu zaudēts.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6.Attiecīgi, veicot  Programmā transporta jomai piešķirtā finansējumu pārskatīšanu un pārstrukturēšanu, SM, atbilstoši izvirzītajām prioritātēm un identificētajam vajadzībām transporta nozarē, kas būtiski pārsniedz  ierobežotos/pieejamos finanšu līdzekļus,  lai nodrošinātu klimata un gaisa piesārņojuma samazināšanas mērķu izpildi, kā arī palielināt dzelzceļa pārvadājumu efektivitāti, pasākumu 1.4.1.2. “5G  infrastruktūras izbūve, VIA Baltica un Rail Baltica” un 1.4.1.3. “Nākamās paaudzes tīkla izveide lauku teritorijās (“vidējā jūdze”)” finansējumu novirza dzelzceļa līnijas Zemitāni – Garkalne attīstībai, lai iespējotu bezemisiju vilcienu satiksmi.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LIA un LIKTA ierosinājumiem optimālākajam “pēdējās jūdzes”  īstenošanas modelim vēršamu uzmanību, ka šobrīd gan AF investīcijas elektronisko sakaru pakalpojumu pieejamības nodrošināšanai galalietotājiem (“pēdējā jūdze”) apstiprinātie īstenošanas nosacījumi, gan ERAF noteikumu projekts paredz iespēju projekta īstenošanai piesaistīt sadarbības partneri. Atzīmējams, ka  minētie “pēdējās jūdzes” īstenošanas nosacījumi ir izstrādāti un saskaņoti ar nozari Satiksmes ministrijas izveidotajā darba grupā “Valsts atbalsta nosacījumu izstrādei, īstenošanai un uzraudzībai elektronisko sakaru tīklu, tostarp “pēdējās jūdzes” infrastruktūras attīstībai”, kurā aktīvi ar priekšlikumiem piedalījās arī LIKTA pārstāvji. SM  minētās darba grupas ietvaros ir gatava turpināt diskutēt par esošā investīciju modeļa uzlabojumiem, lai palielinātu tā efektivitāti un elektronisko sakaru komersantu iesaistes aktivitāti.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2014.gada 17.jūnija regula (ES) Nr. 651/2014, ar ko noteiktas atbalsta kategorijas atzīst par saderīgām ar iekšējo tirgu, piemērojot Līguma 107. un 108.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1.2.prioritāte “Atbalsts uzņēmējdarbībai” 1.2.1. SAM “Pētniecības un inovāciju kapacitātes stiprināšana un progresīvu tehnoloģiju ieviešana uzņēmumiem” (RSO 1.1.) 88.parahrāfu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instrumenti: Lai nodrošinātu uzņēmumu P&amp;A projektu īstenošanu, tiks nodrošināti granti jaunu produktu attīstībai, aizdevumi jaunu iekārtu un tehnoloģiju ieviešanai un tehnoloģiju pārnešanai, kombinētie aizdevumi jaunu inovatīvu produktu izstrādei, aizdevumi P&amp;A darbībām (tehnoloģiju attīstībai, prototipēšanai) un modernu tehnoloģiju pārnešanai. Inovatīvu iekārtu ieviešanas projektiem plānots sniegt atbalstu kombinēto finanšu instrumentu veidā – aizdevumu vai garantiju kombinējot ar kādu no subsīdijas elementiem, piemēram,  kapitāla atlaidi, kas paredz pamatsummas dzēšanu līdz noteiktam apmēram no aizdevuma summas vai kā aizdevumu  ar būtiski samazinātu % likmi vai  0% likmi (t.sk., ar  % likmes subsīdiju). FI pakalpojumu nepieciešamību pamato tirgus nepilnību analīze finanšu pieejamības jomā, t.sk. reģionos. FI valsts atbalsta pasākumu līdzīgi kā 2014.-2020.gada plānošanas periodā īstenos ALTUM, t.sk. piemērojot teritoriāli diferencētus atbalsta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sniegtos Eiropas Komisijas komentārus, nepieciešams papildināt aprakstu pie 2.5.1.SAM. Redakcija papildinājumam ir nosūtīta Finanšu ministrijai saistībā ar ES fondu 2021.-2027.gada plānošanas perioda Uzraudzības komitejas (UK) rakstisko procedūru, kurā apstiprināšanai tiek virzīti grozījumi Eiropas Savienības kohēzijas politikas programmā 2021.-2027.gadam. Lūdzam iekļaut ietvertos papildinājumus.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4.tabula (2) 2. Politikas mērķa iznākuma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prioritāte, 2.5.1.SAM rādītāju RCO 126 Atbalstītie uzņēmumi, kas galvenokārt saistīti ar ienesīgām investīcijām tīrās tehnoloģijās - no 1 uz 2 (2029.gadā);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5.tabula (3) 2. Politikas mērķa rezultātu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prioritāte, 2.5.1.SAM ar RCR 02 rādītāju "Publisko atbalstu papildinošās privātās investīcijas (tai skaitā: granti, finanšu instrumenti)" 40 000 000 (2029.gadā)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veiktajām izmaiņām 4.2.prioritātes 4.2.1.SAM “Uzlabot vienlīdzīgu piekļuvi iekļaujošiem un kvalitatīviem pakalpojumiem izglītības, mācību un mūžizglītības jomā, attīstot pieejamu infrastruktūru, tostarp, veicinot noturību izglītošanā un mācībās attālinātā un tiešsaistes režīmā” atbalstāmo darbību tvērumā, no atbalstāmajām darbībām svītrojot "Infrastruktūras izveide starpnozaru sadarbības un atbalsta sistēmas izveidei bērnu attīstībai, nodrošinot savlaicīgu atbalsta sniegšanu pedagogiem, izglītības iestādēm un vecākiem darbā ar bērniem, kuriem ir dažādas mācīšanās vajadzības, tādējādi stiprinot iekļaujošas izglītības pieejamību, kā arī nodrošinot agrīnu prevenciju un instrumentu pārvaldību bērna attīstības vajadzību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VK šobrīd organizē diskusijas ar Veselības ministriju, Izglītības un zinātnes ministriju, Bērnu klīniskās universitātes slimnīcu un citām iesaistītajām institūcijām par strukturālām izmaiņām agrīna atbalsta sistēmā bērniem, lai nodrošinātu savlaicīgu attīstības risku atpazīšanu un starpsektoru sadarbībā balstītu atbalsta plānošanu un organizēšanu bērniem ar attīstības riskiem un traucējumiem, t.sk. speciālām vajadzībām, tādējādi uzlabojot viņu nākotnes izredzes un dzīves kvalitāti. Vienlaikus VK vadībā darbu turpina darba grupa, kuras uzdevums ir izstrādāt likumprojektu bērnu attīstības vajadzību atbalstam. Lai ieviestu plānotās izmaiņas 2026./2027.gadā, būtisks ir 4.2.1. SAM paredzētais atbalsts infrastruktūras izveidei, tāpēc iebilstam pret izmaiņām plānotajās darbībās, kas nav saskaņotas ar iesaistītajām pusēm. Vēršam uzmanību, ka virzītās izmaiņas būtiski apgrūtinās 4.3.6.7.pasākumā "Starpnozaru sadarbības un atbalsta sistēmas izveide bērnu veselīgai attīstībai un sekmīgai pašrealizācijai" izstrādāto metodisko instrumentu bērnu attīstības risku, traucējumu t.sk. speciālo vajadzību noteikšanai ieviešanu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Valsts kancelejas (turpmāk – VK) iebildumu, Izglītības un zinātnes ministrija (turpmāk  - IZM) sniedz pamatojumu ierosinātajam grozījumam darbības programmā un attiecīgajai 4.2.1.1. pasākuma „Infrastruktūras izveide starpnozaru sadarbības un atbalsta sistēmas izveidei bērnu attīstībai”  (turpmāk – 4.2.1.1. pasākums) finansējuma pārdalei 4.2.1.3. pasākuma „Infrastruktūras un mācību vides pilnveide efektīvas, kvalitatīvas un mūsdienīgas izglītības īstenošanai speciālās izglītības iestādēs” (turpmāk - 4.2.1.3. pasākums) darbību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 ir uzsākusi oficiālo saraksti ar VK 2022. gada 26. septembrī, aicinot sniegt skaidrojumu par 4.2.1.1. pasākuma laika grafika ievērošanu/aktualizēšanu, kā arī ar informācijas pieprasījumu Ministru kabineta (turpmāk – MK) noteikumu un anotācijas izstrādei. VK, gatavojoties tikšanās ar Eiropas komisiju, kas notika 2022.gada 1.decembrī, ir aktualizējusi 4.2.1.1. pasākuma ieviešanas ceļa karti, tajā skaitā aktualizējot laika grafiku. Saskaņā ar iepriekš minēto laika grafiku, VK Pedagoģiski psiholoģiskā atbalsta dienestu (turpmāk – Dienests) bija iecerējusi izveidot līdz 2023.gada 1.ceturkšņa beigām, kas nav realizēts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veicinātu 4.2.1.1. pasākuma nosacījumu izstrādes procesu, IZM 2023. gada 21. martā nosūtīja vēstuli VK ar lūgumu sniegt informāciju MK nosacījumu izstrādei, kā arī informāciju par notikušajām sanāksmēm un citu progresu atbilstoši ceļa kartei, kas tika aktualizēta sarunai ar Eiropas komisiju. VK 2023. gada 6. aprīlī sniedza atbildi, ka pasākuma īstenošana ir atlikta, vienlaikus noritot sarunām par ieviešanas konceptu. Papildus VK norādīja, ka turpmāka pasākuma plānošana ir iespējama tikai pēc tam, kad būs saskaņots agrīnās preventīvās atbalsta sistēmas izveides tiesiskais ietvara koncepts un piedāvātais risinājums un tiks noteikti termiņi izpildinstitūcijas izveidei, kas nav realizēts.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MK 12.09.2023. sēdes protokola Nr. 44 49. § “Noteikumu projekts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 uzdots VK sadarbībā ar iesaistītajām ministrijām un Latvijas Pašvaldību savienību izstrādāt un līdz 2024. gada 30. martam noteiktā kārtībā iesniegt izskatīšanai MK likumprojektu bērnu attīstības vajadzību atbalstam, kas nosaka agrīna preventīva atbalsta sistēmas darbības mērķi, uzdevumus un principus, vietu un lomu valsts pārvaldes iekārtā un sasaisti ar publiskās pārvaldes īstenotajām politikas jomām, darbības jomas, sistēmā ietilpstošo pakalpojumu kvalitātes standartu izstrādes un reģistrēšanas kārtību, atbildību sadalījumu multiprofesionālu pakalpojumu attīstīšanā un nodrošināšanā bērniem un ģimenēm, informācijas aprites kārtību starp iesaistītajām institūcijām bērnu attīstības vajadzību atbalstam, finansēšanas principus un nosacījumus sistēmas darbībai no valsts un pašvaldību budžetiem. Līdz šim likuma projekts vēl nav virzīts saskaņošanai tiesību aktu portālā.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VK izstrādāto 2023. gada 12. decembra MK noteikumu Nr. 749 “Eiropas Savienības kohēzijas politikas programmas 2021.–2027. gadam 4.3.6. specifiskā atbalsta mērķa "Veicināt nabadzības vai sociālās atstumtības riskam pakļauto cilvēku, tostarp vistrūcīgāko un bērnu, sociālo integrāciju" 4.3.6.7. pasākuma "Starpnozaru sadarbības un atbalsta sistēmas izveide bērnu veselīgai attīstībai un sekmīgai pašrealizācijai" īstenošanas noteikumi” 11.punkts nosaka, ka finansējuma saņēmējs ir VK Pārresoru koordinācijas departaments un pasākums tiks īstenots kopā ar sadarbības partneriem. 2024. gada 22.aprīlī  IZM ir parakstījusi nodoma protokolu par sadarbību 4.3.6.7. pasākuma „Starpnozaru sadarbības un atbalsta sistēmas izveide bērnu veselīgai attīstībai un sekmīgai pašrealizācijai” (turpmāk – 4.3.6.7. pasākums) projekta īstenošanā, tādējādi apliecinot, ka iesaistīsies vairāku projekta aktivitāšu īstenošanā kā  sadarbības partneris.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VK 2024.gada 7.jūnija sanāksmes laikā prezentēja IZM izstrādāto konceptu strukturālām izmaiņām agrīna atbalsta sistēmā bērniem. Koncepta izstrādē netika iesaistīta IZM, līdz ar to koncepts nesaskan ar IZM vīziju atbalsts sniegšanai izglītojamiem,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iepriekšminēto, secināms, ka Dienesta izveidei trūkst vienošanās valdības līmenī, ņemot vērā jautājuma izskatīšanas atlikšanu un koncepta izstrādes ieilgšanu. Valdības rīcības plānā Deklarācijas par Evikas Siliņas vadītā MK iecerēto darbību īstenošanai (spēkā no 2024.gada 20.janvāra) arī nav iekļautas darbības saistībā ar Dienesta izveidi.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4.2.1.1. pasākuma plānotās darbības paredz Dienesta telpu pielāgošanu un autotransporta iegādi pakalpojumu mobilitātes nodrošināšanai. Ņemot vērā, ka MK noteikumi par 4.3.6.7. pasākuma īstenošanu nosaka, ka finansējuma saņēmējs ir VK un projekta ietvaros ir attiecināmās transporta pakalpojuma izmaksas un transportlīdzekļa (tai skaitā specializētā) pakalpojuma pirkšana izmaksas, secināms, ka 4.2.1.1. pasākuma darbības neietekmē 4.3.6.7. pasākuma mērķa sasniegšanu.  IZM sniedza iebildumu minēto MK noteikumu saskaņošanas laikā tiesību aktu portālā, kā arī oficiālajā sarakstē ar VK (2023.gada 13.jūlija vēstules kopija tika nosūtīta arī FM), lūdzot skaidrot, kāpēc tiek plānota 4.3.6.7. pasākuma īstenošana, ja Dienests vēl nav izveidots. VK atbilde liek secināt, ka Dienesta neesamība neierobežo 4.3.6.7. pasākuma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 lai īstenotu konceptu strukturālām izmaiņām agrīna atbalsta sistēmā bērniem, ierosina izmantot tajā skaitā 4.2.1.1. pasākuma finansējumu. Tomēr koncepta laika grafiks nav definēts, ņemot vērā iesaistīto pušu atšķirīgos viedokļus, kā arī pie pozitīva risinājuma koncepta īstenošanas uzsākšana ir iespējama ne ātrāk kā 2026.gadā, kas būtiski aizkavē IZM piešķirtā finansējuma apguvi un izraisa nepieciešamību kārtējo reizi precizēt 4.2.1.1. pasākuma ieviešanas laika grafiku.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IZM pārziņā esošā finansējuma efektīvu un jēgpilnu apguvi, IZM  ierosina 4.2.1.1. pasākuma finansējumu pārcelt uz 4.2.1.3. pasākumu, kura mērķis ir uzlabot speciālās izglītības iestāžu infrastruktūru. Tādējādi atbalsta fokuss, kas paredz nodrošināt iekļaujošās izglītības pieejamību, netiks būtiski mainīts. 4.2.1.3. pasākuma normatīvais regulējums jau ir apstiprināts un ir izsludināta projektu iesniegumu atlase. Papildu atbalsts ir būtisks speciālo izglītības iestāžu vajadzību nodrošinājumam, kas uzlabotu mācību vidi izglītojamajiem ar speciālām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kā ES fondu vadošā iestāde (turpmāk – vadošā iestāde) no savas puses aicina VK un IZM sazināties ārpus TAP procesa un vienoties par abu pasākumu saturu, ja nepieciešams sarunai pieaicinot arī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42.lpp  - sadaļā 1.2.3. SAM “Veicināt ilgtspējīgu izaugsmi, konkurētspēju un darba vietu radīšanu MVU, tostarp ar produktīvām investīcijām” (RSO 1.3.) papildināt 104.paragrāfu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Visaptverošs atbalsts uzņēmējdarbības attīstībai</w:t>
            </w:r>
            <w:r w:rsidR="00000000" w:rsidRPr="00000000" w:rsidDel="00000000">
              <w:rPr>
                <w:rtl w:val="0"/>
              </w:rPr>
              <w:t xml:space="preserve"> – atbalsts FI veidā saimnieciskās darbības veicēju izveidei, investīcijām jaunu ražošanas ēku izbūvei un iekārtu iegādei ar mērķi radīt jaunus eksportspējīgus produktus, kā arī nepieciešamajiem ražošanas pieslēgumiem </w:t>
            </w:r>
            <w:r w:rsidR="00000000" w:rsidRPr="00000000" w:rsidDel="00000000">
              <w:rPr>
                <w:b w:val="1"/>
                <w:rtl w:val="0"/>
              </w:rPr>
              <w:t xml:space="preserve">(piemēram, ieguldījumi ražotnes infrastruktūrai vai tai nepieciešamās pievadinfrastruktūras izveidei, kas nepieciešama, lai nodrošinātu pilnvērtīgu ražotnes saimniecisko darbību un ražošanas rezultātā gatavās produkcijas nogādāšanu līdz patērētājam, piemēram, dažādu pieslēgumu nodrošināšanai)</w:t>
            </w:r>
            <w:r w:rsidR="00000000" w:rsidRPr="00000000" w:rsidDel="00000000">
              <w:rPr>
                <w:rtl w:val="0"/>
              </w:rPr>
              <w:t xml:space="preserve">, investīcijām dzīvotspējīgu projektu īstenošanai un apgrozāmajiem līdzekļiem ar mērķi veicināt šo uzņēmumu tehnoloģiskās kapacitātes pilnveidošanu attīstību un produktivitāti, kā arī sekmēt uzņēmumu vadības prakses un darbavietu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1.2.3.SAM sadaļā lūdzam precizēt 110.paragrāfu "Finanšu instrumenti"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Finanšu instrumenti: </w:t>
            </w:r>
            <w:r w:rsidR="00000000" w:rsidRPr="00000000" w:rsidDel="00000000">
              <w:rPr>
                <w:rtl w:val="0"/>
              </w:rPr>
              <w:t xml:space="preserve">Sēklas, izaugsmes stadijas iespējkapitāla un mezanīna investīcijas, daudzpakāpju iespējkapitāla fondi, t.sk. investīcijām MVU dalībai kapitāla tirgū, aizdevumi produktivitātes kāpināšanai, starta aizdevumi, t.sk., paredzot sadarbībā ar kvalificētiem iespējkapitāla investoriem ieguldījumu līdzfinansēšanu jaunuzņēmumos, portfeļgarantijas un individuālās garantijas. Akcelerācijas fonds - inovatīvu ideju un uzņēmumu attīstībai. Esošo uzņēmumu attīstībai ar izaugsmes potenciālu - sēklas kapitāla, sākuma kapitāla un izaugsmes kapitāla ieguldījumi, kā arī mezanīna fonds. Aizdevumi - projektiem un nozarēm ar augstāku riska pakāpi, arī, lai nodrošinātu jaunuzņēmumiem finansējumu starp iespējkapitāla investīciju piesaistes cikliem. Aizdevumi jaunu uzņēmumu izveidei un esošu attīstībai, neizslēdzot iespēju aizdevumiem apgrozāmo līdzekļu finansēšanai, vai ražošanas pieslēgumu nodrošināšanai u.c. Aizdevumu garantijas - aizdevumiem augstāka riska projektos. Finanšu instrumentu vai  kombinēto finanšu instrumentu veidā – aizdevumu kombinējot ar kādu no subsīdijas elementiem, piemēram, kapitāla atlaidi, kas paredz pamatsummas dzēšanu līdz noteiktam apmēram no aizdevuma summas vai kā aizdevumu  ar būtiski samazinātu % likmi vai  0% likmi (t.sk., ar  % likmes subsīdiju)– atbalsts jaunu darba vietu radīšanai eksportējošos uzņēmumos, kā arī ražošanas pieslēgumu nodrošināšanai. FI pakalpojumu nepieciešamību pamato tirgus nepilnību analīze finanšu pieejamības jomā. FI īstenos ALTUM.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110.paragrāfa redakcija saīsināta vienojoties ar Ekonomikas ministriju, ņemot vērā Eiropas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V pielikumā noteiktos zīmju skaita ierobežojumus sadaļai “Finanšu instrumenti”.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1.2.3. sasniedzamo rādītāju Nr. RCO 03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Starpposma vērtība uz 31.12.2024. – no 85 uz 109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Starpposma vērtība uz 31.12.2029. – no 575 uz 683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1.2.3. sasniedzamo rādītāju Nr. RCO 01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Starpposma vērtība uz 31.12.2024 - no 188 uz 212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tarpposma vērtība uz 31.12.2029 - no 1511 uz 1619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1.2.3. sasniedzamo rādītāju Nr. RCR 02 precizēt: no 171 931 842 uz 183 821 242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arī SAM 1.2.3. intervences kodos sadaļā par finansējuma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2 - no 78 018 205 uz 67 478 205 (1.2.3.2.pasākums)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3 - no 13 313 429 uz 23 853 429 (1.2.3.5.pasākums)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izziņai: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programmai paredzēto publisko finansējumu 12 400 000 euro apmērā vairs nav plānots izmantot (jo vienu no atlasēm – 5. paaudzes Sākuma stadijas iespējkapitāla fonda pārvaldnieka atlase –, kura tika izsludināta 2023. gada 15. decembrī, sabiedrības Altum lēma pārtraukt, jo tajā bija pieteicies tikai viens pretendents), to ir iespējams pārvirzīt uz 1.2.3.5. pasākumu (aizdevumi produktivitātes kāpināšanai (investīcijas un apgrozāmie līdzekļi)), kurā strauji tuvojas finansējuma rezervēšana pilnā apmērā (uzņemtas saistības pret saimnieciskās darbības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Privātās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tiek palielināts 1.2.3.5. pasākuma privātās investīcijas no 20 milj. EUR uz 36 milj. EUR, savukārt 1.2.3.2.pasākuma privātās investīcijas samazinātas no 31, 62 milj. EUR uz 27,5 milj. EUR. Attiecīgi labots kopējais RCR 02 rādītājs no 171 931 842 uz 183 821 242.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Atbalstītie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RCO 03 (attiecīgi arī RCO 01) rādītāji tiek samazināt vai palielināti atbilstoši finansējuma maiņām starp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1.2.3.2. pasākuma “Iespējkapitāla ieguldījumi” rādītāju izmaiņa (līdz 2029.gadam) no 80 uz 68 uzņēmumiem nav samazināts proporcionāli finansējuma samazinājumam, bet ņemot vērā, ka Sākuma fonda komandītsabiedrības līgums paredzēja, ka būs jāatbalsta vismaz 12 uzņēmumi. Šobrīd tad 68 atbalstīto uzņēmumu kopskaitu veidos 55 atbalstīti uzņēmumi Jaunuzņēmumu fondos + 13 Izaugsmes fondā. Vienlaikus proporcionāli precizēts rādītājs uz 2024.gadu.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Pārdalīti rādītāji starp programmām, izvērtējot 1.2.3.3. pasākuma “Starta, izaugsmes aizdevumi”, tad šobrīd tajā ir jau 132 apstiprināti pieteikumi par kopējo finansējumu  virs 5 milj. EUR, bet 1.2.3.5. pasākumā “Aizdevumi, produktivitātes kāpināšanai (investīcijas un apgrozāmie līdzekļi)”, izmantojot visus 15 milj.EUR, ir apstiprināti 48 projekti. Vienlaikus, ņemot vērā, finansējuma pārdali no 1.2.3.2.pasākuma uz 1.2.3.5.pasākumu, precizēti rādītāji. Līdz ar to precizēts RCO 03 rādītāji 2024.gadā – no 85 uz 109., savukārt 2029.gadā – no 575 uz 683, un RCO 01 rādītāji 2024.gadā no 188 uz 212 un 2029.gadā no 1511 uz 1619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precizēti arī intervences kodos - finansējuma veidi, ņemot vērā finansējuma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1.2.1. sasniedzamo rādītāju Nr. RCO 03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Starpposma vērtība uz 31.12.2024. – no 6 uz 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1.2.1. sasniedzamo rādītāju Nr. RCO 01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Starpposma vērtība uz 31.12.2024. – no 6 uz 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izziņai: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1.2.1. RCO 03 un RCO 01 rādītājs uz 2024.gadu netiks noteikts, jo ir paredzams, ka jaunās atbalsta programmas būs tikko uzsāktas vai salīdzinoši īss īstenošanas termiņš kopš to stāšanās spēkā, līdz ar to nebūs iespēja sasniegt sasniedzamo starpposma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rādītāju VK,  jo 4.3.prioritātē, 4.3.6.SAM rādītāja ID EECO18 (Nacionāla, reģionāla vai vietēja mēroga valsts administrācijas vai sabiedrisko pakalpojumu iestāžu un pakalpojumu skaits, kas saņēmuši atbalstu Iestāžu skaits) starpposma vērtība (2024) konstatēts, ka VK rādītājs 280 neatbilst pret VK Ārvalstu finanšu instrumentu departamenta vadītāja Haralda Beiteļa 17.05.2024. nosūtītajā e-pasta vēstulē Finanšu ministrijai (anna.pukse@fm.gov.lv ) par ES kohēzijas politikas programmā 2021.-2027.gadam precizētajiem programmas grozījumiem, kuros norādīts, ka  4.3.prioritātē 4.3.6.SAM rādītājs ID EECO18 VK ir 281.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izmaiņas rādītājā veiktas pamatojoties uz 4.3.6.9. pasākumu "Ģimenei draudzīgas vides un sabiedrības veidošana un intervences psiholoģiskā un emocionālā noturīguma veicināšanai" , kura ietvaros līdz 2029. gada 31. decembrim ar plānotajām investīcijām paredzēts sniegt atbalstu kopumā vismaz divām nacionāla, reģionāla un vietēja mēroga valsts administrācijas vai sabiedrisko pakalpojumu iestāžu un pakalpojumu institūcijām. Iznākuma rādītājs “Nacionāla, reģionāla vai vietēja mēroga valsts administrācijas vai sabiedrisko pakalpojumu iestāžu un pakalpojumu skaits, kas saņēmuši atbalstu” ir  “2” - Sabiedrības integrācijas fonds un 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EECO18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Starpposma vērtība (2024) VK-281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Programmas 325.rindkopu, iekavas un vārdus “(t.sk. ergonomikas klases izveide)” pārvietojot aiz vārda “izglītojošas” – atbilstoši 05.04.2024 Programmas grozījumu izziņas 132.punktā ierosinātajiem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Programmas 329., 331., 333. un 335.rindkopu, precizējot 4.3.3.SAM ietvaros atbalstāmās darbības un galvenās mērķa grupas saistībā ar atbalstu sociālās ekonomikas attīstībai, brīvprātīgajam darbam un sudraba ekonomikai – atbilstoši 12.06.2024. Finanšu ministrijai nosūtītajam papildus Programmas grozījumu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precizēt Programmas 347.rindkopu, aiz vārdiem “neformālajiem aprūpētājiem” papildinot ar vārdiem “sociālo pakalpojumu sniedzēju speciālistiem un brīvprātīgā darba veicējiem” - atbilstoši 05.04.2024 Programmas grozījumu izziņas 140.punktā ierosinātajiem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precizēt Programmas 366.rindkopu, svītrojot iekavas un vārdus “(t.sk. Bērnu aizsardzības centra koncepcijas un Nepilngadīgo personu atbalsta informācijas sistēmas pilnveides koncepcijas izstrāde u.c.)” - atbilstoši 05.04.2024 Programmas grozījumu izziņas 145.punktā ierosinātajiem grozījumiem. Uzskatām, ka detalizētas pakāpes informācijas norādīšana plānošanas dokumentos nav lietderīga, ņemot vērā iespējamas izmaiņas izstrādājamo dokumentu vai attīstāmās sistēmas nosaukumā.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precizēt Programmas 8.tabulu (2) 4. Politikas mērķa iznākuma rādītāji saskaņā ar pielikumā norādītajām grozījumu izmaiņām, veicot šādus precizējumus attiecībā uz rādītājiem EECO18, EECO19,  i.4.3.4.f, i.4.3.6.a, i.4.3.6.b: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rādītāja EECO18 “Nacionāla, reģionāla vai vietēja mēroga valsts administrācijas vai sabiedrisko pakalpojumu iestāžu un pakalpojumu skaits, kas saņēmuši atbalstu” starpposma vērtību (2024) norādot “1” un kopējo vērtību norādot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rādītāja EECO19 “Mikrouzņēmumi, mazie vai vidējie uzņēmumi (t.sk. kooperatīvie uzņēmumi, sociālie uzņēmumi), kas saņēmuši atbalstu” starpposma vērtību (2024) norādot “12”;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rādītāja i.4.3.4.f “Īstenotie izvērtējumi” starpposma vērtību (2024) norādot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rādītāja i.4.3.6.a “Biedrības un nodibinājumi, mikrouzņēmumi, mazie vai vidējie uzņēmumi, kas saņēmuši atbalstu” starpposma vērtību (2024) norādot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rādītāja i.4.3.6.b “Speciālistu, kuri piedalījušies mācībās bērnu tiesību aizsardzības jomā, skaits” starpposma vērtību (2024) norādot “490”.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visā Programmā starpposma rādītāju grozījumu virzībā nav piemērota vienota, horizontāla pieeja un citu nozaru starpposma rādītāju vērtības tomēr ir grozītas, vēlreiz vēlamies vērst uzmanību, ka arī LM gadījumā ir objektīvi iemesli, kas pamato rādītāju grozījumu nepieciešamību (skat. izziņā ietvertos skaidrojumus) un lūdzam virzīt LM rosinātās izmaiņas pārziņas starpposma rādītājos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precizēt Programmas 8.tabulu (2) 4. Politikas mērķa iznākuma rādītāji, svītrojot no Programmas rādītāju r.4.3.6.b “Invaliditātes ekspertīzei patērētā laika samazinājums” un tā vietā norādot jaunu rezultāta rādītāju r.4.3.6.b  “Klientu īpatsvars (%), kuri kopumā ir apmierināti ar VDEĀVK darbu – 82% no aptaujāto personu skaita, kurām veikta invaliditātes ekspertīze” – atbilstoši 12.06.2024. Finanšu ministrijai nosūtītajam papildus Programmas grozījumu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Lūdzam precizēt Programmas 25.tabulas (12) Ieguldījumu priekšnosacījumi 70.punktu (Tematiskais priekšnosacījums Nr.15 (4.6.) Stratēģiskās politikas satvars veselības aizsardzības un ilgtermiņa aprūpes jomā, 2.kritērijs), kolonnā “Pamatojums” svītrojot vārdus “Pamatnostādņu uzdevumu īstenošanai ir izstrādāts Sociālo pakalpojumu pilnveidošanas un attīstības plāns 2022.-2024.g.” - atbilstoši 05.04.2024 Programmas grozījumu izziņas 193.punktā ierosinātajiem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Lūdzam precizēt Programmas 25.tabulas (12) Ieguldījumu priekšnosacījumi 71.punktu (Tematiskais priekšnosacījums Nr.15 (4.6.) Stratēģiskās politikas satvars veselības aizsardzības un ilgtermiņa aprūpes jomā, 3.kritērijs), kolonnā “Pamatojums” svītrojot vārdus “Ir izstrādāts Sociālo pakalpojumu pilnveidošanas un attīstības plāns  2022.-2024.g.” - atbilstoši 05.04.2024 Programmas grozījumu izziņas 194.punktā ierosinātajiem grozījumiem.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skaidrojums attiecībā uz šādiem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Programma ir papildināta ar LM š.g.18.jūnijā iesniegtiem papildu precizējumiem par 4.3.3.SAM ietvaros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par minētiem papildinājumiem ir uzsākta neformāla komunikācija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Precizējumi ir veikti atbilstoši 18.jūnijā saņemtai LM papildus informācijai, t.sk. Programmā ir dzēsti EECO19 starpposma vērtības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Eiropas Komisijas (turpmāk – EK) iepriekš izteikto rosinājumu neveikt izmaiņas rādītāju sasniedzamajās starpposma vērtībās. Izmaiņas atbalstāmas tikai īpaši pamatotos un argumentētos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gadījumā, ja ar EK esošās konsultācijas laikā tiks panākta konceptuāla vienošanās par Programmas grozījumu (bez radītāju starpposma vērtības samazinājuma) saskaņošanu, atbalstītie grozījumi tiks virzīti apstiprināšanai Ministru kabinetā, lai nekavētu stratēģiski svarīgo lēmumu pieņemšanu. Šajā gadījumā LM būs iespēja skaidrot nobīdes starpposma vērtību sasniegšanā vēlākā posmā, atbilstoši EK norādītajam, ka šajā periodā vidusposma rādītāju sasniegšana nav saistītas ar lēmumu par galīgo finanšu piešķīrumu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darbības programmas ietvaros ir veikti labojumi attiecībā uz EM pārziņā esošiem sasniedzamiem mērķiem. Proti, SAM 2.1.1. ietvaros esošais rādītājs - Gada primārās enerģijas patēriņš (tai skaitā: mājokļi, sabiedriskās ēkas, uzņēmumi, citi) 204 902 mwH/gadā ir noteikts kā kopīgs rādītājs Ekonomikas ministrijai un Klimata un enerģētikas ministrijai. EM norāda, ka katras ministrijas pārziņā atrodas dažādas programmas un atsevišķs finansējums, attiecīgi EM nav pieņemamam prakse, kurā katrai atbalsta programmai un finansējumam nav noteikts individuāli sasniedzams rādītājs. Ņemot vērā iepriekš minēto, lūdzu izdalīt EK un KEM katram atsevišķi sasniedzamus rādītājus. Norādām, ka EM indikatīvi plāno sasniegt šādas vērtības (DME - 21 162 120, valsts ēkas - 29 312 388, uzņēmējdarbība - 18 454 543 kWh/gadā). Attiecīgi EM indikatīvi ir 1/3 daļa no sasniedzamā rādītāja.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redakcija precizēta, izdalot atsevišķi rādītāja Nr. RCR 26 “Gada primārās enerģijas patēriņš (tai skaitā: mājokļi, sabiedriskās ēkas, uzņēmumi, citi)” sasniedzamās vērtības atsevišķi Ekonomikas ministrijas un Klimata un enerģētikas ministrijas pasākumu ietvaros sasniedzamās rādītāju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 “Tematiskais priekšnosacījums Nr.13 (4.4.) Valsts stratēģiskās politikas satvars sociālās iekļaušanas un nabadzības mazināšanas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precizējumus atbilstoši aktuālajai situācijai, izsakot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rindkopā, kas sākas ar vārdiem "Plāns  pieejamas vides veidošanai Latvijā 2019.-2021.gadam"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Plāna īstenošanu 2022.gada 2.pusgadā </w:t>
            </w:r>
            <w:r w:rsidR="00000000" w:rsidRPr="00000000" w:rsidDel="00000000">
              <w:rPr>
                <w:b w:val="1"/>
                <w:rtl w:val="0"/>
              </w:rPr>
              <w:t xml:space="preserve">tika</w:t>
            </w:r>
            <w:r w:rsidR="00000000" w:rsidRPr="00000000" w:rsidDel="00000000">
              <w:rPr>
                <w:rtl w:val="0"/>
              </w:rPr>
              <w:t xml:space="preserve"> sagatavots informatīvais ziņojums Ministru kabinetam par plāna izpildi </w:t>
            </w:r>
            <w:r w:rsidR="00000000" w:rsidRPr="00000000" w:rsidDel="00000000">
              <w:rPr>
                <w:b w:val="1"/>
                <w:rtl w:val="0"/>
              </w:rPr>
              <w:t xml:space="preserve">(publicēts 13.12.2022., 22-TA-3236);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rindkopā, kas sākas ar vārdiem "Arī Plāns personu ar invaliditāti vienlīdzīgu iespēju veicināšanai 2024.-2027. gadam" lūdzam svītrot tekstu iekavās "šobrīd saskaņošanas procesā" un aizstāt ar vārdiem </w:t>
            </w:r>
            <w:r w:rsidR="00000000" w:rsidRPr="00000000" w:rsidDel="00000000">
              <w:rPr>
                <w:b w:val="1"/>
                <w:rtl w:val="0"/>
              </w:rPr>
              <w:t xml:space="preserve">"apstiprināts ar Ministru kabineta 2024. gada 21. maija rīkojumu Nr. 396".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Programmas 9.sadaļas “Plānoto stratēģiski svarīgo darbību saraksts un to plānotais laika grafiks” (457) rindkopas 5.apakšpunktā “2.2.3.6.pasākums “Gaisa piesārņojumu mazinošu pasākumu īstenošana, uzlabojot mājsaimniecību siltumapgādes sistēma” (atlase beigusies)” atlases statusu precizēt uz “atlase vērtēšanā”, jo šobrīd vēl noris 4.uzsaukuma projektu vērtēšana, vienlaikus VARAM sadarbībā ar Klimata un enerģētikas ministriju strādā pie 2.2.3.6.pasākuma regulējošo Ministru kabineta noteikumu grozījumu projekta izstrādes, lai nodrošinātu 2.2.3.6.pasākuma neizlietotā finansējuma novirzīšanu papildu projektu konkursu uzsaukumu veikšanai, kas turpināsies esošās atlases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4. tabulas kolonnā “Atsauces uz attiecīgajiem dokumentiem” (no 133.lpp) atsevišķi no uzskaitītajiem plānošanas dokumentiem 2024. gadā ir aktualizēti, piemēram, Aktualizētais Nacionālais enerģētikas un klimata plāns 2021.–2030. gadam, Valsts civilās aizsardzības plāns, kā rezultātā, iespējams, ir grozāms arī kolonnas “Pamatojums” saturs. Ievērojot konstatēto, lūdzam izvērtēt minētajās kolonnās veikt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Eiropas Savienības kohēzijas politikas programmas 2021.–2027.gadam 3.politikas mērķa “Ciešāk savienota Eiropa, uzlabojot mobilitāti” 223.rindkopu ar vārdiem "publiskās lietošanas infrastruktūras izbūve intermodālo savienojumu izveidei un attīstīšanai, lai sekmētu kravu pārorientāciju uz videi draudzīgākiem kravu pārvadāšanas veidiem, kā arī uzlabotu multimodālo kravu pārvadājumu iespējas", tādējādi nodrošinot, ka dokumenta saturā tiek iekļauta informācija par jaunā 3.1.1.7.pasākumā “Iekšzemes intermodālo termināļu attīstība” plānotajām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Šobrīd maksimālais pieļaujamais pasažieru vilcienu ātrums pa dzelzceļa infrastruktūru ir līdz 120 km/h. Lai uzlabotu iedzīvotāju mobilitāti uz blīvi apdzīvotiem centriem un vienlaikus piedāvātu privātajiem auto TL konkurētspējīgu pārvietošanos, ir būtiski nodrošināt vilcienu ātruma paaugstināšanu. Visefektīvāk nepieciešamos ieguldījumus infrastruktūrā ir veikt tajos dzelzceļa posmos, kuros ir lielāks attālums starp stacijām un vilciena gaitai ir iespējams paātrināties. TEN-T tīklā esošās dzelzceļa infrastruktūras modernizācija un jaunas izveide (indikatīvi plānota dzelzceļa līnijā Rīga-Krustpils (elektrifikācija); secīgi 2014. –2020.gada ES fondu investīcijām - indikatīvi dzelzceļa līnijās Rīga-Cēsis un Rīga-Aizkraukle-Krustpils-Rēzekne (dzelzceļa infrastruktūras modernizācija vilcienu ātruma paaugstināšanai)); dzelzceļa pasažieru infrastruktūras modernizācija (secīgi 2014.-2020.gada ES fondu investīcijām - indikatīvi plānota dzelzceļa tīkla iecirkņos Rīga-Lugaži-valsts robeža, Krustpils-Daugavpils, Krustpils-Rēzekne, Rēzekne-Zilupe–valsts robeža, Jelgava–Liepāja, Tukums 2-Ventspils, Pļaviņas-Gulbene); drošības un digitalizācijas pasākumu īstenošana; publiskās lietošanas infrastruktūras izbūve intermodālo savienojumu izveidei un attīstīšanai, lai sekmētu kravu pārorientāciju uz videi draudzīgākiem kravu pārvadāšanas veidiem, kā arī uzlabotu multimodālo kravu pārvadājumu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programmā 2021. – 2027. gadam ietverta norāde uz Valsts civilās aizsardzības plānu, norādot, ka minētais plāns ir aktualizēts 2021. gada 23. septembrī. Vēršama uzmanība, ka atbilstoši Civilās aizsardzības un katastrofu pārvaldīšanas likuma 16. panta otrajā daļā noteiktajam, minētā plāna aktualizācija ir veikta arī 2024. gadā. Proti, ar Ministru kabineta 2024. gada 15. janvāra rīkojumu Nr. 27 “Grozījums Ministru kabineta 2020. gada 26. augusta rīkojumā Nr. 476 “Par Valsts civilās aizsardzības plānu”” ir atbalstīta Valsts civilās aizsardzības plāna konsolidētā redakcija. Ievērojot minēto, ierosinām precizēt programmā ietverto informāciju par Civilās aizsardzības plāna aktualizēšanu.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Sabiedrības integrācijas fonds ir informējis, ka nepildīs projekta iesniedzēja funkciju 4.3.4. specifiskā atbalsta mērķa "Sekmēt aktīvu iekļaušanu, lai veicinātu vienlīdzīgas iespējas, nediskriminēšanu un aktīvu līdzdalību, kā arī uzlabotu nodarbināmību, jo īpaši attiecībā uz nelabvēlīgā situācijā esošām grupām" 4.3.4.9. pasākuma "Sabiedrības saliedēšana, veicinot sabiedrības pašorganizēšanos un paplašinot sadarbības un līdzdarbības prasmes un iespējas"  projekta ietvaros, lūdzam precizēt Eiropas Savienības kohēzijas politikas programmas 2021.-2027.gadam 8.tabulā (2) 4. Politikas mērķa iznākuma rādītāji norādīto rādītāja EECO18 “Nacionāla, reģionāla vai vietēja mēroga valsts administrācijas vai sabiedrisko pakalpojumu iestāžu un pakalpojumu skaits, kas saņēmuši atbalstu” plānoto Kultūras ministrijas sasniedzamo starpposma vērtību (2024) un plānoto vērtību (2029) no “KM/SIF:7” uz “KM:6”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Eiropas Savienības kohēzijas politikas programmas 2021.–2027.gadam sadaļā nr. 9. "Plānoto stratēģiski svarīgo darbību saraksts un to plānotais laika grafiks" precizēt 1) punktā minēto 1.1.1.2. pasākuma laika grafiku no 2024.g. III cet. uz 2025.g. 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ņemot vērā, ka 1.1.1.2. pasākuma struktūrā ieviestas izmaiņas un vairs nav plānots īstenot Teaming projektus, nepieciešams veikt precizējumus stratēģiski svarīgo projektu aprakstā (pielikums nav pievienots pie TA 24-TA-1245 datnēm, līdz ar to tiks nosūtīts atsevišķi ārpus TAP).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rosināto izmaiņu laika grafikā nevaram atbalstīt, jo atbilstoši ar Ministru kabinetā 2024.gada 28.maijā pieņemtajam  Finanšu ministrijas informatīvā ziņojuma "Par Finanšu ministrijas pārziņā esošo Eiropas Savienības fondu un ārvalstu finanšu palīdzības aktualitātēm līdz 2024. gada 1. martam (pusgada ziņojums)" (24-TA-735; Nr.22/44.§) 5.pielikumā "ES fondu 2021.–2027. gada plānošanas perioda MK noteikumu par specifisko atbalsta mērķu ieviešanu izstrādes laika grafika progress" 1.1.1.2.pasākumam plānotais atlases datums noteikts 2024. 3.ceturksnis. Tāpat informējam, ka EK nav plānots iesniegt programmas pielikumu  “Papildus informācija par Eiropas Savienības kohēzijas politikas programmas 2021.-2027.gadam ietvaros plānotajām stratēģiski svarīgajām darbībām (projektiem)”. Minētais pielikums tika sagatavots kā papildus EK iesniedzamā informācija tikai uz programmas sākotnējās versijas iesniegšanas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Ekonomikas ministrijas 21.06.2024. e-pastam Nr. 3.7-9.1/2024/3625N, precizēt 4.tabulu (2) 2. Politikas mērķa iznākuma rādītāji, norādot ka SAM 2.5.1. ir nefinansiālu atbalstu saņēmušie uzņēmumi (RCO 04), nevis ar grantiem atbalstīti uzņēmumi (RCO 02), ņemot vērā to, ka </w:t>
            </w:r>
            <w:r w:rsidR="00000000" w:rsidRPr="00000000" w:rsidDel="00000000">
              <w:rPr>
                <w:rtl w:val="0"/>
              </w:rPr>
              <w:t xml:space="preserve">uzņēmumi nesaņems atbalstu granta veidā, bet gan slēgs nomas līgumus (būs pieejama infrastruktūra).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plānošanas dokumenta 3. politikas mērķī “Ciešāk savienota Eiropa, uzlabojot mobilitāti” 226. rindkopas pēdējā teikuma daļā </w:t>
            </w:r>
            <w:r w:rsidR="00000000" w:rsidRPr="00000000" w:rsidDel="00000000">
              <w:rPr>
                <w:b w:val="1"/>
                <w:rtl w:val="0"/>
              </w:rPr>
              <w:t xml:space="preserve">"publiskās lietošanas dzelzceļa infrastruktūras izbūve kravu pārnesei uz dzelzceļu un novirzīšanai no publiskās ceļu infrastruktūras uz valsts lielajām ostām (sausās ostas)"</w:t>
            </w:r>
            <w:r w:rsidR="00000000" w:rsidRPr="00000000" w:rsidDel="00000000">
              <w:rPr>
                <w:rtl w:val="0"/>
              </w:rPr>
              <w:t xml:space="preserve"> svītrot vārdu "dzelzceļa".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nepieciešams, lai būtu iespējams sasniegt 3.1.1.SAM “Attīstīt ilgtspējīgu, klimatnoturīgu, inteliģentu, drošu un vairākveidu TEN-T infrastruktūru” noteikto rādītāju "Izveidoto iekšzemes intermodālo terminālu (savienojumu), kas nodrošina pārvadājamo kravu pārvirzīšanu no autotransporta uz dzelzceļa infrastruktūru, skaits", nepieciešams nodrošināt ne vien publiskās lietošanas dzelzceļa infrastruktūru, bet arī cita veida publisko infrastruktūru, piemēram, izveidot auto pievadceļus un konteineru pārkraušanas, uzglabāšanas un apstrādes laukumus.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Apzinoties nepieciešamību veidot pēc iespējas koncentrētākus atbalstāmo darbību aprakstus, lai nepārsniegtu SFC sistēmas noteikto zīmju skaita ierobežojumu, lūdzam precizēt Programmas 333.rindkopu, vārdus “brīvprātīgo IS izstrāde un aprobācija” aizstājot ar vārdiem “brīvprātīgā darba IS izstrāde un aprobācija”, kā arī vārdus “brīvprātīgo konsultēšana un popularizēšana” aizstājot ar vārdiem “brīvprātīgā darba konsultēšanas un popularizēšanas pasākumi” – atbilstoši LM 12.06.2024. sniegtajiem papildu priekšlikumiem grozījumiem 4.3.3. SAM atbalstāmo darbību aprakstā. Skaidrojam, ka minētie precizējumi nepieciešami, lai tiktu saglabāts LM plānoto atbalsta pasākumu saturs un tvērums.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Programmas 337.rindkopu, vārdus “brīvprātīgie un to organizētāji” aizstājot ar vārdiem “brīvprātīgie un brīvprātīgā darba organizētāji”. Skaidrojam, ka minētie precizējumi nepieciešami, lai tiktu saglabāts mērķa grupu tvērums.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tehniskus precizējumus Eiropas Savienības kohēzijas politikas programmā 2021.–2027.gadam (konsolidētajā redakcijā) (turpmāk – Programma):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salāgojot terminoloģiju atbilstoši 3.1.1.2. pasākuma “Ieguldījumi TEN-T tīkla autoceļu drošībā un vides piekļūstamībā” plānotajām atbalstāmajām darbībām, tai skaitā pēc konsultācijām ar Labklājības ministriju, aizstājot vārdus “vides pieejamība” (attiecīgā locījumā) ar vārdiem “vides piekļūstamība” (attiecīgā locījumā) (Programmas paragrāfā Nr. 33, Nr. 215);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izsakot Programmas 1. tabulas “Politikas mērķi un specifiskie atbalsta mērķi” politiskā mērķa “3.Ciešāk savienota Eiropa, uzlabojot mobilitāti” specifiskā atbalsta mērķa “3.1.1.SAM (RSO 3.1.) Attīstīt ilgtspējīgu, klimatnoturīgu, inteliģentu, drošu un vairākveidu TEN-T infrastruktūru” kolonnā “Pamatojums (kopsavilkums)” – teikumu “Divlīmeņa gājēju un velosipēdu šķērsojumu izveide autoceļu tīklā, divlīmeņa satiksmes pārvadu izbūve krustojumos, kur esošie risinājumi nenodrošina mūsdienu satiksmes drošības prasībām atbilstošu prasību izpildi, uzlabos satiksmes drošību un mazaizsargāto satiksmes dalībnieku pārvietošanās iespējamību.” jaunā redakcijā: “Divlīmeņa gājēju un velosipēdu šķērsojumu izveide autoceļu tīklā, divlīmeņa satiksmes pārvadu izbūve krustojumos, kur esošie risinājumi nenodrošina satiksmes drošības prasības, uzlabos satiksmes drošību un mazaizsargāto satiksmes dalībnieku pārvietošanās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aizstājot Programmas paragrāfā Nr. 215. vārdus “nenodrošina satiksmes drošības prasībām atbilstošu prasību izpildi” ar vārdiem “nenodrošina satiksmes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izsakot Programmas 6. tabulas “(2) 3.Politikas mērķa iznākuma rādītāji” rādītāju i.3.1.1.c jaunā redakcijā: “Objektu skaits kuros uzlabota satiksmes dalībnieku, tostarp mazaizsargāto, drošība un vides piekļūstamība” (tehnisks precizējums, tai skaitā pēc konsultācijām ar Labklājības ministriju par terminoloģijas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Eiropas Savienības kohēzijas politikas programmā 2021.–2027.gadam šādus tehniskus precizējumus atbilstoši Satiksmes ministrijas iepriekš iesniegtajiem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1. sadaļā "Programmas stratēģija: galvenās problēmas un politikas risinājumi" 36. paragrāfa pirmajā teikumā skaitli un burtu “5G”: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Digitālā pāreja palielina slodzi mobilajiem un fiksētajiem tīkliem, būtiski pieaugs prasības pēc ātras lielu datu apmaiņas.”;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iepriekš sniegtos SM priekšlikumus 1.4.1.1. pasākuma finansējuma 7 395 000 euro dalījumam pa intevences kodiem (attiecīgi 1 848 750 euro 34.intervences kodam un 5 546 250 euro  33. intervences kodam), aizstāt 2.1. apakšsadaļas "Informācija par dalījumu par intervences kategorijām" 14. tabulā (4) Dimensija 1 – intervences laukums skaitli "7 395 000" ar skaitli "1 848 750":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“1.4.prioritāte   ERAF     Mazāk attīstīts  34          1.4.1.    1 848 750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2.1. apakšsadaļu "Informācija par dalījumu par intervences kategorijām" 14. tabulā (4) Dimensija 1 – intervences laukums ar jaunu rindu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“1.4.prioritāte   ERAF     Mazāk attīstīts  33         1.4.1.    5 546 250”.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31.lapā (sadaļā "4.3.1.SAM (RSO 4.3.) teikumu "Ieguldījumi plānoti mājokļu piemērošanai cilvēkiem ar invaliditāti, nodrošinot ANO Konvencijā par personu ar invaliditāti tiesībām noteikto, lai cilvēki ar invaliditāti varētu īstenot visas cilvēktiesības un pamatbrīvības, veicinot tām piemītošās cieņas ievērošanu." aizvietot ar teikumu šādā redakcijā: "Ņemot vērā minēto, plānotie ieguldījumi jāveic, respektējot ANO Konvencijā par personu ar invaliditāti tiesībām noteikto pienākumu nodrošināt personu ar invaliditāti iespējas īstenot visas cilvēktiesības un pamatbrīvības, veicinot tām piemītošās cieņas ievērošanu.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tiesību akta projektam pievienotajā Eiropas Savienības kohēzijas politikas programmā 2021.–2027.gadam atbilstoši VARAM 2024. gada 12. jūnija elektroniskajā vēstulē nosūtītajiem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tika koriģēta 1.1.1.2. pasākuma sākotnēji plānotā pieeja, attiecīgi tika pārrēķināta 1.1.1. SAM rādītāju pases rādītāja RCO 06 "Atbalstītajos pētniecības objektos strādājošie pētnieki" vērtība. Lūdzam Eiropas Savienības kohēzijas politikas programmā 2021.–2027.gadam 2.tabulā (2) 1. "Politikas mērķa iznākuma rādītāji" precizēt rādītāja RCO 06 "Atbalstītajos pētniecības objektos strādājošie pētnieki" vērtību  no "568" uz "753". Informējam, ka precizētā pase tuvākajā laikā tiks nosūtīta Finanšu ministrijai e-pastā.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“Tematiskais priekšnosacījums Nr.10 (4.1.) Stratēģiskās politikas satvars aktīvai darba tirgus politikai: 5.kritērijs – Jaunatnes nodarbinātības intervences”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1.pielikuma 5.kritērijs – Jaunatnes nodarbinātības intervences” pēdējo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plāno turpināt sniegt atbalstu NEET jauniešiem, kas nav reģistrēti Nodarbinātības valsts aģentūrā vai ilgstoši atrodas bezdarba situācijā, balstoties uz Jaunatnes starptautisko programmu aģentūras pieredzi 8.3.3. SAM projekta "Attīstīt NEET jauniešu prasmes un veicināt to iesaisti izglītībā, NVA īstenotajos pasākumos Jauniešu garantijas ietvaros un nevalstisko organizāciju vai jauniešu centru darbībā" īstenošanā 2017.- 2023.gadā.”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aizstājot ar vārdiem: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plāno turpināt sniegt atbalstu NEET jauniešiem, kuri pirms iesaistes projektā ir vecumā no 15 līdz 29 gadiem (ieskaitot) un nemācās, nestrādā, neapgūst arodu un nav reģistrēti Nodarbinātības valsts aģentūrā kā bezdarbnieki, balstoties uz Jaunatnes starptautisko programmu aģentūras gūto pieredzi 8.3.3.SAM ietvaros īstenotājā projektā "PROTI un DARI!" laikā no 2014.- 2023.gadam.”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plāno turpināt sniegt atbalstu NEET jauniešiem, kuri pirms iesaistes projektā ir vecumā no 15 līdz 29 gadiem (ieskaitot) un nemācās, nestrādā, neapgūst arodu un nav reģistrēti Nodarbinātības valsts aģentūrā kā bezdarbnieki, balstoties uz Jaunatnes starptautisko programmu aģentūras gūto pieredzi 8.3.3.SAM ietvaros īstenotājā projektā "PROTI un DARI !" laikā no 2014.- 2023.gadam.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277.paragrāfā svītrot iekavās lietoto saīsinājumu OECD, ņemot vērā, ka tas nav pētījums, bet organizācija, kuras ietvaros pētījumi tiek veikti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274.paragrāfā aizvietot vārdus "mācību līdzekļu" ar vārdiem "metodiskā atbalsta materiālu", ņemot vērā panāktās vienošanās 4.2.2.3. pasākuma īstenošanas nosacījumu starpinstitūciju saskaņošanas laikā (22-TA-3243).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16. novembra rīkojumā Nr. 841 “Par Eiropas Savienības kohēzijas politikas programmu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projektu ar diviem jauniem punktiem, kas nepieciešami, lai veicinātu ES fondu ieguldījumu straujāku ienākšanu Latvijas tautsaimniecībā, Eiropas Komisijas noteiktā ikgadēji deklarējamo izdevumu minimālā mērķa n+3 principa izpildi kopumā, kā arī ātrāku pirmsskolas izglītības iestāžu būvniecības uzsākšanu, nodrošinot jaunu vietu izveidi pirmsskolas vecuma bērniem un rindu mazināšanu uz vietām pašvaldību pirmsskolas izglītības iestādēs.  Priekšlikums atzīt par aktualitāti zaudējušu Ministru kabineta 20.08.2024. sēdes Nr. 32 protokollēmuma “Noteikumu projekts “Grozījumi Ministru kabineta 2023. gada 6. jūnija noteikumos Nr. 292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 47. §  3. punktu ierosināts, ievērojot arī to, ka neformālās saskaņošanas laikā no Eiropas Komisijas nav saņemti iebildumi par ES kohēzijas politikas programmas ietvertajām izmaiņām saistībā ar 4.2.1.7. pasākuma īstenošanu. Lūdzam papildināt MK sēdes protokollēmuma projektu ar diviem jauniem punktiem VARAM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6. </w:t>
            </w:r>
            <w:r w:rsidR="00000000" w:rsidRPr="00000000" w:rsidDel="00000000">
              <w:rPr>
                <w:rtl w:val="0"/>
              </w:rPr>
              <w:t xml:space="preserve">Atzīt par aktualitāti zaudējušu Ministru kabineta 2024. gada 20. augusta sēdes protokollēmuma (Nr. 32 47. § ) “Noteikumu projekts “Grozījumi Ministru kabineta 2023. gada 6. jūnija noteikumos Nr. 292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 3. punktu. </w:t>
            </w:r>
            <w:r w:rsidR="00000000" w:rsidRPr="00000000" w:rsidDel="00000000">
              <w:rPr>
                <w:u w:val="single"/>
                <w:rtl w:val="0"/>
              </w:rPr>
              <w:t xml:space="preserve">7.</w:t>
            </w:r>
            <w:r w:rsidR="00000000" w:rsidRPr="00000000" w:rsidDel="00000000">
              <w:rPr>
                <w:rtl w:val="0"/>
              </w:rPr>
              <w:t xml:space="preserve"> Atļaut Centrālajai finanšu un līgumu aģentūrai turpināt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atklātā projektu iesniegumu atlasē iesniegto projektu vērtēšanu un pēc attiecīgu lēmumu par projekta iesnieguma apstiprināšanu vai atzinumu par lēmumā ietverto nosacījumu izpildi pieņemšanas - slēgt vienošanās par projektu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11.oktobrī ar Viedās administrācijas un reģionālās attīstības ministriju panākta vienošanās par precizētu papildus punktu redakciju Ministru kabineta sēdes protokollēmuma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16. novembra rīkojumā Nr. 841 “Par Eiropas Savienības kohēzijas politikas programmu 2021.-2027. gadam”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24-TA-1245</w:t>
    </w:r>
    <w:r>
      <w:br/>
    </w:r>
    <w:r w:rsidR="00000000" w:rsidRPr="00000000" w:rsidDel="00000000">
      <w:rPr>
        <w:rtl w:val="0"/>
      </w:rPr>
      <w:t xml:space="preserve">31.10.2024. 16.35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24-TA-1245</w:t>
    </w:r>
    <w:r>
      <w:br/>
    </w:r>
    <w:r w:rsidR="00000000" w:rsidRPr="00000000" w:rsidDel="00000000">
      <w:rPr>
        <w:rtl w:val="0"/>
      </w:rPr>
      <w:t xml:space="preserve">31.10.2024. 16.35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Izziņa_24-TA-1245.docx</dc:title>
</cp:coreProperties>
</file>

<file path=docProps/custom.xml><?xml version="1.0" encoding="utf-8"?>
<Properties xmlns="http://schemas.openxmlformats.org/officeDocument/2006/custom-properties" xmlns:vt="http://schemas.openxmlformats.org/officeDocument/2006/docPropsVTypes"/>
</file>