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B6EE2" w14:textId="77777777" w:rsidR="00AF6E6C" w:rsidRPr="00196EF4" w:rsidRDefault="007B3449" w:rsidP="00AF6E6C">
      <w:pPr>
        <w:widowControl/>
        <w:spacing w:after="0" w:line="360" w:lineRule="auto"/>
        <w:jc w:val="center"/>
        <w:rPr>
          <w:rFonts w:ascii="Times New Roman" w:eastAsia="Times New Roman" w:hAnsi="Times New Roman"/>
          <w:sz w:val="24"/>
          <w:szCs w:val="24"/>
        </w:rPr>
      </w:pPr>
      <w:r w:rsidRPr="00196EF4">
        <w:rPr>
          <w:rFonts w:ascii="Times New Roman" w:eastAsia="Times New Roman" w:hAnsi="Times New Roman"/>
          <w:sz w:val="24"/>
          <w:szCs w:val="24"/>
        </w:rPr>
        <w:t>Rīgā</w:t>
      </w:r>
    </w:p>
    <w:p w14:paraId="5019B07D" w14:textId="77777777" w:rsidR="00AF6E6C" w:rsidRPr="00196EF4" w:rsidRDefault="00AF6E6C" w:rsidP="00AF6E6C">
      <w:pPr>
        <w:widowControl/>
        <w:spacing w:after="0" w:line="240" w:lineRule="auto"/>
        <w:rPr>
          <w:rFonts w:ascii="Times New Roman" w:eastAsia="Times New Roman" w:hAnsi="Times New Roman"/>
          <w:sz w:val="24"/>
          <w:szCs w:val="24"/>
        </w:rPr>
      </w:pPr>
    </w:p>
    <w:p w14:paraId="049483D4" w14:textId="77777777" w:rsidR="00AF6E6C" w:rsidRPr="00196EF4" w:rsidRDefault="007B3449" w:rsidP="00AF6E6C">
      <w:pPr>
        <w:widowControl/>
        <w:spacing w:after="0" w:line="360" w:lineRule="auto"/>
        <w:jc w:val="both"/>
        <w:rPr>
          <w:rFonts w:ascii="Times New Roman" w:eastAsia="Times New Roman" w:hAnsi="Times New Roman"/>
          <w:sz w:val="24"/>
          <w:szCs w:val="24"/>
        </w:rPr>
      </w:pPr>
      <w:r w:rsidRPr="00196EF4">
        <w:rPr>
          <w:rFonts w:ascii="Times New Roman" w:hAnsi="Times New Roman"/>
          <w:noProof/>
          <w:sz w:val="24"/>
          <w:szCs w:val="24"/>
        </w:rPr>
        <w:t>Datums skatāms laika zīmogā</w:t>
      </w:r>
      <w:r w:rsidRPr="00196EF4">
        <w:rPr>
          <w:rFonts w:ascii="Times New Roman" w:eastAsia="Times New Roman" w:hAnsi="Times New Roman"/>
          <w:sz w:val="24"/>
          <w:szCs w:val="24"/>
        </w:rPr>
        <w:t xml:space="preserve">. Nr. </w:t>
      </w:r>
      <w:r w:rsidRPr="00196EF4">
        <w:rPr>
          <w:rFonts w:ascii="Times New Roman" w:hAnsi="Times New Roman"/>
          <w:noProof/>
          <w:sz w:val="24"/>
          <w:szCs w:val="24"/>
        </w:rPr>
        <w:t>3.4.-4/3452</w:t>
      </w:r>
      <w:r w:rsidRPr="00196EF4">
        <w:rPr>
          <w:rFonts w:ascii="Times New Roman" w:eastAsia="Times New Roman" w:hAnsi="Times New Roman"/>
          <w:sz w:val="24"/>
          <w:szCs w:val="24"/>
        </w:rPr>
        <w:t>/</w:t>
      </w:r>
      <w:r w:rsidR="003B5C79" w:rsidRPr="00196EF4">
        <w:rPr>
          <w:rFonts w:ascii="Times New Roman" w:eastAsia="Times New Roman" w:hAnsi="Times New Roman"/>
          <w:noProof/>
          <w:sz w:val="24"/>
          <w:szCs w:val="24"/>
        </w:rPr>
        <w:t>P-51</w:t>
      </w:r>
      <w:r w:rsidRPr="00196EF4">
        <w:rPr>
          <w:rFonts w:ascii="Times New Roman" w:eastAsia="Times New Roman" w:hAnsi="Times New Roman"/>
          <w:sz w:val="24"/>
          <w:szCs w:val="24"/>
        </w:rPr>
        <w:t xml:space="preserve"> </w:t>
      </w:r>
    </w:p>
    <w:p w14:paraId="50921C61" w14:textId="77777777" w:rsidR="00AF6E6C" w:rsidRPr="00196EF4" w:rsidRDefault="007B3449" w:rsidP="00AF6E6C">
      <w:pPr>
        <w:widowControl/>
        <w:spacing w:after="0" w:line="360" w:lineRule="auto"/>
        <w:jc w:val="both"/>
        <w:rPr>
          <w:rFonts w:ascii="Times New Roman" w:eastAsia="Times New Roman" w:hAnsi="Times New Roman"/>
          <w:sz w:val="24"/>
          <w:szCs w:val="24"/>
        </w:rPr>
      </w:pPr>
      <w:r w:rsidRPr="00196EF4">
        <w:rPr>
          <w:rFonts w:ascii="Times New Roman" w:eastAsia="Times New Roman" w:hAnsi="Times New Roman"/>
          <w:sz w:val="24"/>
          <w:szCs w:val="24"/>
        </w:rPr>
        <w:t xml:space="preserve">Uz </w:t>
      </w:r>
      <w:r w:rsidRPr="00196EF4">
        <w:rPr>
          <w:rFonts w:ascii="Times New Roman" w:hAnsi="Times New Roman"/>
          <w:noProof/>
          <w:sz w:val="24"/>
          <w:szCs w:val="24"/>
        </w:rPr>
        <w:t>30.03.2021</w:t>
      </w:r>
      <w:r w:rsidRPr="00196EF4">
        <w:rPr>
          <w:rFonts w:ascii="Times New Roman" w:eastAsia="Times New Roman" w:hAnsi="Times New Roman"/>
          <w:sz w:val="24"/>
          <w:szCs w:val="24"/>
        </w:rPr>
        <w:t xml:space="preserve">. Nr. </w:t>
      </w:r>
      <w:proofErr w:type="spellStart"/>
      <w:r w:rsidR="00196EF4" w:rsidRPr="00196EF4">
        <w:rPr>
          <w:rFonts w:ascii="Times New Roman" w:hAnsi="Times New Roman"/>
          <w:sz w:val="24"/>
          <w:szCs w:val="24"/>
        </w:rPr>
        <w:t>bn</w:t>
      </w:r>
      <w:proofErr w:type="spellEnd"/>
    </w:p>
    <w:p w14:paraId="10579034" w14:textId="77777777" w:rsidR="002F1025" w:rsidRPr="00196EF4" w:rsidRDefault="007B3449" w:rsidP="00196EF4">
      <w:pPr>
        <w:pStyle w:val="NoSpacing"/>
        <w:ind w:left="5103"/>
        <w:rPr>
          <w:b/>
          <w:lang w:val="lv-LV"/>
        </w:rPr>
      </w:pPr>
      <w:bookmarkStart w:id="0" w:name="_Hlk526946105"/>
      <w:r w:rsidRPr="00196EF4">
        <w:rPr>
          <w:b/>
          <w:lang w:val="lv-LV"/>
        </w:rPr>
        <w:t>Finanšu ministrija</w:t>
      </w:r>
    </w:p>
    <w:p w14:paraId="0A43E200" w14:textId="77777777" w:rsidR="002F1025" w:rsidRPr="00196EF4" w:rsidRDefault="00000000" w:rsidP="00196EF4">
      <w:pPr>
        <w:pStyle w:val="NoSpacing"/>
        <w:ind w:left="5103"/>
        <w:rPr>
          <w:rStyle w:val="Hyperlink"/>
          <w:b/>
          <w:lang w:val="lv-LV"/>
        </w:rPr>
      </w:pPr>
      <w:hyperlink r:id="rId7" w:history="1">
        <w:r w:rsidR="007B3449" w:rsidRPr="00196EF4">
          <w:rPr>
            <w:rStyle w:val="Hyperlink"/>
            <w:b/>
            <w:lang w:val="lv-LV"/>
          </w:rPr>
          <w:t>pasts@fm.gov.lv</w:t>
        </w:r>
      </w:hyperlink>
    </w:p>
    <w:p w14:paraId="6941DBEF" w14:textId="77777777" w:rsidR="002F1025" w:rsidRPr="00196EF4" w:rsidRDefault="007B3449" w:rsidP="00196EF4">
      <w:pPr>
        <w:pStyle w:val="NoSpacing"/>
        <w:ind w:left="5103"/>
        <w:rPr>
          <w:b/>
          <w:lang w:val="lv-LV"/>
        </w:rPr>
      </w:pPr>
      <w:bookmarkStart w:id="1" w:name="_Hlk68781818"/>
      <w:r w:rsidRPr="00196EF4">
        <w:rPr>
          <w:rStyle w:val="Hyperlink"/>
          <w:b/>
          <w:lang w:val="lv-LV"/>
        </w:rPr>
        <w:t>inese.albova@fm.gov.lv</w:t>
      </w:r>
      <w:bookmarkEnd w:id="1"/>
      <w:r w:rsidRPr="00196EF4">
        <w:rPr>
          <w:b/>
          <w:lang w:val="lv-LV"/>
        </w:rPr>
        <w:t xml:space="preserve"> </w:t>
      </w:r>
    </w:p>
    <w:bookmarkEnd w:id="0"/>
    <w:p w14:paraId="1E9F5A09" w14:textId="77777777" w:rsidR="002F1025" w:rsidRPr="00196EF4" w:rsidRDefault="002F1025" w:rsidP="002F1025">
      <w:pPr>
        <w:pStyle w:val="NoSpacing"/>
        <w:jc w:val="both"/>
        <w:rPr>
          <w:iCs/>
          <w:lang w:val="lv-LV"/>
        </w:rPr>
      </w:pPr>
    </w:p>
    <w:p w14:paraId="624DC88F" w14:textId="77777777" w:rsidR="002F1025" w:rsidRPr="00196EF4" w:rsidRDefault="007B3449" w:rsidP="00196EF4">
      <w:pPr>
        <w:widowControl/>
        <w:spacing w:after="0" w:line="240" w:lineRule="auto"/>
        <w:ind w:firstLine="3261"/>
        <w:rPr>
          <w:rFonts w:ascii="Times New Roman" w:eastAsia="Times New Roman" w:hAnsi="Times New Roman"/>
          <w:b/>
          <w:sz w:val="24"/>
          <w:szCs w:val="24"/>
        </w:rPr>
      </w:pPr>
      <w:r w:rsidRPr="00196EF4">
        <w:rPr>
          <w:rFonts w:ascii="Times New Roman" w:eastAsia="Times New Roman" w:hAnsi="Times New Roman"/>
          <w:i/>
          <w:sz w:val="24"/>
          <w:szCs w:val="24"/>
        </w:rPr>
        <w:t xml:space="preserve">Zināšanai: </w:t>
      </w:r>
      <w:r w:rsidRPr="00196EF4">
        <w:rPr>
          <w:rFonts w:ascii="Times New Roman" w:eastAsia="Times New Roman" w:hAnsi="Times New Roman"/>
          <w:i/>
          <w:sz w:val="24"/>
          <w:szCs w:val="24"/>
        </w:rPr>
        <w:tab/>
      </w:r>
      <w:r w:rsidRPr="00196EF4">
        <w:rPr>
          <w:rFonts w:ascii="Times New Roman" w:eastAsia="Times New Roman" w:hAnsi="Times New Roman"/>
          <w:b/>
          <w:sz w:val="24"/>
          <w:szCs w:val="24"/>
        </w:rPr>
        <w:t>Ekonomikas ministrija</w:t>
      </w:r>
    </w:p>
    <w:p w14:paraId="5D14061E" w14:textId="77777777" w:rsidR="002F1025" w:rsidRPr="00196EF4" w:rsidRDefault="007B3449" w:rsidP="00196EF4">
      <w:pPr>
        <w:widowControl/>
        <w:spacing w:after="0" w:line="240" w:lineRule="auto"/>
        <w:ind w:left="5103"/>
        <w:rPr>
          <w:rFonts w:ascii="Times New Roman" w:eastAsia="Times New Roman" w:hAnsi="Times New Roman"/>
          <w:bCs/>
          <w:sz w:val="24"/>
          <w:szCs w:val="24"/>
        </w:rPr>
      </w:pPr>
      <w:r w:rsidRPr="00196EF4">
        <w:rPr>
          <w:rStyle w:val="Hyperlink"/>
          <w:rFonts w:ascii="Times New Roman" w:hAnsi="Times New Roman"/>
          <w:b/>
          <w:sz w:val="24"/>
          <w:szCs w:val="24"/>
        </w:rPr>
        <w:t>pasts@em.gov.lv</w:t>
      </w:r>
    </w:p>
    <w:p w14:paraId="643B8383" w14:textId="77777777" w:rsidR="002F1025" w:rsidRPr="00196EF4" w:rsidRDefault="007B3449" w:rsidP="00196EF4">
      <w:pPr>
        <w:spacing w:before="240" w:after="0" w:line="240" w:lineRule="auto"/>
        <w:rPr>
          <w:rFonts w:ascii="Times New Roman" w:hAnsi="Times New Roman"/>
          <w:i/>
          <w:iCs/>
          <w:noProof/>
          <w:sz w:val="24"/>
          <w:szCs w:val="24"/>
        </w:rPr>
      </w:pPr>
      <w:r w:rsidRPr="00196EF4">
        <w:rPr>
          <w:rFonts w:ascii="Times New Roman" w:hAnsi="Times New Roman"/>
          <w:i/>
          <w:iCs/>
          <w:noProof/>
          <w:sz w:val="24"/>
          <w:szCs w:val="24"/>
        </w:rPr>
        <w:t xml:space="preserve">Par likumprojektu "Grozījumi </w:t>
      </w:r>
    </w:p>
    <w:p w14:paraId="5A3137E4" w14:textId="77777777" w:rsidR="002F1025" w:rsidRPr="00196EF4" w:rsidRDefault="007B3449" w:rsidP="002F1025">
      <w:pPr>
        <w:spacing w:after="0" w:line="240" w:lineRule="auto"/>
        <w:rPr>
          <w:rFonts w:ascii="Times New Roman" w:hAnsi="Times New Roman"/>
          <w:i/>
          <w:iCs/>
          <w:noProof/>
          <w:sz w:val="24"/>
          <w:szCs w:val="24"/>
        </w:rPr>
      </w:pPr>
      <w:r w:rsidRPr="00196EF4">
        <w:rPr>
          <w:rFonts w:ascii="Times New Roman" w:hAnsi="Times New Roman"/>
          <w:i/>
          <w:iCs/>
          <w:noProof/>
          <w:sz w:val="24"/>
          <w:szCs w:val="24"/>
        </w:rPr>
        <w:t xml:space="preserve">Sauszemes transportlīdzekļu īpašnieku civiltiesiskās </w:t>
      </w:r>
    </w:p>
    <w:p w14:paraId="2D3A16F9" w14:textId="77777777" w:rsidR="002F1025" w:rsidRPr="00196EF4" w:rsidRDefault="007B3449" w:rsidP="002F1025">
      <w:pPr>
        <w:pStyle w:val="NoSpacing"/>
        <w:jc w:val="both"/>
        <w:rPr>
          <w:b/>
          <w:i/>
          <w:lang w:val="lv-LV"/>
        </w:rPr>
      </w:pPr>
      <w:r w:rsidRPr="00196EF4">
        <w:rPr>
          <w:i/>
          <w:iCs/>
          <w:noProof/>
          <w:lang w:val="lv-LV"/>
        </w:rPr>
        <w:t>atbildības obligātās apdrošināšanas likumā" (VSS-617)</w:t>
      </w:r>
    </w:p>
    <w:p w14:paraId="28900C93" w14:textId="77777777" w:rsidR="002F1025" w:rsidRPr="00196EF4" w:rsidRDefault="002F1025" w:rsidP="002F1025">
      <w:pPr>
        <w:pStyle w:val="NoSpacing"/>
        <w:ind w:firstLine="567"/>
        <w:jc w:val="both"/>
        <w:rPr>
          <w:lang w:val="lv-LV"/>
        </w:rPr>
      </w:pPr>
    </w:p>
    <w:p w14:paraId="393F2D22"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Patērētāju tiesību aizsardzības cents (turpmāk – PTAC) ir iepazinies un savas kompetences ietvaros izvērtējis Finanšu ministrijas precizēto</w:t>
      </w:r>
      <w:r w:rsidRPr="00196EF4">
        <w:rPr>
          <w:sz w:val="24"/>
          <w:szCs w:val="24"/>
        </w:rPr>
        <w:t xml:space="preserve"> </w:t>
      </w:r>
      <w:r w:rsidRPr="00196EF4">
        <w:rPr>
          <w:rFonts w:ascii="Times New Roman" w:hAnsi="Times New Roman"/>
          <w:sz w:val="24"/>
          <w:szCs w:val="24"/>
        </w:rPr>
        <w:t>likumprojektu "Grozījumi Sauszemes transportlīdzekļu īpašnieku civiltiesiskās atbildības obligātās apdrošināšanas likumā" (VSS-617) (turpmāk – Likumprojekts), tā sākotnējās ietekmes novērtējuma ziņojumu (anotāciju) un izziņu, informē, ka PTAC nav iebildumu vai priekšlikumu par sagatavoto Likumprojektu.</w:t>
      </w:r>
    </w:p>
    <w:p w14:paraId="47B34100"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Vienlaikus PTAC sniedz iebildumu par Izziņā par atzinumos sniegtajiem iebildumiem par likumprojektu „Grozījumi Sauszemes transportlīdzekļu īpašnieku civiltiesiskās atbildības obligātās apdrošināšanas likumā” (turpmāk – Izziņa) norādīto informāciju attiecībā uz atteikuma tiesību piemērošanu, slēdzot Sauszemes transportlīdzekļu īpašnieku civiltiesiskās atbildības obligātās apdrošināšanas līgumu (turpmāk – OCTA līgums), izmantojot distances saziņas līdzekļus.</w:t>
      </w:r>
    </w:p>
    <w:p w14:paraId="42D17A10"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 xml:space="preserve">Izziņas </w:t>
      </w:r>
      <w:proofErr w:type="spellStart"/>
      <w:r w:rsidRPr="00196EF4">
        <w:rPr>
          <w:rFonts w:ascii="Times New Roman" w:hAnsi="Times New Roman"/>
          <w:sz w:val="24"/>
          <w:szCs w:val="24"/>
        </w:rPr>
        <w:t>II.daļas</w:t>
      </w:r>
      <w:proofErr w:type="spellEnd"/>
      <w:r w:rsidRPr="00196EF4">
        <w:rPr>
          <w:rFonts w:ascii="Times New Roman" w:hAnsi="Times New Roman"/>
          <w:sz w:val="24"/>
          <w:szCs w:val="24"/>
        </w:rPr>
        <w:t xml:space="preserve"> 32.punktā norādīts, ka: “Pie secinājuma, ka OCTA līgumu, kurš noslēgts izmantojot distances saziņas līdzekļus, var izbeigt tikai OCTA likumā noteiktajos gadījumos, var nonākt, pielietojot tiesību normu iztulkošanas metodes un ņemot vērā to ka, OCTA likuma 10.pantā ietvertās normas ir uzskatāmas par speciālām tiesību normām”.</w:t>
      </w:r>
    </w:p>
    <w:p w14:paraId="79448237"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PTAC ieskatā, tiesības izmantot atteikuma tiesības ir attiecināmas arī uz OCTA līgumiem, kas noslēgti, izmantojot distances saziņas līdzekļus, pamatojoties uz sekojošo:</w:t>
      </w:r>
    </w:p>
    <w:p w14:paraId="54445FFB"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 xml:space="preserve">Saskaņā ar Patērētāju tiesību aizsardzības likuma (turpmāk – PTAL) 10.panta pirmo daļu, distances līgums ir patērētāja un pārdevēja vai pakalpojuma sniedzēja vienošanās, ko tie noslēguši, vienlaikus neatrodoties vienā un tajā pašā vietā, bet līdz līguma slēgšanas brīdim un līguma slēgšanas brīdī izmantojot vienu vai vairākus distances saziņas līdzekļus, kā arī organizētu preču pārdošanas vai pakalpojumu sniegšanas shēmu. Savukārt PTAL 10.panta otrā daļa noteic, ka pirms līguma noslēgšanas sniedzamās un līgumā ietveramās informācijas saturu, tās sniegšanas kārtību, šā likuma 12.pantā paredzēto atteikuma tiesību īstenošanas termiņus un kārtību, patērētāja un pārdevēja vai pakalpojuma sniedzēja tiesības un pienākumus atteikuma </w:t>
      </w:r>
      <w:r w:rsidRPr="00196EF4">
        <w:rPr>
          <w:rFonts w:ascii="Times New Roman" w:hAnsi="Times New Roman"/>
          <w:sz w:val="24"/>
          <w:szCs w:val="24"/>
        </w:rPr>
        <w:lastRenderedPageBreak/>
        <w:t>tiesību izmantošanas gadījumā, kā arī atteikuma veidlapas paraugu un izņēmumus attiecībā uz atteikuma tiesību izmantošanu nosaka Ministru kabinets. Atbilstoši PTAL 12.panta pirmajai daļai patērētājs var noteiktā termiņā izmantot atteikuma tiesības un, nesniedzot nekādu pamatojumu, atkāpties no distances līguma un līguma, kas noslēgts ārpus pastāvīgās saimnieciskās vai profesionālās darbības vietas.</w:t>
      </w:r>
    </w:p>
    <w:p w14:paraId="5E22FE84"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 xml:space="preserve">Ievērojot PTAL 10.panta otrajā daļā noteikto, Ministru kabinets 2014.gada 21.oktobrī pieņēma Ministru kabineta noteikumus Nr.648 “Noteikumi par distances līgumu par finanšu pakalpojumu sniegšanu” (turpmāk – Noteikumi Nr.648), kuros iestrādātas Eiropas Parlamenta un Padomes 2020.gada 23.septembra Direktīvas 2002/65/EK par patēriņa finanšu pakalpojumu </w:t>
      </w:r>
      <w:proofErr w:type="spellStart"/>
      <w:r w:rsidRPr="00196EF4">
        <w:rPr>
          <w:rFonts w:ascii="Times New Roman" w:hAnsi="Times New Roman"/>
          <w:sz w:val="24"/>
          <w:szCs w:val="24"/>
        </w:rPr>
        <w:t>tālpārdošanu</w:t>
      </w:r>
      <w:proofErr w:type="spellEnd"/>
      <w:r w:rsidRPr="00196EF4">
        <w:rPr>
          <w:rFonts w:ascii="Times New Roman" w:hAnsi="Times New Roman"/>
          <w:sz w:val="24"/>
          <w:szCs w:val="24"/>
        </w:rPr>
        <w:t xml:space="preserve"> un grozījumiem Padomes Direktīvā 90/619/EK un Direktīvās 97/7/EK un 98/27/EK (turpmāk – Direktīva) prasības. </w:t>
      </w:r>
    </w:p>
    <w:p w14:paraId="7F8B0217"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 xml:space="preserve">Noteikumu 3.punkts paredz, ka finanšu pakalpojums šo noteikumu izpratnē ir </w:t>
      </w:r>
      <w:r w:rsidRPr="00196EF4">
        <w:rPr>
          <w:rFonts w:ascii="Times New Roman" w:hAnsi="Times New Roman"/>
          <w:sz w:val="24"/>
          <w:szCs w:val="24"/>
          <w:u w:val="single"/>
        </w:rPr>
        <w:t>jebkurš</w:t>
      </w:r>
      <w:r w:rsidRPr="00196EF4">
        <w:rPr>
          <w:rFonts w:ascii="Times New Roman" w:hAnsi="Times New Roman"/>
          <w:sz w:val="24"/>
          <w:szCs w:val="24"/>
        </w:rPr>
        <w:t xml:space="preserve"> kredītiestādes, kreditēšanas (arī patērētāju kreditēšanas), </w:t>
      </w:r>
      <w:r w:rsidRPr="00196EF4">
        <w:rPr>
          <w:rFonts w:ascii="Times New Roman" w:hAnsi="Times New Roman"/>
          <w:sz w:val="24"/>
          <w:szCs w:val="24"/>
          <w:u w:val="single"/>
        </w:rPr>
        <w:t>apdrošināšanas</w:t>
      </w:r>
      <w:r w:rsidRPr="00196EF4">
        <w:rPr>
          <w:rFonts w:ascii="Times New Roman" w:hAnsi="Times New Roman"/>
          <w:sz w:val="24"/>
          <w:szCs w:val="24"/>
        </w:rPr>
        <w:t xml:space="preserve">, privāto pensiju, ieguldījumu vai maksājumu </w:t>
      </w:r>
      <w:r w:rsidRPr="00196EF4">
        <w:rPr>
          <w:rFonts w:ascii="Times New Roman" w:hAnsi="Times New Roman"/>
          <w:sz w:val="24"/>
          <w:szCs w:val="24"/>
          <w:u w:val="single"/>
        </w:rPr>
        <w:t>pakalpojums</w:t>
      </w:r>
      <w:r w:rsidRPr="00196EF4">
        <w:rPr>
          <w:rFonts w:ascii="Times New Roman" w:hAnsi="Times New Roman"/>
          <w:sz w:val="24"/>
          <w:szCs w:val="24"/>
        </w:rPr>
        <w:t>, ko pakalpojuma sniedzējs savas profesionālās darbības ietvaros sniedz patērētājam. Turklāt arī Direktīvas preambulas 14.daļā noteikts, ka šī Direktīva attiecas uz visiem finanšu pakalpojumiem, kas sniedzami attālināti.</w:t>
      </w:r>
    </w:p>
    <w:p w14:paraId="12DC1B07"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Ievērojot minētajās tiesību normās noteikto, apdrošināšanas pakalpojums (tajā skaitā arī OCTA) ir uzskatāms par finanšu pakalpojumu. Līdz ar to attiecībā uz OCTA līgumiem, kas tiek slēgti, izmantojot distances saziņas līdzekļus, ir attiecināmas Noteikumos Nr.648 noteiktās prasības, tostarp, prasības attiecībā par atteikuma tiesībām.</w:t>
      </w:r>
    </w:p>
    <w:p w14:paraId="210599F6" w14:textId="77777777" w:rsidR="002F1025" w:rsidRPr="00196EF4" w:rsidRDefault="007B3449" w:rsidP="002F1025">
      <w:pPr>
        <w:spacing w:after="0" w:line="240" w:lineRule="auto"/>
        <w:ind w:firstLine="851"/>
        <w:jc w:val="both"/>
        <w:rPr>
          <w:rFonts w:ascii="Times New Roman" w:hAnsi="Times New Roman"/>
          <w:sz w:val="24"/>
          <w:szCs w:val="24"/>
        </w:rPr>
      </w:pPr>
      <w:r w:rsidRPr="00196EF4">
        <w:rPr>
          <w:rFonts w:ascii="Times New Roman" w:hAnsi="Times New Roman"/>
          <w:sz w:val="24"/>
          <w:szCs w:val="24"/>
        </w:rPr>
        <w:t>PTAC norāda, ka, lai arī atteikuma tiesību izmantošanas sekas ir tādas pašas kā izmantojot Sauszemes transportlīdzekļu īpašnieku civiltiesiskās atbildības obligātās apdrošināšanas likumā (turpmāk – OCTA likums) noteiktās tiesības izbeigt līgumu pirms termiņa, proti, iestājoties noteiktam nosacījumam – līgums tiek izbeigts, ir jāņem vērā ka atteikuma tiesību institūts ir atšķirīgs. Proti, atteikuma tiesību izmantošanas termiņš ir limitēts – 14 dienas, savukārt vispārīgi izbeigt OCTA līgumu var jebkurā laikā, pastāvot noteiktiem un pamatotiem priekšnosacījumiem. Lai izmantotu atteikuma tiesības, patērētājam nav jāpamato, kāpēc viņš vēlas atteikties no noslēgtā līguma, turpretim, izbeidzot līgumu pirms termiņa, ir jābūt pamatotam un lielākoties pat dokumentāli pierādāmam iemeslam. Tāpat, PTAC ieskatā, fakts, ka OCTA ir valsts noteikta obligāta apdrošināšana nemaina un nekādi neierobežo patērētāja tiesības, tai skaitā, brīvi izvēlēties pakalpojuma sniedzēju un attiecīgi arī atteikties no pakalpojuma sniedzēja sniegtajiem pakalpojumiem 14 dienu laikā. Lai arī OCTA likums vispārīgā gadījumā ir uzskatāma par speciālo tiesību normu, tomēr, jāņem vērā arī citos normatīvajos aktos noteiktās patērētāja tiesības, konkrētajā gadījumā PTAL un Noteikumu Nr.648. Citādas normu interpretācijas gadījumā pastāv risks, ka Eiropas Komisija var uzsākt pārkāpuma procedūru pret Latviju par Direktīvā iekļauto normu neievērošanu, ņemot vērā, ka minētajos normatīvajos aktos ir ietvertas prasības, kas izriet no Direktīvas.</w:t>
      </w:r>
    </w:p>
    <w:p w14:paraId="6EF0319B" w14:textId="77777777" w:rsidR="002F53E0" w:rsidRPr="00196EF4" w:rsidRDefault="007B3449" w:rsidP="002F1025">
      <w:pPr>
        <w:widowControl/>
        <w:spacing w:after="0" w:line="240" w:lineRule="auto"/>
        <w:ind w:firstLine="720"/>
        <w:jc w:val="both"/>
        <w:rPr>
          <w:rFonts w:ascii="Times New Roman" w:eastAsia="Times New Roman" w:hAnsi="Times New Roman"/>
          <w:sz w:val="24"/>
          <w:szCs w:val="24"/>
        </w:rPr>
      </w:pPr>
      <w:r w:rsidRPr="00196EF4">
        <w:rPr>
          <w:rFonts w:ascii="Times New Roman" w:hAnsi="Times New Roman"/>
          <w:sz w:val="24"/>
          <w:szCs w:val="24"/>
        </w:rPr>
        <w:t xml:space="preserve">Ņemot vērā visu iepriekš minēto, PTAC aicina precizēt Izziņas </w:t>
      </w:r>
      <w:proofErr w:type="spellStart"/>
      <w:r w:rsidRPr="00196EF4">
        <w:rPr>
          <w:rFonts w:ascii="Times New Roman" w:hAnsi="Times New Roman"/>
          <w:sz w:val="24"/>
          <w:szCs w:val="24"/>
        </w:rPr>
        <w:t>II.daļas</w:t>
      </w:r>
      <w:proofErr w:type="spellEnd"/>
      <w:r w:rsidRPr="00196EF4">
        <w:rPr>
          <w:rFonts w:ascii="Times New Roman" w:hAnsi="Times New Roman"/>
          <w:sz w:val="24"/>
          <w:szCs w:val="24"/>
        </w:rPr>
        <w:t xml:space="preserve"> 32.punktā norādīto pamatojumu attiecībā uz to, ka priekšlikums nav ņemts vērā, ievērojot šajā vēstulē minētos apsvērumus.</w:t>
      </w:r>
    </w:p>
    <w:p w14:paraId="0FABECD7" w14:textId="77777777" w:rsidR="002F53E0" w:rsidRPr="00196EF4" w:rsidRDefault="007B3449" w:rsidP="00196EF4">
      <w:pPr>
        <w:widowControl/>
        <w:spacing w:before="240" w:after="240" w:line="240" w:lineRule="auto"/>
        <w:jc w:val="both"/>
        <w:rPr>
          <w:rFonts w:ascii="Times New Roman" w:hAnsi="Times New Roman"/>
          <w:b/>
          <w:i/>
          <w:spacing w:val="-4"/>
          <w:sz w:val="24"/>
          <w:szCs w:val="24"/>
        </w:rPr>
      </w:pPr>
      <w:r w:rsidRPr="00196EF4">
        <w:rPr>
          <w:rFonts w:ascii="Times New Roman" w:hAnsi="Times New Roman"/>
          <w:b/>
          <w:i/>
          <w:spacing w:val="-4"/>
          <w:sz w:val="24"/>
          <w:szCs w:val="24"/>
        </w:rPr>
        <w:t>Šis dokuments ir parakstīts ar drošu elektronisko parakstu un satur laika zīmogu</w:t>
      </w:r>
      <w:r w:rsidR="004516D6" w:rsidRPr="00196EF4">
        <w:rPr>
          <w:rFonts w:ascii="Times New Roman" w:hAnsi="Times New Roman"/>
          <w:b/>
          <w:i/>
          <w:spacing w:val="-4"/>
          <w:sz w:val="24"/>
          <w:szCs w:val="24"/>
        </w:rPr>
        <w:t>.</w:t>
      </w:r>
    </w:p>
    <w:p w14:paraId="51A9AC60" w14:textId="77777777" w:rsidR="002F53E0" w:rsidRPr="00196EF4" w:rsidRDefault="007B3449" w:rsidP="004516D6">
      <w:pPr>
        <w:widowControl/>
        <w:tabs>
          <w:tab w:val="left" w:pos="6804"/>
        </w:tabs>
        <w:spacing w:after="0" w:line="240" w:lineRule="auto"/>
        <w:jc w:val="both"/>
        <w:rPr>
          <w:rFonts w:ascii="Times New Roman" w:eastAsia="Times New Roman" w:hAnsi="Times New Roman"/>
          <w:sz w:val="24"/>
          <w:szCs w:val="24"/>
        </w:rPr>
      </w:pPr>
      <w:r w:rsidRPr="00196EF4">
        <w:rPr>
          <w:rFonts w:ascii="Times New Roman" w:eastAsia="Times New Roman" w:hAnsi="Times New Roman"/>
          <w:sz w:val="24"/>
          <w:szCs w:val="24"/>
        </w:rPr>
        <w:t>Direktor</w:t>
      </w:r>
      <w:r w:rsidR="00A23DA9" w:rsidRPr="00196EF4">
        <w:rPr>
          <w:rFonts w:ascii="Times New Roman" w:eastAsia="Times New Roman" w:hAnsi="Times New Roman"/>
          <w:sz w:val="24"/>
          <w:szCs w:val="24"/>
        </w:rPr>
        <w:t>e</w:t>
      </w:r>
      <w:r w:rsidR="003609F9" w:rsidRPr="00196EF4">
        <w:rPr>
          <w:rFonts w:ascii="Times New Roman" w:eastAsia="Times New Roman" w:hAnsi="Times New Roman"/>
          <w:sz w:val="24"/>
          <w:szCs w:val="24"/>
        </w:rPr>
        <w:tab/>
      </w:r>
      <w:r w:rsidR="00196EF4">
        <w:rPr>
          <w:rFonts w:ascii="Times New Roman" w:eastAsia="Times New Roman" w:hAnsi="Times New Roman"/>
          <w:sz w:val="24"/>
          <w:szCs w:val="24"/>
        </w:rPr>
        <w:tab/>
      </w:r>
      <w:r w:rsidRPr="00196EF4">
        <w:rPr>
          <w:rFonts w:ascii="Times New Roman" w:eastAsia="Times New Roman" w:hAnsi="Times New Roman"/>
          <w:noProof/>
          <w:sz w:val="24"/>
          <w:szCs w:val="24"/>
        </w:rPr>
        <w:t>Baiba Vītoliņa</w:t>
      </w:r>
    </w:p>
    <w:p w14:paraId="7546C885" w14:textId="77777777" w:rsidR="002F53E0" w:rsidRPr="003142AE" w:rsidRDefault="007B3449" w:rsidP="002B1152">
      <w:pPr>
        <w:widowControl/>
        <w:tabs>
          <w:tab w:val="left" w:pos="6840"/>
        </w:tabs>
        <w:spacing w:before="960" w:after="0" w:line="240" w:lineRule="auto"/>
        <w:jc w:val="both"/>
        <w:rPr>
          <w:rFonts w:ascii="Times New Roman" w:eastAsia="Times New Roman" w:hAnsi="Times New Roman"/>
          <w:sz w:val="17"/>
          <w:szCs w:val="17"/>
        </w:rPr>
      </w:pPr>
      <w:r>
        <w:rPr>
          <w:rFonts w:ascii="Times New Roman" w:eastAsia="Times New Roman" w:hAnsi="Times New Roman"/>
          <w:noProof/>
          <w:sz w:val="17"/>
          <w:szCs w:val="17"/>
        </w:rPr>
        <w:t>Diāna Skridļevska</w:t>
      </w:r>
      <w:r>
        <w:rPr>
          <w:rFonts w:ascii="Times New Roman" w:eastAsia="Times New Roman" w:hAnsi="Times New Roman"/>
          <w:sz w:val="17"/>
          <w:szCs w:val="17"/>
        </w:rPr>
        <w:t xml:space="preserve"> </w:t>
      </w:r>
      <w:r>
        <w:rPr>
          <w:rFonts w:ascii="Times New Roman" w:eastAsia="Times New Roman" w:hAnsi="Times New Roman"/>
          <w:noProof/>
          <w:sz w:val="17"/>
          <w:szCs w:val="17"/>
        </w:rPr>
        <w:t>68806526</w:t>
      </w:r>
    </w:p>
    <w:p w14:paraId="37879ADE" w14:textId="77777777" w:rsidR="002F53E0" w:rsidRPr="003142AE" w:rsidRDefault="00000000" w:rsidP="002F53E0">
      <w:pPr>
        <w:widowControl/>
        <w:tabs>
          <w:tab w:val="left" w:pos="6840"/>
        </w:tabs>
        <w:spacing w:after="0" w:line="240" w:lineRule="auto"/>
        <w:jc w:val="both"/>
        <w:rPr>
          <w:rFonts w:ascii="Times New Roman" w:eastAsia="Times New Roman" w:hAnsi="Times New Roman"/>
          <w:sz w:val="17"/>
          <w:szCs w:val="17"/>
        </w:rPr>
      </w:pPr>
      <w:hyperlink r:id="rId8" w:history="1">
        <w:r w:rsidR="002F1025">
          <w:rPr>
            <w:rFonts w:ascii="Times New Roman" w:eastAsia="Times New Roman" w:hAnsi="Times New Roman"/>
            <w:noProof/>
            <w:sz w:val="17"/>
            <w:szCs w:val="17"/>
          </w:rPr>
          <w:t>Diana.Skridlevska@ptac.gov.lv</w:t>
        </w:r>
      </w:hyperlink>
    </w:p>
    <w:sectPr w:rsidR="002F53E0" w:rsidRPr="003142AE" w:rsidSect="00855B92">
      <w:headerReference w:type="default" r:id="rId9"/>
      <w:headerReference w:type="first" r:id="rId10"/>
      <w:type w:val="continuous"/>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AEFD" w14:textId="77777777" w:rsidR="00253A45" w:rsidRDefault="00253A45">
      <w:pPr>
        <w:spacing w:after="0" w:line="240" w:lineRule="auto"/>
      </w:pPr>
      <w:r>
        <w:separator/>
      </w:r>
    </w:p>
  </w:endnote>
  <w:endnote w:type="continuationSeparator" w:id="0">
    <w:p w14:paraId="149E2F9A" w14:textId="77777777" w:rsidR="00253A45" w:rsidRDefault="002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FC48D" w14:textId="77777777" w:rsidR="00253A45" w:rsidRDefault="00253A45">
      <w:pPr>
        <w:spacing w:after="0" w:line="240" w:lineRule="auto"/>
      </w:pPr>
      <w:r>
        <w:separator/>
      </w:r>
    </w:p>
  </w:footnote>
  <w:footnote w:type="continuationSeparator" w:id="0">
    <w:p w14:paraId="504B19BE" w14:textId="77777777" w:rsidR="00253A45" w:rsidRDefault="00253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24434"/>
      <w:docPartObj>
        <w:docPartGallery w:val="Page Numbers (Top of Page)"/>
        <w:docPartUnique/>
      </w:docPartObj>
    </w:sdtPr>
    <w:sdtEndPr>
      <w:rPr>
        <w:noProof/>
      </w:rPr>
    </w:sdtEndPr>
    <w:sdtContent>
      <w:p w14:paraId="45B847E5" w14:textId="77777777" w:rsidR="00855B92" w:rsidRDefault="007B3449">
        <w:pPr>
          <w:pStyle w:val="Header"/>
          <w:jc w:val="center"/>
        </w:pPr>
        <w:r w:rsidRPr="00B454AF">
          <w:rPr>
            <w:rFonts w:ascii="Times New Roman" w:hAnsi="Times New Roman" w:cs="Times New Roman"/>
            <w:sz w:val="24"/>
            <w:szCs w:val="24"/>
          </w:rPr>
          <w:fldChar w:fldCharType="begin"/>
        </w:r>
        <w:r w:rsidRPr="00B454AF">
          <w:rPr>
            <w:rFonts w:ascii="Times New Roman" w:hAnsi="Times New Roman" w:cs="Times New Roman"/>
            <w:sz w:val="24"/>
            <w:szCs w:val="24"/>
          </w:rPr>
          <w:instrText xml:space="preserve"> PAGE   \* MERGEFORMAT </w:instrText>
        </w:r>
        <w:r w:rsidRPr="00B454AF">
          <w:rPr>
            <w:rFonts w:ascii="Times New Roman" w:hAnsi="Times New Roman" w:cs="Times New Roman"/>
            <w:sz w:val="24"/>
            <w:szCs w:val="24"/>
          </w:rPr>
          <w:fldChar w:fldCharType="separate"/>
        </w:r>
        <w:r w:rsidR="00661899">
          <w:rPr>
            <w:rFonts w:ascii="Times New Roman" w:hAnsi="Times New Roman" w:cs="Times New Roman"/>
            <w:noProof/>
            <w:sz w:val="24"/>
            <w:szCs w:val="24"/>
          </w:rPr>
          <w:t>2</w:t>
        </w:r>
        <w:r w:rsidRPr="00B454AF">
          <w:rPr>
            <w:rFonts w:ascii="Times New Roman" w:hAnsi="Times New Roman" w:cs="Times New Roman"/>
            <w:noProof/>
            <w:sz w:val="24"/>
            <w:szCs w:val="24"/>
          </w:rPr>
          <w:fldChar w:fldCharType="end"/>
        </w:r>
      </w:p>
    </w:sdtContent>
  </w:sdt>
  <w:p w14:paraId="49AAFD60" w14:textId="77777777" w:rsidR="00AF6E6C" w:rsidRPr="00AF6E6C" w:rsidRDefault="00AF6E6C" w:rsidP="00AF6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2A70" w14:textId="77777777" w:rsidR="00855B92" w:rsidRDefault="00855B92" w:rsidP="00855B92">
    <w:pPr>
      <w:pStyle w:val="Header"/>
      <w:rPr>
        <w:rFonts w:ascii="Times New Roman" w:hAnsi="Times New Roman"/>
      </w:rPr>
    </w:pPr>
  </w:p>
  <w:p w14:paraId="4288FDA1" w14:textId="77777777" w:rsidR="00855B92" w:rsidRDefault="00855B92" w:rsidP="00855B92">
    <w:pPr>
      <w:pStyle w:val="Header"/>
      <w:rPr>
        <w:rFonts w:ascii="Times New Roman" w:hAnsi="Times New Roman"/>
      </w:rPr>
    </w:pPr>
  </w:p>
  <w:p w14:paraId="1C76D565" w14:textId="77777777" w:rsidR="00855B92" w:rsidRDefault="00855B92" w:rsidP="00855B92">
    <w:pPr>
      <w:pStyle w:val="Header"/>
      <w:rPr>
        <w:rFonts w:ascii="Times New Roman" w:hAnsi="Times New Roman"/>
      </w:rPr>
    </w:pPr>
  </w:p>
  <w:p w14:paraId="15E5373F" w14:textId="77777777" w:rsidR="00855B92" w:rsidRDefault="00855B92" w:rsidP="00855B92">
    <w:pPr>
      <w:pStyle w:val="Header"/>
      <w:rPr>
        <w:rFonts w:ascii="Times New Roman" w:hAnsi="Times New Roman"/>
      </w:rPr>
    </w:pPr>
  </w:p>
  <w:p w14:paraId="15851E2B" w14:textId="77777777" w:rsidR="00855B92" w:rsidRDefault="00855B92" w:rsidP="00855B92">
    <w:pPr>
      <w:pStyle w:val="Header"/>
      <w:rPr>
        <w:rFonts w:ascii="Times New Roman" w:hAnsi="Times New Roman"/>
      </w:rPr>
    </w:pPr>
  </w:p>
  <w:p w14:paraId="2EE30687" w14:textId="77777777" w:rsidR="00855B92" w:rsidRDefault="00855B92" w:rsidP="00855B92">
    <w:pPr>
      <w:pStyle w:val="Header"/>
      <w:rPr>
        <w:rFonts w:ascii="Times New Roman" w:hAnsi="Times New Roman"/>
      </w:rPr>
    </w:pPr>
  </w:p>
  <w:p w14:paraId="567E37A4" w14:textId="77777777" w:rsidR="00855B92" w:rsidRDefault="00855B92" w:rsidP="00855B92">
    <w:pPr>
      <w:pStyle w:val="Header"/>
      <w:rPr>
        <w:rFonts w:ascii="Times New Roman" w:hAnsi="Times New Roman"/>
      </w:rPr>
    </w:pPr>
  </w:p>
  <w:p w14:paraId="43297D2C" w14:textId="77777777" w:rsidR="00855B92" w:rsidRDefault="00855B92" w:rsidP="00855B92">
    <w:pPr>
      <w:pStyle w:val="Header"/>
      <w:rPr>
        <w:rFonts w:ascii="Times New Roman" w:hAnsi="Times New Roman"/>
      </w:rPr>
    </w:pPr>
  </w:p>
  <w:p w14:paraId="29B3DEB9" w14:textId="77777777" w:rsidR="00855B92" w:rsidRDefault="00855B92" w:rsidP="00855B92">
    <w:pPr>
      <w:pStyle w:val="Header"/>
      <w:rPr>
        <w:rFonts w:ascii="Times New Roman" w:hAnsi="Times New Roman"/>
      </w:rPr>
    </w:pPr>
  </w:p>
  <w:p w14:paraId="74741B99" w14:textId="77777777" w:rsidR="00855B92" w:rsidRDefault="00855B92" w:rsidP="00855B92">
    <w:pPr>
      <w:pStyle w:val="Header"/>
      <w:rPr>
        <w:rFonts w:ascii="Times New Roman" w:hAnsi="Times New Roman"/>
      </w:rPr>
    </w:pPr>
  </w:p>
  <w:p w14:paraId="2553A5DC" w14:textId="77777777" w:rsidR="00855B92" w:rsidRPr="00815277" w:rsidRDefault="007B3449" w:rsidP="00855B92">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37512F29" wp14:editId="408B1508">
          <wp:simplePos x="0" y="0"/>
          <wp:positionH relativeFrom="page">
            <wp:posOffset>1219200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094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32B2A548" wp14:editId="0A7B78AD">
              <wp:simplePos x="0" y="0"/>
              <wp:positionH relativeFrom="page">
                <wp:posOffset>1171575</wp:posOffset>
              </wp:positionH>
              <wp:positionV relativeFrom="page">
                <wp:posOffset>2030730</wp:posOffset>
              </wp:positionV>
              <wp:extent cx="5838825" cy="314325"/>
              <wp:effectExtent l="0" t="0" r="9525" b="9525"/>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CEFEF" w14:textId="77777777" w:rsidR="00855B92" w:rsidRDefault="007B3449" w:rsidP="00855B92">
                          <w:pPr>
                            <w:spacing w:after="0" w:line="194" w:lineRule="exact"/>
                            <w:ind w:left="20" w:right="-45"/>
                            <w:jc w:val="center"/>
                            <w:rPr>
                              <w:rFonts w:ascii="Times New Roman" w:eastAsia="Times New Roman" w:hAnsi="Times New Roman"/>
                              <w:sz w:val="17"/>
                              <w:szCs w:val="17"/>
                            </w:rPr>
                          </w:pPr>
                          <w:r w:rsidRPr="005E3C4E">
                            <w:rPr>
                              <w:rFonts w:ascii="Times New Roman" w:eastAsia="Times New Roman" w:hAnsi="Times New Roman"/>
                              <w:color w:val="231F20"/>
                              <w:sz w:val="17"/>
                              <w:szCs w:val="17"/>
                            </w:rPr>
                            <w:t>Brīvības iela 55, Rīga, LV-1010, tālr. 6</w:t>
                          </w:r>
                          <w:r>
                            <w:rPr>
                              <w:rFonts w:ascii="Times New Roman" w:eastAsia="Times New Roman" w:hAnsi="Times New Roman"/>
                              <w:color w:val="231F20"/>
                              <w:sz w:val="17"/>
                              <w:szCs w:val="17"/>
                            </w:rPr>
                            <w:t>7388624</w:t>
                          </w:r>
                          <w:r w:rsidRPr="005E3C4E">
                            <w:rPr>
                              <w:rFonts w:ascii="Times New Roman" w:eastAsia="Times New Roman" w:hAnsi="Times New Roman"/>
                              <w:color w:val="231F20"/>
                              <w:sz w:val="17"/>
                              <w:szCs w:val="17"/>
                            </w:rPr>
                            <w:t>, fakss 67388634, e-pasts p</w:t>
                          </w:r>
                          <w:r w:rsidR="00716AC9">
                            <w:rPr>
                              <w:rFonts w:ascii="Times New Roman" w:eastAsia="Times New Roman" w:hAnsi="Times New Roman"/>
                              <w:color w:val="231F20"/>
                              <w:sz w:val="17"/>
                              <w:szCs w:val="17"/>
                            </w:rPr>
                            <w:t>asts</w:t>
                          </w:r>
                          <w:r w:rsidRPr="005E3C4E">
                            <w:rPr>
                              <w:rFonts w:ascii="Times New Roman" w:eastAsia="Times New Roman" w:hAnsi="Times New Roman"/>
                              <w:color w:val="231F20"/>
                              <w:sz w:val="17"/>
                              <w:szCs w:val="17"/>
                            </w:rPr>
                            <w:t>@ptac.gov.lv, www.ptac.gov.lv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2B2A54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A7CEFEF" w14:textId="77777777" w:rsidR="00855B92" w:rsidRDefault="007B3449" w:rsidP="00855B92">
                    <w:pPr>
                      <w:spacing w:after="0" w:line="194" w:lineRule="exact"/>
                      <w:ind w:left="20" w:right="-45"/>
                      <w:jc w:val="center"/>
                      <w:rPr>
                        <w:rFonts w:ascii="Times New Roman" w:eastAsia="Times New Roman" w:hAnsi="Times New Roman"/>
                        <w:sz w:val="17"/>
                        <w:szCs w:val="17"/>
                      </w:rPr>
                    </w:pPr>
                    <w:r w:rsidRPr="005E3C4E">
                      <w:rPr>
                        <w:rFonts w:ascii="Times New Roman" w:eastAsia="Times New Roman" w:hAnsi="Times New Roman"/>
                        <w:color w:val="231F20"/>
                        <w:sz w:val="17"/>
                        <w:szCs w:val="17"/>
                      </w:rPr>
                      <w:t xml:space="preserve">Brīvības iela 55, </w:t>
                    </w:r>
                    <w:smartTag w:uri="urn:schemas-microsoft-com:office:smarttags" w:element="City">
                      <w:smartTag w:uri="urn:schemas-microsoft-com:office:smarttags" w:element="place">
                        <w:r w:rsidRPr="005E3C4E">
                          <w:rPr>
                            <w:rFonts w:ascii="Times New Roman" w:eastAsia="Times New Roman" w:hAnsi="Times New Roman"/>
                            <w:color w:val="231F20"/>
                            <w:sz w:val="17"/>
                            <w:szCs w:val="17"/>
                          </w:rPr>
                          <w:t>Rīga</w:t>
                        </w:r>
                      </w:smartTag>
                    </w:smartTag>
                    <w:r w:rsidRPr="005E3C4E">
                      <w:rPr>
                        <w:rFonts w:ascii="Times New Roman" w:eastAsia="Times New Roman" w:hAnsi="Times New Roman"/>
                        <w:color w:val="231F20"/>
                        <w:sz w:val="17"/>
                        <w:szCs w:val="17"/>
                      </w:rPr>
                      <w:t>, LV-1010, tālr. 6</w:t>
                    </w:r>
                    <w:r>
                      <w:rPr>
                        <w:rFonts w:ascii="Times New Roman" w:eastAsia="Times New Roman" w:hAnsi="Times New Roman"/>
                        <w:color w:val="231F20"/>
                        <w:sz w:val="17"/>
                        <w:szCs w:val="17"/>
                      </w:rPr>
                      <w:t>7388624</w:t>
                    </w:r>
                    <w:r w:rsidRPr="005E3C4E">
                      <w:rPr>
                        <w:rFonts w:ascii="Times New Roman" w:eastAsia="Times New Roman" w:hAnsi="Times New Roman"/>
                        <w:color w:val="231F20"/>
                        <w:sz w:val="17"/>
                        <w:szCs w:val="17"/>
                      </w:rPr>
                      <w:t>, fakss 67388634, e-pasts p</w:t>
                    </w:r>
                    <w:r w:rsidR="00716AC9">
                      <w:rPr>
                        <w:rFonts w:ascii="Times New Roman" w:eastAsia="Times New Roman" w:hAnsi="Times New Roman"/>
                        <w:color w:val="231F20"/>
                        <w:sz w:val="17"/>
                        <w:szCs w:val="17"/>
                      </w:rPr>
                      <w:t>asts</w:t>
                    </w:r>
                    <w:r w:rsidRPr="005E3C4E">
                      <w:rPr>
                        <w:rFonts w:ascii="Times New Roman" w:eastAsia="Times New Roman" w:hAnsi="Times New Roman"/>
                        <w:color w:val="231F20"/>
                        <w:sz w:val="17"/>
                        <w:szCs w:val="17"/>
                      </w:rPr>
                      <w:t>@ptac.gov.lv, www.ptac.gov.lv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3DD13D32" wp14:editId="1F25716C">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5003E53"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p>
  <w:p w14:paraId="150EA458" w14:textId="77777777" w:rsidR="00855B92" w:rsidRDefault="00855B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6C"/>
    <w:rsid w:val="00073E25"/>
    <w:rsid w:val="001038D0"/>
    <w:rsid w:val="00196EF4"/>
    <w:rsid w:val="001E077B"/>
    <w:rsid w:val="00212A86"/>
    <w:rsid w:val="00253A45"/>
    <w:rsid w:val="00264574"/>
    <w:rsid w:val="002660AB"/>
    <w:rsid w:val="002709B0"/>
    <w:rsid w:val="00274D0E"/>
    <w:rsid w:val="002A1524"/>
    <w:rsid w:val="002B1152"/>
    <w:rsid w:val="002F1025"/>
    <w:rsid w:val="002F53E0"/>
    <w:rsid w:val="003142AE"/>
    <w:rsid w:val="003609F9"/>
    <w:rsid w:val="003B5C79"/>
    <w:rsid w:val="00416868"/>
    <w:rsid w:val="004516D6"/>
    <w:rsid w:val="00484067"/>
    <w:rsid w:val="005134DE"/>
    <w:rsid w:val="00523285"/>
    <w:rsid w:val="00557ADA"/>
    <w:rsid w:val="005804E6"/>
    <w:rsid w:val="005E3C4E"/>
    <w:rsid w:val="00661899"/>
    <w:rsid w:val="00703579"/>
    <w:rsid w:val="00716AC9"/>
    <w:rsid w:val="00794877"/>
    <w:rsid w:val="007B3449"/>
    <w:rsid w:val="00815277"/>
    <w:rsid w:val="008270E1"/>
    <w:rsid w:val="00855B92"/>
    <w:rsid w:val="00862AD4"/>
    <w:rsid w:val="008F2C67"/>
    <w:rsid w:val="00931AF2"/>
    <w:rsid w:val="00942BB5"/>
    <w:rsid w:val="00981F68"/>
    <w:rsid w:val="00A02DE3"/>
    <w:rsid w:val="00A23DA9"/>
    <w:rsid w:val="00A30728"/>
    <w:rsid w:val="00AF6E6C"/>
    <w:rsid w:val="00B454AF"/>
    <w:rsid w:val="00B60AF2"/>
    <w:rsid w:val="00BD0B32"/>
    <w:rsid w:val="00C92605"/>
    <w:rsid w:val="00CB2D18"/>
    <w:rsid w:val="00D132AB"/>
    <w:rsid w:val="00D917AB"/>
    <w:rsid w:val="00E034DE"/>
    <w:rsid w:val="00E95B3B"/>
    <w:rsid w:val="00EB3FF3"/>
    <w:rsid w:val="00EC77AB"/>
    <w:rsid w:val="00F90193"/>
    <w:rsid w:val="00F931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8AF2C48"/>
  <w15:chartTrackingRefBased/>
  <w15:docId w15:val="{CB176D2D-581E-41D4-83FC-2A482540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E6C"/>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E6C"/>
    <w:pPr>
      <w:widowControl/>
      <w:tabs>
        <w:tab w:val="center" w:pos="4153"/>
        <w:tab w:val="right" w:pos="830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AF6E6C"/>
  </w:style>
  <w:style w:type="paragraph" w:styleId="Footer">
    <w:name w:val="footer"/>
    <w:basedOn w:val="Normal"/>
    <w:link w:val="FooterChar"/>
    <w:uiPriority w:val="99"/>
    <w:unhideWhenUsed/>
    <w:rsid w:val="00AF6E6C"/>
    <w:pPr>
      <w:widowControl/>
      <w:tabs>
        <w:tab w:val="center" w:pos="4153"/>
        <w:tab w:val="right" w:pos="830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AF6E6C"/>
  </w:style>
  <w:style w:type="character" w:styleId="Hyperlink">
    <w:name w:val="Hyperlink"/>
    <w:uiPriority w:val="99"/>
    <w:unhideWhenUsed/>
    <w:rsid w:val="002F1025"/>
    <w:rPr>
      <w:color w:val="0000FF"/>
      <w:u w:val="single"/>
    </w:rPr>
  </w:style>
  <w:style w:type="paragraph" w:styleId="NoSpacing">
    <w:name w:val="No Spacing"/>
    <w:uiPriority w:val="1"/>
    <w:qFormat/>
    <w:rsid w:val="002F1025"/>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ds.Uzvards@ptac.gov.lv" TargetMode="External"/><Relationship Id="rId3" Type="http://schemas.openxmlformats.org/officeDocument/2006/relationships/settings" Target="settings.xml"/><Relationship Id="rId7" Type="http://schemas.openxmlformats.org/officeDocument/2006/relationships/hyperlink" Target="mailto:elviss.lapins@intr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0CB1F-3CE7-4C07-A184-FA232293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Parhimuka</dc:creator>
  <cp:lastModifiedBy>Inese Albova</cp:lastModifiedBy>
  <cp:revision>2</cp:revision>
  <cp:lastPrinted>2019-09-11T09:06:00Z</cp:lastPrinted>
  <dcterms:created xsi:type="dcterms:W3CDTF">2023-01-11T19:04:00Z</dcterms:created>
  <dcterms:modified xsi:type="dcterms:W3CDTF">2023-01-11T19:04:00Z</dcterms:modified>
</cp:coreProperties>
</file>