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Transportlīdzekļa ekspluatācijas nodokļa un uzņēmumu vieglo transportlīdzekļu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iebistam pret TEN paaugstināšanu. Aicinām ņemt vērā plānoto akcīzes nodokļa likmes paausgtināšanu, kā arī gaidāmo degvielas cenu sadārdzināšanos plānotā Transporta enerģijas likuma ieviesto papiluds prasību DUS dēļ. Kā redzams, šis nodokļa palielinājums ne tikai nav pamatots ne ar vienu konkrētu argumentu, ko pamanīja un norādīja arī Satiksmes ministrija savā iebildumā, bet arī iztrūkst aprēķins tam, kā TEN paugstināšana ietekmēs tautsaimniecību - par cik procentiem varētu pieaugt patēriņa cenas TEN ietekmē. Ja pamatojums TEN paaugstināšanai ir inflācija un kopīgais cenu līmeņa palielinājums, tad šie grozījumi vēl vairāk paaugstinās gan cenu līmeni, gan inflāciju. Aicinām atteikties no priekšlikuma par TEN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19. septembra sēdes protokola Nr.38 1.§ par informatīvo ziņojumu "Par valsts budžeta ieņēmumu un nodokļu politikas pārskatīšanu 2024. - 2027. gadā" 2.1. punktu tiek paredzēts palielināt neto ienākumus aptuveni 95% strādājošo jeb visiem, kuru bruto alga ir līdz 4000 eiro mēnesī, ar lielāko pieaugumu darba ņēmējiem ar atalgojumu līdz 2500 eiro, savukārt, lai kompensētu darbaspēka nodokļu izmaiņu radīto samazinājumu budžeta ieņēmumos, ir paredzēti kompensējošie mehānismi un viens no tiem ir noteikts ar protokola  2.5. punktu, kas nosaka Finanšu ministrijai veikt grozījumus Transportlīdzekļa ekspluatācijas nodokļa un uzņēmumu vieglo transportlīdzekļu nodokļa likumā, paredzot palielināt visas transportlīdzekļa ekspluatācijas nodokļa likmes par 10%, sākot no 2025.gada, kā arī palielināt uzņēmumu vieglo transportlīdzekļu nodokļa likmes par 10%, sākot no 2027.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nodokļu paaugstināšanā ir vērtēts samērīgums pret ieguvumu, proti, no nodokļu indeksācijas rezultātā  papildus gūtajiem ieņēmumiem ir paredzēts nodrošināt daļu no papildus nepieciešamo līdzekļu apjoma valsts budžetā, kuri ir nepieciešami, lai nodrošinātu valsts funkciju pilnvērtīgu darbību un attīstību, t.sk.,  palielināt finansējumu iekšējai un ārējai drošībai, kas ir noteikts kā prioritārs pasākums.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GOLDEN ARTIFICIAL INTELLIGENCE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pret, nodevu un nodokļu celšanu.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nodevas un nodokļus, uz summu, kura tika izmaksāta Brišķēnam Kasparam par paveikto darbu RailBaltica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"SnapTest.LV"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aprēķināts, cik automašīnas uzņēmumu autoparkos, un cik privātajā sektorā nomainīs VRN uz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tagad 90+ % nomas auto un dažu lielu uzņēmumu autoparki izmaksu optimizēšanai ir reģistrēti kaimiņvalstīs.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uz to, ka Transportlīdzekļa ekspluatācijas nodokļa un uzņēmumu vieglo transportlīdzekļu nodokļa likuma 9.</w:t>
            </w:r>
            <w:r w:rsidR="00000000" w:rsidRPr="00000000" w:rsidDel="00000000">
              <w:rPr>
                <w:vertAlign w:val="superscript"/>
                <w:rtl w:val="0"/>
              </w:rPr>
              <w:t xml:space="preserve">1</w:t>
            </w:r>
            <w:r w:rsidR="00000000" w:rsidRPr="00000000" w:rsidDel="00000000">
              <w:rPr>
                <w:rtl w:val="0"/>
              </w:rPr>
              <w:t xml:space="preserve">pants nosaka, ka par ārvalstī reģistrētu M1 vai N1 transportlīdzekli, kuru Latvijā  ceļu satiksmē izmanto vadītājs ar Latvijā deklarētu dzīvesvietu, maksā transportlīdzekļa ekspluatācijas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"WURTH"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šādām būtiskām nodokļu pacelšanas priekšlikumam kas gulstas uz privāto sekotoru.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"KORNAT"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Nākamgad plānots paaugstināt akcīzes nodoklis degvielai + tad ekspluatācijas nodoklis + uzņēmuma vieglo transportlīdzekļu nodoklis = Cik tad izmaksas uzņēmuma loģistika?  Latvijas konkurētspēja jau atzīta par sliktāko starp Baltijas valstim!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likmes lielākoties ir izteiktas procentuālā izteiksmē, līdz ar to pieaugot produkta vai pakalpojuma cenai, attiecīgi pieaug nodoklis, taču transportlīdzekļa ekspluatācijas nodoklim un uzņēmumu vieglo transportlīdzekļa nodoklim likmes ir noteiktas skaitliskā vērtībā un līdz ar to tās paliek nemainīgas, neskatoties uz vispārēju cenu un ienākuma līmeņa paaugstināšanos valstī, tādējādi ik pēc noteikta laika posma (aptuveni 3 gadi) šādas nodokļa likmes tiek pārskatītas.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"Mans alus"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Iebilstu. Jebkura nodokļa likmes paaugstināšana ietekmē saimnieciskā darbības veicēja izmaksas, kas proporcionāli rada ietekmi uz preces vai pakalpojuma izmaksām un attiecīgi ietekmē cenu kāpumu tādejādi ietekmējot pakalpojuma saņēmēja izdevumus. Nav prātīgi kāpināt nodokļu likmes periodā, kad nepieciešams veicināt ekonomikas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"GPRS"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Iebilstu pret</w:t>
            </w:r>
            <w:r w:rsidR="00000000" w:rsidRPr="00000000" w:rsidDel="00000000">
              <w:rPr>
                <w:rtl w:val="0"/>
              </w:rPr>
              <w:t xml:space="preserve"> Grozījumi Transportlīdzekļa ekspluatācijas nodokļa un uzņēmumu vieglo transportlīdzekļu nodokļa likumā, kurā plānots palielināt visas transportlīdzekļa ekspluatācijas nodokļa likmes par 10%, sākot no 2025. gada, kā arī palielināt uzņēmumu vieglo transportlīdzekļu nodokļa likmes par 10%, sākot no 2027.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ierobežo Latvijas Republikas Satversmes 105. pantu: “Ikvienam ir tiesības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Paaugstinātā nodokļa likme sekmēs papildus inflācijas veidošanos un sabiedrības pirktspējas samazināšanos, tādejādi samazinot cilvēku dzīves kvalitātes līmeni, kā arī veidojot jaunus riskus nabadzībai.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vieglo taksometru nozares darba devēju organizācija"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plānotais nodokļu pieaugums nepieciešams, lai kompensētu inflāciju un atjaunotu nodokļu likmes, ņemot vērā cenu pieaugumu kopš 2021. gada. Taču šāda pieeja ir problemātiska. Nodokļu celšana tieši ietekmēs pārvadājumu izmaksas un veicinās inflāciju. Tādējādi paši nodokļu grozījumi kļūst par inflācijas katalizatoru, nevis līdzekli tās mazināšanai. Turklāt transportlīdzekļu nodokļa izmaiņas jau tika pārskatītas 2021. un 2023. gadā, kas jau radīja nestabilitāti nozarē. Šāda bieža nodokļu maiņa neveicina prognozējamību un stabilitāti uzņēmējdarbības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norādīts, ka Ministru kabineta 2024. gada 19. septembra sēdes protokola Nr.38 1.§ par informatīvo ziņojumu "Par valsts budžeta ieņēmumu un nodokļu politikas pārskatīšanu 2024. - 2027. gadā" 2.5. punkts nosaka Finanšu ministrijai uzdevumu veikt grozījumus Transportlīdzekļa ekspluatācijas nodokļa un uzņēmumu vieglo transportlīdzekļu nodokļa likumā, tostarp paredzot palielināt visas transportlīdzekļa ekspluatācijas nodokļa likmes par 10%, sākot no 2025.gada.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likumprojekta anotācijā, ne informatīvajā ziņojumā "Par valsts budžeta ieņēmumu un nodokļu politikas pārskatīšanu 2025. – 2027. gadā" nav ietverts pamatojums, kādēļ nepieciešams palielināt visas transportlīdzekļa ekspluatācijas nodokļa likmes tieši par 10%, ir norādīts vienīgi uz inflācijas pieaugumu, kas Satiksmes ministrijas ieskatā nav pietiekams arguments transportlīdzekļa ekspluatācijas nodokļa likmju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ietvert detalizētu pamatojumu un aprēķinus, kādēļ nepieciešams palielināt visas transportlīdzekļa ekspluatācijas nodokļa likmes tieši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ietvert informāciju, kādiem mērķiem papildu ieņēmumus no transportlīdzekļa ekspluatācijas nodokļa plānots izlietot, jo likuma "Par autoceļiem" 12.panta ceturtā daļa paredz prognozētos valsts budžeta ieņēmumus no transportlīdzekļu ekspluatācijas nodokļa novirzīt Valsts budžeta finansējumu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1999. gada 17. jūnija direktīvas 1999/62/EK par ceļu infrastruktūru lietošanas maksas noteikšanu transportlīdzekļiem, kura attiecas uz transportlīdzekļu nodokļiem, ko uzliek smagajiem kravas transportlīdzekļiem,  9.panta 2.punkts nosaka, ka dalībvalstis nosaka šīs direktīvas radīto ieņēmumu izmantojumu. Lai varētu attīstīt visu autoceļu tīklu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 sadaļa papildināta ar papildu pamatojumu transportlīdzekļa ekspluatācijas nodokļa likmju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š.g. 19. septembra sēdē izskatot informatīvos ziņojumus “Par valsts budžeta ieņēmumu un nodokļu politikas pārskatīšanu 2025.–2027. gadā” un “Par valsts budžeta likumprojektā iekļaujamiem prioritārajiem pasākumiem 2025., 2026., 2027. un 2028. gadam” neparedzēja papildu finansējuma piešķiršanu programmai "Valsts autoceļu fonds" saistībā ar to, ka tiek palielināti ieņēmumi no transportlīdzekļa ekspluatācijas nodokļa, attiecīgi minētie ieņēmumi ir kompensējošais pasākums nodokļu reformai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"Par autoceļiem" 12.panta ceturtā daļa attiecībā uz programmu "Valsts autoceļu fonds" sasaisti ar nodokļu un nodevu ieņēmumiem paredz arī atrunu “ja gadskārtējā valsts budžeta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1999. gada 17. jūnija direktīvas 1999/62/EK par ceļu infrastruktūru lietošanas maksas noteikšanu transportlīdzekļiem, kura attiecas uz transportlīdzekļu nodokļiem, ko uzliek smagajiem kravas transportlīdzekļiem,  9.panta 2.punkts ir izteikts pieļāvuma formā, līdz ar to tas nav obligāts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vieglo taksometru nozares darba devēju organizācija"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grozījums rada bažas ne tikai par tā ietekmi uz ekonomiku, bet arī par pieeju, kāda tika izmantota šī projekta izstrādē. Finanšu ministrija nav izvērtējusi alternatīvus risinājumus, kas liek uzdot jautājumu – vai šis ir vienīgais un labākais veids, kā risināt valsts budžeta jautājumus? Atbilde uz jautājumu par alternatīvām ir vienkārša: "Nē." Tas norāda uz vienpusīgu skatījumu un neņem vērā iespējamos elastīgākus un efektīvākus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nozīmīgs aspekts ir nepieciešamība pēc stabilitātes un skaidrības. Nodokļu sistēmai jābūt prognozējamai, lai uzņēmēji un iedzīvotāji varētu plānot savas finanses. Bieža nodokļu maiņa un indeksācija, pamatojoties uz inflāciju, radīs finansiālu nestabilitāti un neskaidrību. Taksometru nozare jau piedzīvo pietiekami daudz izaicinājumu, un papildu nodokļu slogs tikai pastiprinās šīs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nodokļu paaugstinājums ir izvērtēts un akceptēts Nodokļu politikas pilnveidošanas koordinēšanas grupā, kurā piedalījās valdības koalīciju veidojošo partiju pārstāvji, kā arī sociālo un sadarbības partneru pārstāvji. Kā arī šādu risinājumu ir akceptējusi Nacionālā trīspusējās sadarbības padome 2024. gada 6. septembra sēdē konceptuāli atbalstot nodokļu pārskatīšanas scenāriju, kurš iekļauts informatīvajā ziņojumā “Par valsts budžeta ieņēmumu un nodokļu politikas pārskatīšanu 2025. - 2027.gadā”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sākotnējās ietekmes (ex-ante) novērtējuma ziņojuma (anotācijas) sadaļas 1.3.Pašreizējā situācija, problēmas un risinājumi apakšsadaļu "Risinājuma apraksts" ar tekstu par nepieciešamību noteikt, ka izmaksas par informatīvā paziņojuma nosūtīšanu tiks ietvertas jaunajā tehniskās apskates pakalpojuma cenā, kas cita starpā paredz veikt grozījumus arī Ministru kabineta 2013.gada 24.septembra noteikumos Nr. 1000 “Valsts akciju sabiedrības "Ceļu satiksmes drošības direkcija" publisko maksas pakalpojumu cenrādis”, tādējādi ietverot informāciju, ka informatīvā paziņojuma nosūtīšanas izmaksas tiks iekļautas transportlīdzekļu valsts tehniskās apskates pakalpojuma cenā (iesniedzot arī izskatīšanai Ministru kabinetā grozījumus Ministru kabineta 2013.gada 24.septembra noteikumos Nr. 1000 “Valsts akciju sabiedrības "Ceļu satiksmes drošības direkcija" publisko maksas pakalpojumu cenrādis”), paredzot, ka transportlīdzekļu valsts tehniskās apskates pakalpojuma cena par informatīvā paziņojuma nosūtīšanu pieaugs par 8 euro centiem. Vienlaikus arī aicinām svītrot teikumu, ka "Informatīvo paziņojumu sūtīšana neradīs ietekmi uz valsts budžeta izdevumiem, jo plānotās izmaksas tiks nodrošinātas Satiksmes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informatīvā paziņojuma nosūtīšanas izmaksas tiks ietvertas transportlīdzekļu valsts tehniskās apskates pakalpojuma cenā, sadārdzinot tehniskās apskates pakalpojuma cenu par aptuveni 8 euro 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tiek saglabāta elastīga pieeja, no kāda finansējuma avota segt VAS "Ceļu satiksmes drošības direkcija" radušās izmaksas, nosūtot informatīvo paziņojumu transportlīdzekļa ekspluatācijas nodokļa maksātājiem.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vieglo taksometru nozares darba devēju organizācija"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vieglo taksometru nozares darba devēju organizācija vēlas pievērst uzmanību pārmaiņām transportlīdzekļu nodokļu politikā, kuras piedāvā Finanšu ministrija. Paredzētie grozījumi – transportlīdzekļa ekspluatācijas nodokļa paaugstināšana par 10% – jau tagad rada bažas gan taksometru nozares, gan visu autovadītāju un uzņēmēju vidū. Paaugstinājums, kas skars gan privātpersonas, gan uzņēmumus, var radīt nopietnas sekas ekonomikai un Latvijas iedzīvotāju labklājībai.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likmes lielākoties ir izteiktas procentuālā izteiksmē, līdz ar to pieaugot produkta vai pakalpojuma cenai, attiecīgi pieaug nodoklis, taču transportlīdzekļa ekspluatācijas nodoklim un uzņēmumu vieglo transportlīdzekļa nodoklim likmes ir noteiktas skaitliskā vērtībā un līdz ar to tās paliek nemainīgas, neskatoties uz vispārēju cenu un ienākuma līmeņa paaugstināšanos valstī, tādējādi ik pēc noteikta laika posma (aptuveni 3 gadi) šādas nodokļa likmes tiek pārskatītas.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vieglo taksometru nozares darba devēju organizācija"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lēmums, saskaņā ar kuru sabiedrība netika iesaistīta projekta izstrādē, rada nopietnus jautājumus. Kāpēc projekts, kas ietekmē tik plašu cilvēku loku, tika sagatavots bez sabiedrības viedokļa un bez konsultācijām ar ieinteresētajām pusēm? Transporta nodokļi ietekmē daudzas dzīves jomas – no preču un pakalpojumu cenām līdz iedzīvotāju mobilitātei. Nodokļu palielināšana var izraisīt būtisku sociāli ekonomisku ietekmi, tāpēc būtu loģiski iesaistīt šajā procesā nozares pārstāvjus, ekspertus un arī privātpersonas, kuras tieši skars šīs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neskaidrību rada tas, kāpēc likumprojekta autori uzskatīja par nepieciešamu izvairīties no sabiedriskajām diskusijām vai vismaz neinformēt sabiedrību par piedāvātajām izmaiņām. Demokrātiskā sabiedrībā svarīga loma ir iedzīvotāju līdzdalībai procesos, kas saistīti ar ekonomikas un sociālās politikas izmaiņām. Bez šīs līdzdalības rodas šaubas par to, vai šī likumprojekta izstrāde un pieņemšana kalpos sabiedrības interesēm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pastāv daudz sabiedrisko organizāciju, tostarp transporta nozares apvienības un pārstāvji, kuri aktīvi piedalās dažādu normatīvo aktu apspriešanā un sniedz būtisku ieguldījumu politikas veidošanā. Šīs organizācijas pārstāv gan komerciālo pārvadājumu nozares uzņēmumus, gan privātos transportlīdzekļu īpašniekus, un to viedoklis ir būtisks, veidojot sabalansētu un uz izaugsmi vērstu nodokļu politiku. Nepiesaistot šos pārstāvjus, Finanšu ministrija ignorē svarīgu sabiedrības segmentu, kas varētu sniegt vērtīgu ieskatu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Rodās vairāki kritiski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tika izvēlēts sabiedriskās apspriešanas izslēgšanas ceļš? Kas tieši pamudināja izstrādātājus atteikties no publiskām konsultācijām ar nozares pārstāvjiem un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ņemtas vērā dažādu sabiedrības grupu intereses? Lēmumiem, kuri rada finansiālu slogu sabiedrībai, jābalstās uz plašu viedokļu spektru, īpaši ņemot vērā transporta nozares pārstāvju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plānots kompensēt iespējamo negatīvo ietekmi, ja likumprojekts netiks atklāti kritizēts un uzlabots? Vai ir izvērtēti iespējamie ekonomiskie riski un to ietekme uz transporta nozari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trūkums šajā svarīgajā procesā grauj uzticību likumdošanas izstrādes kārtībai. Caurspīdīgums un atklātība ir būtiskas sastāvdaļas taisnīgai nodokļu politikai, un šāds lēmums, izstrādājot tik nozīmīgu projektu, šķiet pārsteidzīgs un nepamatots.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nodokļu paaugstinājums ir izvērtēts un akceptēts Nodokļu politikas pilnveidošanas koordinēšanas grupā, kurā piedalījās valdības koalīciju veidojošo partiju pārstāvji, kā arī sociālo un sadarbības partneru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(cm3)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500 cm3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501 līdz 1000 cm3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1001 līdz 1500 cm3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 1500 cm3 — 81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likumprojektā lietotos ķīmisko elementu un tilpuma mērvienību apzīmējumus, attiecīgi precizējot projektā lietoto oglekļa dioksīda apzīmējumu - CO</w:t>
            </w:r>
            <w:r w:rsidR="00000000" w:rsidRPr="00000000" w:rsidDel="00000000">
              <w:rPr>
                <w:vertAlign w:val="subscript"/>
                <w:rtl w:val="0"/>
              </w:rPr>
              <w:t xml:space="preserve">2</w:t>
            </w:r>
            <w:r w:rsidR="00000000" w:rsidRPr="00000000" w:rsidDel="00000000">
              <w:rPr>
                <w:rtl w:val="0"/>
              </w:rPr>
              <w:t xml:space="preserve"> un kubikcentimetra tilpuma mērvienību - cm</w:t>
            </w:r>
            <w:r w:rsidR="00000000" w:rsidRPr="00000000" w:rsidDel="00000000">
              <w:rPr>
                <w:vertAlign w:val="superscript"/>
                <w:rtl w:val="0"/>
              </w:rPr>
              <w:t xml:space="preserve">3</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atbilstoši lūdzam precizēt visā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00000000" w:rsidRPr="00000000" w:rsidDel="00000000">
              <w:rPr>
                <w:vertAlign w:val="superscript"/>
                <w:rtl w:val="0"/>
              </w:rPr>
              <w:t xml:space="preserve">3</w:t>
            </w:r>
            <w:r w:rsidR="00000000" w:rsidRPr="00000000" w:rsidDel="00000000">
              <w:rPr>
                <w:rtl w:val="0"/>
              </w:rPr>
              <w:t xml:space="preserve">)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500 cm</w:t>
            </w:r>
            <w:r w:rsidR="00000000" w:rsidRPr="00000000" w:rsidDel="00000000">
              <w:rPr>
                <w:vertAlign w:val="superscript"/>
                <w:rtl w:val="0"/>
              </w:rPr>
              <w:t xml:space="preserve">3</w:t>
            </w:r>
            <w:r w:rsidR="00000000" w:rsidRPr="00000000" w:rsidDel="00000000">
              <w:rPr>
                <w:rtl w:val="0"/>
              </w:rPr>
              <w:t xml:space="preserve">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501 līdz 1000 cm</w:t>
            </w:r>
            <w:r w:rsidR="00000000" w:rsidRPr="00000000" w:rsidDel="00000000">
              <w:rPr>
                <w:vertAlign w:val="superscript"/>
                <w:rtl w:val="0"/>
              </w:rPr>
              <w:t xml:space="preserve">3</w:t>
            </w:r>
            <w:r w:rsidR="00000000" w:rsidRPr="00000000" w:rsidDel="00000000">
              <w:rPr>
                <w:rtl w:val="0"/>
              </w:rPr>
              <w:t xml:space="preserve">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1001 līdz 1500 cm</w:t>
            </w:r>
            <w:r w:rsidR="00000000" w:rsidRPr="00000000" w:rsidDel="00000000">
              <w:rPr>
                <w:vertAlign w:val="superscript"/>
                <w:rtl w:val="0"/>
              </w:rPr>
              <w:t xml:space="preserve">3</w:t>
            </w:r>
            <w:r w:rsidR="00000000" w:rsidRPr="00000000" w:rsidDel="00000000">
              <w:rPr>
                <w:rtl w:val="0"/>
              </w:rPr>
              <w:t xml:space="preserve">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 1500 cm</w:t>
            </w:r>
            <w:r w:rsidR="00000000" w:rsidRPr="00000000" w:rsidDel="00000000">
              <w:rPr>
                <w:vertAlign w:val="superscript"/>
                <w:rtl w:val="0"/>
              </w:rPr>
              <w:t xml:space="preserve">3</w:t>
            </w:r>
            <w:r w:rsidR="00000000" w:rsidRPr="00000000" w:rsidDel="00000000">
              <w:rPr>
                <w:rtl w:val="0"/>
              </w:rPr>
              <w:t xml:space="preserve"> — 81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00000000" w:rsidRPr="00000000" w:rsidDel="00000000">
              <w:rPr>
                <w:vertAlign w:val="superscript"/>
                <w:rtl w:val="0"/>
              </w:rPr>
              <w:t xml:space="preserve">3</w:t>
            </w:r>
            <w:r w:rsidR="00000000" w:rsidRPr="00000000" w:rsidDel="00000000">
              <w:rPr>
                <w:rtl w:val="0"/>
              </w:rPr>
              <w:t xml:space="preserve">)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500 cm</w:t>
            </w:r>
            <w:r w:rsidR="00000000" w:rsidRPr="00000000" w:rsidDel="00000000">
              <w:rPr>
                <w:vertAlign w:val="superscript"/>
                <w:rtl w:val="0"/>
              </w:rPr>
              <w:t xml:space="preserve">3</w:t>
            </w:r>
            <w:r w:rsidR="00000000" w:rsidRPr="00000000" w:rsidDel="00000000">
              <w:rPr>
                <w:rtl w:val="0"/>
              </w:rPr>
              <w:t xml:space="preserve"> — 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501 līdz 1000 cm</w:t>
            </w:r>
            <w:r w:rsidR="00000000" w:rsidRPr="00000000" w:rsidDel="00000000">
              <w:rPr>
                <w:vertAlign w:val="superscript"/>
                <w:rtl w:val="0"/>
              </w:rPr>
              <w:t xml:space="preserve">3</w:t>
            </w:r>
            <w:r w:rsidR="00000000" w:rsidRPr="00000000" w:rsidDel="00000000">
              <w:rPr>
                <w:rtl w:val="0"/>
              </w:rPr>
              <w:t xml:space="preserve"> — 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1001 līdz 1500 cm</w:t>
            </w:r>
            <w:r w:rsidR="00000000" w:rsidRPr="00000000" w:rsidDel="00000000">
              <w:rPr>
                <w:vertAlign w:val="superscript"/>
                <w:rtl w:val="0"/>
              </w:rPr>
              <w:t xml:space="preserve">3</w:t>
            </w:r>
            <w:r w:rsidR="00000000" w:rsidRPr="00000000" w:rsidDel="00000000">
              <w:rPr>
                <w:rtl w:val="0"/>
              </w:rPr>
              <w:t xml:space="preserve"> —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virs 1500 cm</w:t>
            </w:r>
            <w:r w:rsidR="00000000" w:rsidRPr="00000000" w:rsidDel="00000000">
              <w:rPr>
                <w:vertAlign w:val="superscript"/>
                <w:rtl w:val="0"/>
              </w:rPr>
              <w:t xml:space="preserve">3</w:t>
            </w:r>
            <w:r w:rsidR="00000000" w:rsidRPr="00000000" w:rsidDel="00000000">
              <w:rPr>
                <w:rtl w:val="0"/>
              </w:rPr>
              <w:t xml:space="preserve"> — 81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Grozījumi šā likuma 12. pantā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Transportlīdzekļa ekspluatācijas nodokļa un uzņēmumu vieglo transportlīdzekļu nodokļa likuma (turpmāk – likums) 12. pantā jau ir izdarīti vairāki grozījumi, lūdzam precizēt likumprojektā "Grozījumi Transportlīdzekļa ekspluatācijas nodokļa un uzņēmumu vieglo transportlīdzekļu nodokļa likumā" (turpmāk – projekts) paredzēto likuma pārejas noteikumu 28. punktu (proti, norādīt, uz kādiem likuma 12. panta grozījumiem tas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Šā likuma 12. pantā noteiktās uzņēmumu vieglo transportlīdzekļu likmes stājas spēkā  2027.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sākotnējās ietekmes (ex-ante) novērtējuma ziņojuma (anotācijas) sadaļu 1.3.Pašreizējā situācija, problēmas un risinājumi ar tekstu, ka likumprojekta grozījumu mērķis cita starpā ir arī noteikt, ka transportlīdzekļa ekspluatācijas nodokli maksā valsts budžetā par kārtējo kalendāro gadu Transportlīdzekļa ekspluatācijas nodokļa un uzņēmumu vieglo transportlīdzekļu nodokļa likuma visos 5.panta pantā noteiktajos gadījumos, bet, ja transportlīdzekļa reģistrācijas darbības vai valsts tehniskā apskate nav veiktas, tad ne vēlāk, kā līdz kalendārajam gadam sekojošā kalendārā gada 31. janvārim un par iepriekšējiem kalendārajiem gadiem, par kuriem nodoklis nav maksāts.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minēts, ka projekts paredz likumā </w:t>
            </w:r>
            <w:r w:rsidR="00000000" w:rsidRPr="00000000" w:rsidDel="00000000">
              <w:rPr>
                <w:u w:val="single"/>
                <w:rtl w:val="0"/>
              </w:rPr>
              <w:t xml:space="preserve">palielināt visas transportlīdzekļa ekspluatācijas nodokļa likmes par 10%, sākot no 2025.gada, kā arī palielināt uzņēmumu vieglo transportlīdzekļu nodokļa likmes par 10%, sākot no 2027. gada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norādījusi, ka valstij, nosakot un realizējot savu nodokļu politiku, ir plaša rīcības brīvība. Tajā ietilpst tiesības izvēlēties, kādas nodokļu likmes un kādām personu kategorijām paredzamas, kā arī tiesības noteikt attiecīgā regulējuma detaļas. Tomēr</w:t>
            </w:r>
            <w:r w:rsidR="00000000" w:rsidRPr="00000000" w:rsidDel="00000000">
              <w:rPr>
                <w:u w:val="single"/>
                <w:rtl w:val="0"/>
              </w:rPr>
              <w:t xml:space="preserve"> nodokļu regulējumam ir jābūt pamatotam ar objektīviem un racionāliem apsvērumiem</w:t>
            </w:r>
            <w:r w:rsidR="00000000" w:rsidRPr="00000000" w:rsidDel="00000000">
              <w:rPr>
                <w:rtl w:val="0"/>
              </w:rPr>
              <w:t xml:space="preserve">. Likumdevēja izšķiršanās par to, kāds nodoklis būtu samērīgs un nepieciešams, ir politikas un lietderības jautājums </w:t>
            </w:r>
            <w:r w:rsidR="00000000" w:rsidRPr="00000000" w:rsidDel="00000000">
              <w:rPr>
                <w:i w:val="1"/>
                <w:rtl w:val="0"/>
              </w:rPr>
              <w:t xml:space="preserve">(skat., piemēram, Satversmes tiesas 2008. gada 30. aprīļa sprieduma lietā Nr. 2007-23-01 7. un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iepriekš ir norādījusi: vērtējot kādas tiesību normas atbilstību Latvijas Republikas Satversmes 91. panta pirmajam teikumam, ir jāņem vērā arī tas apstāklis, ka minētajā pantā nostiprinātās tiesības ir "salīdzinošas", proti, tās var pieprasīt vienlīdzīgu attieksmi, bet pašas par sevi nevar atklāt, kādai, proti, labvēlīgai vai nelabvēlīgai, šai attieksmei jābūt </w:t>
            </w:r>
            <w:r w:rsidR="00000000" w:rsidRPr="00000000" w:rsidDel="00000000">
              <w:rPr>
                <w:i w:val="1"/>
                <w:rtl w:val="0"/>
              </w:rPr>
              <w:t xml:space="preserve">(skat. Satversmes tiesas 2006. gada 8. novembra sprieduma lietā Nr. 2006-04-01 15.1. apakšpunktu)</w:t>
            </w:r>
            <w:r w:rsidR="00000000" w:rsidRPr="00000000" w:rsidDel="00000000">
              <w:rPr>
                <w:rtl w:val="0"/>
              </w:rPr>
              <w:t xml:space="preserve">. Tādējādi jāizmanto citi apsvērumi, kas atrodas ārpus tiesiskās vienlīdzības principa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personai pienākumu maksāt nodokli, ietilpst Latvijas Republikas Satversmes 105. pantā noteikto pamattiesību tvērumā. </w:t>
            </w:r>
            <w:r w:rsidR="00000000" w:rsidRPr="00000000" w:rsidDel="00000000">
              <w:rPr>
                <w:u w:val="single"/>
                <w:rtl w:val="0"/>
              </w:rPr>
              <w:t xml:space="preserve">Nodokļa maksāšanas pienākums vienmēr nozīmē īpašumtiesību ierobežojumus, kā arī var būt saistīts ar citiem likumā noteiktiem ierobežojumiem, kuriem jābūt samērīgiem ar leģitīmo mērķi – konstitucionāli nozīmīgu vērtību aizsardzību</w:t>
            </w:r>
            <w:r w:rsidR="00000000" w:rsidRPr="00000000" w:rsidDel="00000000">
              <w:rPr>
                <w:rtl w:val="0"/>
              </w:rPr>
              <w:t xml:space="preserve"> </w:t>
            </w:r>
            <w:r w:rsidR="00000000" w:rsidRPr="00000000" w:rsidDel="00000000">
              <w:rPr>
                <w:i w:val="1"/>
                <w:rtl w:val="0"/>
              </w:rPr>
              <w:t xml:space="preserve">(skat. Satversmes tiesas 2007. gada 11. aprīļa sprieduma lietā Nr. 2006-28-01 19.1. apakšpunktu, 2007. gada 8. jūnija sprieduma lietā Nr. 2007-01-01 19. punktu un 2008. gada 3. aprīļa sprieduma lietā Nr. 2007-23-01 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Latvijas Republikas Satversmes 105. panta pirmajā teikumā noteikto pamattiesību ierobežojuma konstitucionalitāti, jānoskaidro,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kas paredz kāda nodokļa maksāšanu, ir jāvērtē kā tāds, kas veido būtisku valsts budžeta ienākumu daļu </w:t>
            </w:r>
            <w:r w:rsidR="00000000" w:rsidRPr="00000000" w:rsidDel="00000000">
              <w:rPr>
                <w:i w:val="1"/>
                <w:rtl w:val="0"/>
              </w:rPr>
              <w:t xml:space="preserve">(skat. Satversmes tiesas 2007. gada 8. jūnija sprieduma lietā Nr. 2007-01-01 22. punktu un 2010. gada 6. decembra sprieduma lietā Nr. 2010-25-01 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tikai norādīts, ka, izvērtējot projektā paredzētā regulējuma par transportlīdzekļa ekspluatācijas nodokļa un uzņēmumu vieglo transportlīdzekļu nodokļa paaugstināšanu atbilstību Latvijas Republikas Satversmes 105. pantā noteikto pamattiesību tvērumam, ir konstatēts, ka šim regulējumam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24-TA-2218</w:t>
    </w:r>
    <w:r>
      <w:br/>
    </w:r>
    <w:r w:rsidR="00000000" w:rsidRPr="00000000" w:rsidDel="00000000">
      <w:rPr>
        <w:rtl w:val="0"/>
      </w:rPr>
      <w:t xml:space="preserve">06.10.2024. 20.12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24-TA-2218</w:t>
    </w:r>
    <w:r>
      <w:br/>
    </w:r>
    <w:r w:rsidR="00000000" w:rsidRPr="00000000" w:rsidDel="00000000">
      <w:rPr>
        <w:rtl w:val="0"/>
      </w:rPr>
      <w:t xml:space="preserve">06.10.2024. 20.12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Izziņa_24-TA-2218.docx</dc:title>
</cp:coreProperties>
</file>

<file path=docProps/custom.xml><?xml version="1.0" encoding="utf-8"?>
<Properties xmlns="http://schemas.openxmlformats.org/officeDocument/2006/custom-properties" xmlns:vt="http://schemas.openxmlformats.org/officeDocument/2006/docPropsVTypes"/>
</file>