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1.3.sadaļā sniegto skaidrojumu par 39.6.apakšpunkta grozījumiem, skaidri norādot kādas no Finanšu regulas 136.panta 1.punkta prasībām tiek un kādas netiek pārņemtas šajos noteikumos un kāds ir to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atsaucēm uz Finanšu ministrijas un Centrālā finanšu un līgumu aģentūras, kā arī Eiropas Komisijas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anotācijas 3.punkta papildpunktiem.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1.3.sadaļāietvert skaidrojumu par grozījumu projekta ietekmi uz finansējuma saņēmēju un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ietvertajai informācijai ir jābūt pietiekamai, lai būtu iespējams konstatēt, ka ir izvērtēta ierosināto grozījumu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 vēl nav uzsākta, skaidrojam, ka MK noteikumu projekts neparedz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paredz labvēlīgas normas uz uzņēmēju plānotajiem investīciju projektiem situācijā, kad sabiedrība "Altum" aprēķinās tam piešķiramo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eWiki atbildes nav pieejamas visiem publiski, lūdzam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kādu atbildi sniedza Eiropas Komisija 2022.gada 11. oktobra atbildē eState aid WIKI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norādīt, ka 2022.gada 5.aprīlī eWiki vietnē Eiropas Komisija sniedza atbildi, ka kombinēto finanšu instrumentu gadījumā visa aizdevuma summa var būt subsīdijas ekvivalents.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5.1.sadaļu ar Eiropas Parlamenta un Padomes 2018. gada 18. jūlija regulu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5.1 apakšpunkts un 5.4.1.tabula.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5.sadaļu ar informāciju, ka Ekonomikas ministrija 20 darba dienu laikā pēc grozījumu, kas izriet no Komisijas regulas Nr.651/2014 grozījumiem, spēkā stāšanās, nosūtīs kopsavilkuma informāciju Eiropas Komisijai, izmantojot SANI 2 sistēmu, par plānotajām izmaiņām (t.sk., termiņa pagarinājums, jo šobrīd SA.103765 ir paziņots līdz 31.12.2023 ).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var ietekmēt programmas rādītāju novērtējumu. Vēršam uzmanību, ka programmas rādītāju novērtējums arī programmas grozījumu gadījumā jāveic pirms grozījumu apstiprināšanas Ministru kabinetā neatkarīgi no tā, vai programma ir uzsākta. Līdz ar to atkārtoti 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sākotnēji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 doto brīdi novērtējums nav mainījies, jo programma nav vēl uzsākta. Līdz ar to atkārtots novērtējums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ietvaros tiks īstenoti stratēģiski svarīgi investīciju projekti saskaņā ar Eiropas Parlamenta un Padomes 2021. gada 12. februāra Regulu ES Nr.2021/241, ar ko izveido Atveseļošanas un noturības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ietvaros tiks īstenoti stratēģiski svarīgi projekti, vēršam uzmanību, ka stratēģiski svarīgiem projektiem nepieciešami</w:t>
            </w:r>
            <w:r w:rsidR="00000000" w:rsidRPr="00000000" w:rsidDel="00000000">
              <w:rPr>
                <w:u w:val="single"/>
                <w:rtl w:val="0"/>
              </w:rPr>
              <w:t xml:space="preserve"> pastiprināti komunikācijas pasākumi</w:t>
            </w:r>
            <w:r w:rsidR="00000000" w:rsidRPr="00000000" w:rsidDel="00000000">
              <w:rPr>
                <w:rtl w:val="0"/>
              </w:rPr>
              <w:t xml:space="preserve">, attiecīgi lūdzam papildināt noteikumu projektu vai anotāciju atbilstoši Finanšu ministrijas vadlīniju nr. 1 "Vadlīnijas informatīvā ziņojuma vai Ministru kabineta noteikumu izstrādei par Eiropas Savienības Atveseļošanas un noturības mehānisma plāna reformas vai investīcijas ieviešanu" 84.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izteikusi 4</w:t>
            </w:r>
            <w:r w:rsidR="00000000" w:rsidRPr="00000000" w:rsidDel="00000000">
              <w:rPr>
                <w:vertAlign w:val="superscript"/>
                <w:rtl w:val="0"/>
              </w:rPr>
              <w:t xml:space="preserve">1</w:t>
            </w:r>
            <w:r w:rsidR="00000000" w:rsidRPr="00000000" w:rsidDel="00000000">
              <w:rPr>
                <w:rtl w:val="0"/>
              </w:rPr>
              <w:t xml:space="preserve"> punktu jaunā redakcijā, pamatojoties uz "Altum" izteikto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 uzskatāma par stratēģiski svarīgu projektu saskaņā ar Eiropas Parlamenta un Padomes 2021. gada 12. februāra Regulu ES Nr.2021/241, ar ko izveido Atveseļošanas un noturības mehānismu.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b w:val="1"/>
                <w:rtl w:val="0"/>
              </w:rPr>
              <w:t xml:space="preserve">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iebilst Projekta 26.7.</w:t>
            </w:r>
            <w:r w:rsidR="00000000" w:rsidRPr="00000000" w:rsidDel="00000000">
              <w:rPr>
                <w:b w:val="1"/>
                <w:vertAlign w:val="superscript"/>
                <w:rtl w:val="0"/>
              </w:rPr>
              <w:t xml:space="preserve">1</w:t>
            </w:r>
            <w:r w:rsidR="00000000" w:rsidRPr="00000000" w:rsidDel="00000000">
              <w:rPr>
                <w:b w:val="1"/>
                <w:rtl w:val="0"/>
              </w:rPr>
              <w:t xml:space="preserve"> un 32.2. punktos norādītajiem nosacījumiem, ka 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pārmērīgi pieprasīt komersantam šādu apliecinājumu un izpildi, ņemot vērā, ka faktiski komersantam būtu jābūt spējīgam prognozēt statistiskajā reģionā vidējo darba samaksu, proti, būtu nepieciešams prognozēt reģiona attīstību un uzņēmumu/iestāžu saimniecisko darbību. Turklāt var pastāvēt situācija, ka reģionā darbību uzsāk komersants ar augstu darba samaksas līmeni, kas kopumā kāpinātu vidējo darba samaksu, savukārt citiem komersantiem būtu jābūt spējīgiem sekot līdzi, nokontrolēt un, iespējams, paaugstināt darba izcenojumus, lai faktiskajā izpildē būtu sasniegts prasītais. Šāda nevienlīdzīga pieeja kritērija noteikšanā saistāma arī ar atšķirīgo darba samaksas līmeni nozarēs. Apskatot VID statistikas datus, redzamas būtiskas nobīdes vidējās bruto algās dažādās nozarēs. Tā, piemēram, par 2022. gadu (https://www.vid.gov.lv/lv/darba-nemeju-un-fizisko-personu-ienakumi-katalogs/iekszemes-nodoklu-maksataju-darba-deveju-nodarbinato-darba-nemeju-menesa-videjie-darba-ienakumi-nozares-atbilstosi-nace2-red-klasifikacijas-divu-zimju-limenim-2022gada-3-4ceturksni-un-2023gada-1ceturksni) tekstiliztrādājumu ražošanā vidējā bruto samaksa ir 857 EUR vai mēbeļu ražošanā 1022 EUR, tajā pat laikā farmaceitisko preperātu ražošanā 2240 EUR.  Attiecīgi farmācijas nozare bez izmaiņām un darba samaksas celšanas klasificētos atbalstam, bet mēbeļu ražošana, pat palielinot darba samaksu 1,5 reizes, neklasificētos. Rezultātā virkne Latvijas ekonomikai būtisku nozaru, kam kritiski nepieciešams atbalsts, lai globāli konkurētu, piemēram – mēbeļu ražošana (1022 EUR), gatavo metāliztrādājumu ražošana (1372 EUR), elektrisko iekārtu ražošana (1412 EUR), pārtikas produktu ražošana (1116 EUR) - faktiski konkrētais atbalsts tiktu liegts.  Līdz ar ko nepastāv skaidrība, kā komersantam to praktiski izpildīt. Turklāt šajā gadījumā komersantam būtu iespējams saņemt kapitāla atlaidi vienīgi divus gadus pēc projekta pabeigšanas, kas ir pārmērīgi ilgs laiks, bez tam visu šo periodu komersanti būtu spiesti veikt % maksājumus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šādas izmaiņas par darba samaksas palielināšanu, tiks liegts atbalsts tieši tiem komersantiem, kuriem pēc būtības atbalsts ir kritiski nepieciešams, lai palielinātu produktivitāti un sekojoši spētu palielināt arī algas. Jāapzinās, ka komersantu spēja samaksāt lielāku algu darbiniekiem ir tieši saistīta ar komersanta produktivitāti,  taču nosakot par pienāku palielinātas algas parametrus visā uzņēmumā, nevis, piemēram, tikai ar investīcijām saistītajām darbavietām, šiem komersantiem atbalsts faktiski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investīciju veikšanas process ir ilgstošs. Izvērtējot atbilstību programmai, stratēģiski tikuši pieņemti lēmumi, veiktas iepirkumu procedūras, vienošanās ar finansētājiem pilnveidot ražošanas procesus u.tml., kas prasa naudas un laika tēriņus, ko paļaujoties uz esošajiem normatīvajiem aktiem, uzņēmumi jau ir veikuši pēdējā gada laikā. Šādas izmaiņas var ne tikai liegt komersantiem saņemt atbalstu, bet arī radīt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nerodas skaidrība, kā tiks noteikta vidējā bruto darba samaksa statistiskajā reģionā, proti, vai šādus datus sniegtu Valsts ieņēmumu dienests un vai tas iekļautu komercuzņēmumu vidējo darba samaksu, vai nozaru, vai visu reģionu kopumā? Kāda būtu šī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lai arī kopumā mērķis veicināt digitālo transformāciju un uzņēmumu efektivitāti ir saprotams un atbalstāms, ir apšaubāmi, ka ALTUM atbalsts ar tik grūti izpildāmiem nosacījumiem pilnvērtīgi palīdzēs sasniegt vēlamo jeb veicinās konkurētspēju un eksportspēju.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pieļaujamā atbalsta intensitāte no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noteikumu projekta 35.1. apakšpunkta redakcija izslēdz no atbalsta saņēmēju loka visus atbalsta saņēmējus, kas atrodas Pierīgas reģionā. Lūdzam pārskatīt un pārliecināties, vai Pierīgas reģiona atbalsta saņēmēju izslēgšana no atbalsta saņēmēju loka ir Ekonomikas ministrijas mērķis un, pēc nepieciešamības, precizēt 35.1. un arī  36.1. apakšpunkta apakšpunktu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anotāciju ar informāciju, ka šīs atbalsta programmas ietvaros tiek izmantots arī Taisnīgas pārkārtošanās fonda atbalsta intensitātes bonuss, kā arī ietvert skaidrojumu un aprēķinu anotācijā, kā šīs atbalsta programmas ietvaros tiek aprēķināti noteikumu projekta 35.punkta apakšpunktos minēto atbalsta intensitāšu apmēri (bāzes intensitāte + MVU bonuss/ mazapdzīvoto reģionu bonuss/ Taisnīgās pārkārtošanās fonda bonuss).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lūgto informāciju par Taisnīgas pārkārtošanās fonda atbalsta intensitātāti.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pieļaujamā atbalsta intensitāte no projekta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NUTS 3. līmeņa reģionā ir 40 % lielajiem komersantiem, 50 % vidējiem komersantiem vai 60 %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kā arī pārskatīt noteikumu projektu kopumā, un atbilstoši VARAM 05.04.2023. vēstulei Nr.4-5/1988, kas adresēta arī Ekonomikas ministrijai, precīzi norādīt, kuri statiskie reģioni var un kuri nevar gūt labumu no paaugstinātajām intensitātēm. 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pieejama dalībvalstu reģionālā atbalsta karšu pieņemšanas brīdī, t.i. 2021. gada  nomenklatūras 3. līmeņa (NUTS 3. līmenis) klasifikāciju. Vienlaikus lūdzam ar atbilstošu informāciju papildināt anotāciju. Kā arī papildināt anotāciju ar informāciju, ka Ministru kabineta 2021. gada 2. novembra noteikumu Nr. 729 “Noteikumi par reģionālās attīstības atbalstu Latvijas Republikā līdz 2027. gadam” 5. un 6. punktā paredzētās iespējas netiek piemērotas Limbažu novadam, Ogres novadam, Saulkrastu novadam un Tukuma novadam.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Taisnīgas pārkārtošanās fonda atbalsta intensitātēm.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2021.gada NUTS 3 datu  reģionā ir 50% lielajiem komersantiem,  60% vidējiem komersantiem vai 70% sīkajiem (mikro) vai mazajiem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8.punktā izteikto Finanšu ministrijas iebildumu. Atkārtoti vēršam uzmanību, ka, skatot noteikumu projekta 37.2.apakšpunkta normu atrauti no anotācijā sniegtā skaidrojuma, varētu rasties nekorektas interpretācijas risks, t.i., no normas nav skaidrs, kādu intensitāti, atkarībā no ieguldījuma projekta atrašanās vietas, ja komersants gūst labumu vienā vai vairākos dažādas atbalsta intensitātes NUTS 3. līmeņa reģionos, šādos gadījumos būtu jāpiemēro. Lūdzam atbilstoši anotācijā sniegtajam skaidrojumam, salāgot noteikumu projekta 37.2.apakšpunkta redakciju, t.sk., kas attiecas uz nemateriālajiem ieguldījumiem, piem., programmatūru.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FM argumentus, EM piedāvā nemainīt redakciju. Vienlaikus Altum un EM vērtēs projektu specifiku un, ja būs nepieciešams  atgriezīsies pie redakcijas pārskatīšanas.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anotācijā par Noteikumu 37.2.apakšpunkta normas interpretāciju, lūdzam pārskatīt un atbilstoši precizēt Noteikumu 37.2.apakšpunktu. Vēršam uzmanību, ka, skatot normu atrauti no anotācijā sniegtā skaidrojuma, varētu rasties nekorektas interpretācijas risks, t.i., no normas nav skaidrs, kādu intensitāti, neatkarīgi no ieguldījuma projekta atrašanās vietas, ja komersants gūst labumu vienā vai vairākos dažādas atbalsta intensitātes NUTS 3. līmeņa reģionos, šādos gadījumos būtu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papildus skaidrojumu par sniegtajā piemērā (tabulā) norādīto saistībā ar programmatūras izmaksām par reģionu, kurā tiek gūts labums no ieguldījuma. Šobrīd nav skaidrs, kāpēc programmatūrai Vidzemē ir atbalsta intensitāte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attiecīgi, ja, ņemot vērā to, ka programmatūru nevar nodalīt, tad gadījumos, ja no programmatūras labumu gūst dažādi reģioni, tai būtu jāpiemēro zemākā intensitāte, attiecīgi ar šādu informāciju lūdzam papildināt anotāciju, kā arī precizēt Noteikumu 37.2.apakšpunkta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piedāvātā MK noteikumu 37.2.apakšpunkta grozījuma redakcija līdz galam nav skaidra, t.i., kādu intensitāti praksē piemēros gadījumā, ja komersants gūst labumu vienā vai vairākos dažādas intensitātes NUTS 3.līmeņa reģionos - vai vienu intensitāti (zemāko) visam projektam, vai tomēr divas dažādas intensitātes, atkarībā no tā, uz kuru NUTS 3.līmeņa reģionu ir attiecināma katra projekta daļa. Lūdzam to pārskatīt un precizēt. Kā arī lūdzam papildināt anotāciju ar informāciju par MK noteikumu 37.2.apakšpunktā paredzētajiem grozījumiem, skaidrojot grozījumu nepieciešamību, kā arī sniedzot konkrētu piemēru intensitāšu piemērošanai, ja komersants gūst labumu vienā vai vairākos dažādas intensitātes NUTS 3.līmeņa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 kas ir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projektā izteiktā 39.6.apakšpunkta ievaddaļa papildināta ar norādi, ka uz komersantu nav attiecināms jebkurš no šādiem gadījumiem "</w:t>
            </w:r>
            <w:r w:rsidR="00000000" w:rsidRPr="00000000" w:rsidDel="00000000">
              <w:rPr>
                <w:i w:val="1"/>
                <w:rtl w:val="0"/>
              </w:rPr>
              <w:t xml:space="preserve">kas ir saskaņā ar [Regulas (ES, Euratom) 2018/1046] 136.panta minētajiem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papildinājuma būtību (t.sk. nozīmi 39.6.apakšpunkta interpretācijā) un nepieciešamību. Vēršam uzmanību tai skaitā uz noteikumu projekta anotācijā minēto, ka </w:t>
            </w:r>
            <w:r w:rsidR="00000000" w:rsidRPr="00000000" w:rsidDel="00000000">
              <w:rPr>
                <w:i w:val="1"/>
                <w:rtl w:val="0"/>
              </w:rPr>
              <w:t xml:space="preserve">"Norma precizēta atbilstoši Finanšu ministrijas un Centrālā finanšu un līgumu aģentūras skaidrojumam, kas pamatots ar Eiropas Komisijas norādīto, ka  izslēgšanas kritēriji Atveseļošanas un noturības mehānisma ietvaros var tikt pārbaudīti tāpat kā nacionālajā Eiropas Savienības struktūrfondu regulējumā. Ņemot vērā minēto, ar MK noteikumu grozījumu projektu [Regulas (ES, Euratom) 2018/1046] 136. pantā minētie izslēgšanas nosacījumi tiek </w:t>
            </w:r>
            <w:r w:rsidR="00000000" w:rsidRPr="00000000" w:rsidDel="00000000">
              <w:rPr>
                <w:i w:val="1"/>
                <w:u w:val="single"/>
                <w:rtl w:val="0"/>
              </w:rPr>
              <w:t xml:space="preserve">aizstāti </w:t>
            </w:r>
            <w:r w:rsidR="00000000" w:rsidRPr="00000000" w:rsidDel="00000000">
              <w:rPr>
                <w:i w:val="1"/>
                <w:rtl w:val="0"/>
              </w:rPr>
              <w:t xml:space="preserve">ar izslēgšanas noteikumiem, kas noteikti Eiropas Savienības fondu 2021.—2027. gada plānošanas perioda vadības likuma 22. pantā.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atsauci uz regulu svītrot un jauno izslēgšanas kritēriju sasaisti ar regulas 136.pantu nepieciešamības gadījumā skaidrot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laikā vienojāmies ar A.Reinfeldi par redakcijas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un 4. punktu (noteikumu 39.6. apakšpunktu un 39.</w:t>
            </w:r>
            <w:r w:rsidR="00000000" w:rsidRPr="00000000" w:rsidDel="00000000">
              <w:rPr>
                <w:vertAlign w:val="superscript"/>
                <w:rtl w:val="0"/>
              </w:rPr>
              <w:t xml:space="preserve">1</w:t>
            </w:r>
            <w:r w:rsidR="00000000" w:rsidRPr="00000000" w:rsidDel="00000000">
              <w:rPr>
                <w:rtl w:val="0"/>
              </w:rPr>
              <w:t xml:space="preserve"> punktu) saskaņā ar vienošanos, kas tika panākta 13.01.2022. starpinstitūciju saskaņošanas sanāksmē. Proti, tika panākta vienošanās, ka, ņemot vērā arī Eiropas Komisijas sniegto viedokli, izslēgšanas nosacījumi noteikumos iekļaujami analoģiski Eiropas Savienības fondu 2021.—2027. gada plānošanas perioda vadības likuma 22. pantā iekļautajam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nepieciešams precizēt noteikumu projektā izteikto 39.6.1.6.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laikā vienojoties ar TM, 39.6.1.6.apakšpunkts tiek izteiks redakcijā -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papildus pamatot noteikumu projekta 39.6.apakšpunktā paredzētos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noteikumu 39.6.apakšpunktā minētie izslēgšanas noteikumi, kas izriet no</w:t>
            </w:r>
            <w:r w:rsidR="00000000" w:rsidRPr="00000000" w:rsidDel="00000000">
              <w:rPr>
                <w:i w:val="1"/>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rtl w:val="0"/>
              </w:rPr>
              <w:t xml:space="preserve">(turpmāk - Finanšu regula), 136.panta, it īpaši tā 1.punkta, ir plašāki, nekā noteikumu projektā paredzētie.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nepieciešamību sašaurināt izslēgšanas noteikumus, kā arī skaidrot nepieciešamību būtiski grozīt izslēgšanas noteikumus investīcijas īstenošanas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Finanšu regulas 136.panta 1.punkta d) apakšpunkta vi) punktu, papildināt 39.6.1.apakšpunktu ar normu, kas liegtu saņemt atbalstu, ja ir konstatēti pārkāpumi saistībā ar bērnu darbu vai cilvēku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39.6.5. preču un vielu, kuru aprite ir aizliegta vai speciāli reglamentēta, pārvietošana pāri Latvijas Republikas valsts robežai;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 pēc atkārtotās saskaņošanas pievienoto kritēriju un nepieciešamības gadījumā precizēt, piemēram, paredzot, ka minētajam pārkāpumam jābūt konstatētam ar spēkā stājušos tiesas spriedumu vai prokurora priekšrakstu par sodu (fiziskai personai), vai prokurora priekšrakstu par piespiedu ietekmēšanas līdzekļa piemērošanu (juridiskai personai). Veŗšam uzmanību, ka attiecīgs noziedzīgs nodarījums paredzēts Krimināllikuma 190.</w:t>
            </w:r>
            <w:r w:rsidR="00000000" w:rsidRPr="00000000" w:rsidDel="00000000">
              <w:rPr>
                <w:vertAlign w:val="superscript"/>
                <w:rtl w:val="0"/>
              </w:rPr>
              <w:t xml:space="preserve">1</w:t>
            </w:r>
            <w:r w:rsidR="00000000" w:rsidRPr="00000000" w:rsidDel="00000000">
              <w:rPr>
                <w:rtl w:val="0"/>
              </w:rPr>
              <w:t xml:space="preserve">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39.6.6. neatļauta piedalīšanās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šo pēc atkārtotās saskaņošanas pievienoto kritēriju, proti, vērtēt, vai šāds uz </w:t>
            </w:r>
            <w:r w:rsidR="00000000" w:rsidRPr="00000000" w:rsidDel="00000000">
              <w:rPr>
                <w:u w:val="single"/>
                <w:rtl w:val="0"/>
              </w:rPr>
              <w:t xml:space="preserve">komersantu</w:t>
            </w:r>
            <w:r w:rsidR="00000000" w:rsidRPr="00000000" w:rsidDel="00000000">
              <w:rPr>
                <w:rtl w:val="0"/>
              </w:rPr>
              <w:t xml:space="preserve"> attiecināms kritērijs ir iekļaujams noteikumu projektā. Vēršam uzmanību, ka Krimināllikuma 326.pantā "Neatļauta piedalīšanās mantiskos darījumos" paredzētā noziedzīgā nodarījuma sastāva subjekts ir </w:t>
            </w:r>
            <w:r w:rsidR="00000000" w:rsidRPr="00000000" w:rsidDel="00000000">
              <w:rPr>
                <w:u w:val="single"/>
                <w:rtl w:val="0"/>
              </w:rPr>
              <w:t xml:space="preserve">valsts amatpersona</w:t>
            </w:r>
            <w:r w:rsidR="00000000" w:rsidRPr="00000000" w:rsidDel="00000000">
              <w:rPr>
                <w:rtl w:val="0"/>
              </w:rPr>
              <w:t xml:space="preserve">. Nav skaidrs, kā šis kritērijs tiks attiecināts uz komersantu (vai komersanta valdes vai padomes locekli vai prokūristu, vai persona, kura ir pilnvarota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noteikumu projektā paredzētā 39.</w:t>
            </w:r>
            <w:r w:rsidR="00000000" w:rsidRPr="00000000" w:rsidDel="00000000">
              <w:rPr>
                <w:vertAlign w:val="superscript"/>
                <w:rtl w:val="0"/>
              </w:rPr>
              <w:t xml:space="preserve">1</w:t>
            </w:r>
            <w:r w:rsidR="00000000" w:rsidRPr="00000000" w:rsidDel="00000000">
              <w:rPr>
                <w:rtl w:val="0"/>
              </w:rPr>
              <w:t xml:space="preserve">punkta nepieciešamības un proporcionalitātes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noteikumu projektā paredzēto jauno 39.</w:t>
            </w:r>
            <w:r w:rsidR="00000000" w:rsidRPr="00000000" w:rsidDel="00000000">
              <w:rPr>
                <w:vertAlign w:val="superscript"/>
                <w:rtl w:val="0"/>
              </w:rPr>
              <w:t xml:space="preserve">1</w:t>
            </w:r>
            <w:r w:rsidR="00000000" w:rsidRPr="00000000" w:rsidDel="00000000">
              <w:rPr>
                <w:rtl w:val="0"/>
              </w:rPr>
              <w:t xml:space="preserve">2. apakšpunktu komersantu neizslēdz no Eiropas Savienības (turpmāk - ES) atbalsta saņemšanas, ja tiesas spriedums vai citas attiecīgā jomā kompetentas institūcijas pieņemtais lēmums saistībā ar šo noteikumu 39.6.3. apakšpunktā minētajiem pārkāpumiem, līdz aizdevuma pieteikuma iesniegšanas dienai ir pagājuši 12 mēneši. Minētais 39.6.3.apakšpunkts paredz, ka komersants nevar saņemt aizdevumu, ja tas ar  komersants ar spēkā stājušos kompetentas institūcijas lēmumu vai tiesas spriedumu ir atzīts par vainīgu konkurences tiesību pārkāpumā, kas izpaužas kā vertikālā vienošanās, kuras mērķis ir ierobežot pircēja iespēju noteikt tālākpārdošanas cenu, vai horizontālā karteļa vienošanās (..). Respektīvi, arī gadījumā, ja komersants atzīts par vainīgu būtiskā konkurences tiesību pārkāpumā, tas tomēr gadu pēc pārkāpuma ir tiesīgs atkal pretendēt uz ES finanšu atbalstu, neizvirzot nekādus papildus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piemēram, Finanšu regulas 136.panta 3., 6. un 7.punktā ietverto regulējumu, secināms, ka izslēgšanas pasākumi piekļuvei ES finanšu līdzekļiem nav laikā neierobežoti. Tomēr no regulas izriet arī tas, ka atļauja turpmāk saņemt ES atbalstu ir atkarīga no komersanta aktīvas līdzdalības pārkāpumu novēršanā (piemēram, persona vai subjekts ir veicis  korektīvus pasākumus; izslēgšanas kritēriju var nepiemērot, ja tas ir absolūti nepieciešams, lai nodrošinātu darbības nepārtrauktību – uz ierobežotu laikposmu un kamēr tiek pieņemtminētie korektīvie pasākumi), vai arī, ja izslēgšana būtu nesamērīga, ņemot vērā, piemēram, situācijas nopietnību, tostarp ietekmi uz Savienības finanšu interesēm un reputāciju, laiku, kas pagājis kopš attiecīgās prettiesiskās rīcības, prettiesiskās rīcības ilgumu un tās atkārtošano, to, vai rīcība bijusi tīša, vai pieļautās neuzmanības pakāpi,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šobrīd nav sniegts nekāds pamatojums 39.</w:t>
            </w:r>
            <w:r w:rsidR="00000000" w:rsidRPr="00000000" w:rsidDel="00000000">
              <w:rPr>
                <w:vertAlign w:val="superscript"/>
                <w:rtl w:val="0"/>
              </w:rPr>
              <w:t xml:space="preserve">1</w:t>
            </w:r>
            <w:r w:rsidR="00000000" w:rsidRPr="00000000" w:rsidDel="00000000">
              <w:rPr>
                <w:rtl w:val="0"/>
              </w:rPr>
              <w:t xml:space="preserve"> punkta nepieciešamībai, tajā noteikto termiņu proporcionalitātei vai papildu kritēriju neesamībai (piemēram, tādu kritēriju, kas atspoguļotu FInanšu regulas 136.panta mērķi - novērst negodprātīgu ES līdzekļu izmantošanu). Nav arī pamatots, kāpēc noilgums par tai skaitā smagu noziegumu izdarīšanu nav samērots, piemēram, ar Krimināllikumā noteiktajiem sodāmības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attiecīgu pamatojumu, nepieciešamības gadījumā precizējot vai svītrojot noteikumu projekta 4.punktā paredzēto 39.</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izsaka 39.11. un 39.12. apakšpunktus jaunā redakcijā, pamatojoties uz Finanšu regulas 139.panta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regulas 139.panta 1.punkta b) apakšpunkta i) punktu komersantus, kuri veica pārkāpumus, kas ir saistīti ar Finanšu regulas 136.panta 1.punkta d) apakšpunktā noteiktajiem gadījumiem (krāpšana, korupcija un nelikumīgi iegūtu līdzekļu legalizēšana vai teroristu finansēšana), nedrīkst atbalstīt vismaz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Finanšu regulas 136.panta 1.punkta c) un e)–h) apakšpunktos noteiktajos gadījumos piemērojams trīs gadu atbalsta 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39.1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izsaka 39.</w:t>
            </w:r>
            <w:r w:rsidR="00000000" w:rsidRPr="00000000" w:rsidDel="00000000">
              <w:rPr>
                <w:vertAlign w:val="superscript"/>
                <w:rtl w:val="0"/>
              </w:rPr>
              <w:t xml:space="preserve">1</w:t>
            </w:r>
            <w:r w:rsidR="00000000" w:rsidRPr="00000000" w:rsidDel="00000000">
              <w:rPr>
                <w:rtl w:val="0"/>
              </w:rPr>
              <w:t xml:space="preserve">1. un 39.</w:t>
            </w:r>
            <w:r w:rsidR="00000000" w:rsidRPr="00000000" w:rsidDel="00000000">
              <w:rPr>
                <w:vertAlign w:val="superscript"/>
                <w:rtl w:val="0"/>
              </w:rPr>
              <w:t xml:space="preserve">1</w:t>
            </w:r>
            <w:r w:rsidR="00000000" w:rsidRPr="00000000" w:rsidDel="00000000">
              <w:rPr>
                <w:rtl w:val="0"/>
              </w:rPr>
              <w:t xml:space="preserve">2. apakšpunktus jaunā redakcijā, pamatojoties uz Finanšu regulas 139.panta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Iekšlietu ministrijas Informācijas centrs (Sodu reģistrs) sniedz ziņas par minētajiem Krimināllikuma, Konkurences likuma, Imigrācijas likuma, Darba likuma un likuma Par nodokļiem un nodevām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reģistra likuma 19.panta pirmās daļas 1.punkts noteic  privātpersonas tiesības pieprasīt un saņemt ziņas no reģistra, proti, tai ir tiesības pieprasīt un saņemt reģistrā iekļautās un Eiropas Savienības dalībvalsts centrālās iestādes rīcībā esošās ziņas par sevi, kā arī personu darbību regulējošos ārējos normatīvajos aktos noteiktajos gadījumos un apjomā. Savukārt minētā panta pirmās daļas 3.punkts noteic iestādes tiesības pieprasīt un saņemt reģistrā iekļautās ziņas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ir nostiprināms nevis pienākums Iekšlietu ministrijas Informācijas centram sniegt attiecīgas ziņas no Sodu reģistra, bet gan akciju sabiedrības “Attīstības finanšu institūcija Altum” tiesības iegūt informāciju no Iekšlietu ministrijas Informācijas centra pārziņā esošās valsts informācijas sistēmas “Sodu reģistrs”, tādējādi nosakot gadījumus un ziņu apjomu, kad akciju sabiedrības “Attīstības finanšu institūcija Altum” varēs iegūt ziņas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 </w:t>
            </w:r>
            <w:r w:rsidR="00000000" w:rsidRPr="00000000" w:rsidDel="00000000">
              <w:rPr>
                <w:rtl w:val="0"/>
              </w:rPr>
              <w:t xml:space="preserve">Sabiedrība "Altum" par šo noteikumu 39.6.1., 39.6.2. un 39.6.3.apakšpunktā noteiktajiem gadījumiem ziņas iegūst no Iekšlietu ministrijas Informācijas centra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39</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punkts izteikts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Sabiedrība "Altum" par šo noteikumu 39.6.1., 39.6.2. un 39.6.3. apakšpunktā noteiktajiem gadījumiem ziņas iegūst no Iekšlietu ministrijas Informācijas centra pārziņā esošās valsts informācijas sistēmas “Sodu reģistrs”. Informāciju par šo noteikumu 39.6.3.apakšpunktā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izteikto iebildumu izziņas 17.punktā. Vēršam uzmanību, ka vienam aizdevumam kopējo subsīdijas ekvivalentu veido kapitāla atlaide un aizdevuma vai paralēlā aizdevuma daļas, kas pārsniedz piešķirtās kapitāla atlaides apjomu, procentlikmju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57.2.1.apakšpunktā ir noteikts, ka subsīdijas ekvivalents ir kapitāla atlaide, savukārt 57.2.2. un 57.2.3. apakšpunktos ir noteikts, ka subsīdijas ekvivalents ir faktiski piemērojamo procentu summa, atskaitot no procentu summas, kura jāmaksā saskaņā ar Eiropas Komisijas konkrētajam periodam noteikto bāzes likmi, kā arī riska likmi. Līdz ar to, lai nodrošinātu, ka noteikumu projekta 57.2.apakšpunkta ievaddaļā jau sākotnēji ir skaidri noteikts, kuras subsīdijas ekvivalenta daļas jāsummē, atkārtoti lūdzam precizēt Noteikumu 57.2.apakšpunktu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kapitāla atlaides un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57.2.apakšpunktu izteikusi jaunā redakcijā, pamatojoties uz vienošanos, kas tika panākta saskaņošanas procesā  ar Gunitu Galausku.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sabiedrības “Altum” aizdevuma vai paralēlā aizdevuma daļas, kas ir vienāda ar piešķirto kapitāla atlaidi, un sabiedrības “Altum” aizdevuma vai paralēlā aizdevuma daļas, kas pārsniedz piešķirtās kapitāla atlaides apjomu, subsīdijas ekvivalenta 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w:t>
            </w:r>
            <w:r w:rsidR="00000000" w:rsidRPr="00000000" w:rsidDel="00000000">
              <w:rPr>
                <w:b w:val="1"/>
                <w:rtl w:val="0"/>
              </w:rPr>
              <w:t xml:space="preserve"> </w:t>
            </w:r>
            <w:r w:rsidR="00000000" w:rsidRPr="00000000" w:rsidDel="00000000">
              <w:rPr>
                <w:rtl w:val="0"/>
              </w:rPr>
              <w:t xml:space="preserve">un nosaka</w:t>
            </w:r>
            <w:r w:rsidR="00000000" w:rsidRPr="00000000" w:rsidDel="00000000">
              <w:rPr>
                <w:b w:val="1"/>
                <w:rtl w:val="0"/>
              </w:rPr>
              <w:t xml:space="preserve"> </w:t>
            </w:r>
            <w:r w:rsidR="00000000" w:rsidRPr="00000000" w:rsidDel="00000000">
              <w:rPr>
                <w:rtl w:val="0"/>
              </w:rPr>
              <w:t xml:space="preserve">summējot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skaidrībai lūdzam precizēt Noteikumu 57.2.apakšpunktu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w:t>
            </w:r>
            <w:r w:rsidR="00000000" w:rsidRPr="00000000" w:rsidDel="00000000">
              <w:rPr>
                <w:u w:val="single"/>
                <w:rtl w:val="0"/>
              </w:rPr>
              <w:t xml:space="preserve">kapitāla atlaides un</w:t>
            </w:r>
            <w:r w:rsidR="00000000" w:rsidRPr="00000000" w:rsidDel="00000000">
              <w:rPr>
                <w:rtl w:val="0"/>
              </w:rPr>
              <w:t xml:space="preserve">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nav nošķirama kā atsevišķa daļa no aizdevuma vai paralēlā aizdevuma. Kapitāla atlaide ir finansiālā apmērā izsakāma aizdevuma vai paralēlā aizdevuma pamatsummas daļa, kuru ir iespējams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57.2.1., 57.2.2. un 57.2.3. apakšpunktos jau tiek izteiktas aizdevuma un paralēlā aizdevuma daļas – 1) daļa, kas ir vienāda ar piešķirto kapitāla atlaides apmēru, un 2) daļa, kas pārsniedz piešķirto kapitāla atlaides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sabiedrības “Altum” aizdevuma vai paralēlā aizdevuma daļas, kas ir vienāda ar piešķirto kapitāla atlaidi, un sabiedrības “Altum” aizdevuma vai paralēlā aizdevuma daļas, kas pārsniedz piešķirtās kapitāla atlaides apjomu, subsīdijas ekvivalenta 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 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nodrošinot ne mazāk kā vienu konferenci šo noteikumu 4</w:t>
            </w:r>
            <w:r w:rsidR="00000000" w:rsidRPr="00000000" w:rsidDel="00000000">
              <w:rPr>
                <w:vertAlign w:val="superscript"/>
                <w:rtl w:val="0"/>
              </w:rPr>
              <w:t xml:space="preserve">1</w:t>
            </w:r>
            <w:r w:rsidR="00000000" w:rsidRPr="00000000" w:rsidDel="00000000">
              <w:rPr>
                <w:rtl w:val="0"/>
              </w:rPr>
              <w:t xml:space="preserve">. punkta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stratēģiski svarīgiem projektiem nepieciešami pastiprināti komunikācijas pasākumi, attiecīgi lūdzam papildināt noteikumu projektu atbilstoši Finanšu ministrijas vadlīniju nr. 1 "Vadlīnijas informatīvā ziņojuma vai Ministru kabineta noteikumu izstrādei par Eiropas Savienības Atveseļošanas un noturības mehānisma plāna reformas vai investīcijas ieviešanu" 84. punktam. Papildus lūdzam precizēt arī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w:t>
            </w:r>
            <w:r w:rsidR="00000000" w:rsidRPr="00000000" w:rsidDel="00000000">
              <w:rPr>
                <w:b w:val="1"/>
                <w:u w:val="single"/>
                <w:rtl w:val="0"/>
              </w:rPr>
              <w:t xml:space="preserve"> pastiprinātus</w:t>
            </w:r>
            <w:r w:rsidR="00000000" w:rsidRPr="00000000" w:rsidDel="00000000">
              <w:rPr>
                <w:rtl w:val="0"/>
              </w:rPr>
              <w:t xml:space="preserve">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tai skaitā nodrošinot ne mazāk kā vienu konferenci šo noteikumu 4</w:t>
            </w:r>
            <w:r w:rsidR="00000000" w:rsidRPr="00000000" w:rsidDel="00000000">
              <w:rPr>
                <w:vertAlign w:val="superscript"/>
                <w:rtl w:val="0"/>
              </w:rPr>
              <w:t xml:space="preserve">1</w:t>
            </w:r>
            <w:r w:rsidR="00000000" w:rsidRPr="00000000" w:rsidDel="00000000">
              <w:rPr>
                <w:rtl w:val="0"/>
              </w:rPr>
              <w:t xml:space="preserve">. punkta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 nodrošina</w:t>
            </w:r>
            <w:r w:rsidR="00000000" w:rsidRPr="00000000" w:rsidDel="00000000">
              <w:rPr>
                <w:b w:val="1"/>
                <w:rtl w:val="0"/>
              </w:rPr>
              <w:t xml:space="preserve"> </w:t>
            </w:r>
            <w:r w:rsidR="00000000" w:rsidRPr="00000000" w:rsidDel="00000000">
              <w:rPr>
                <w:rtl w:val="0"/>
              </w:rPr>
              <w:t xml:space="preserve">pastiprinātus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nodrošinot ne mazāk kā vienu konferenci šo noteikumu 4</w:t>
            </w:r>
            <w:r w:rsidR="00000000" w:rsidRPr="00000000" w:rsidDel="00000000">
              <w:rPr>
                <w:vertAlign w:val="superscript"/>
                <w:rtl w:val="0"/>
              </w:rPr>
              <w:t xml:space="preserve">1</w:t>
            </w:r>
            <w:r w:rsidR="00000000" w:rsidRPr="00000000" w:rsidDel="00000000">
              <w:rPr>
                <w:rtl w:val="0"/>
              </w:rPr>
              <w:t xml:space="preserve">. punkta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iekļauj informāciju, ka neatbalsta iniciatīvas, kas nodara būtisku kaitējumu. Šī apakšpunkta prasību ievērošana jānodrošina visa gala labuma guvēja investīciju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Padomes Īstenošanas lēmuma par Latvijas atveseļošanas un noturības plāna novērtējuma apstiprināšanu, pie 2.2.1.4i. investīcija "Finanšu instrumenti komersantu digitālās transformācijas veicināšanai" noteikto: </w:t>
            </w:r>
            <w:r w:rsidR="00000000" w:rsidRPr="00000000" w:rsidDel="00000000">
              <w:rPr>
                <w:i w:val="1"/>
                <w:rtl w:val="0"/>
              </w:rPr>
              <w:t xml:space="preserve">lai nodrošinātu, ka pasākums atbilst Tehniskajiem norādījumiem par principa “nenodarīt būtisku kaitējumu” piemērošanu (2021/C58/01), ar atbilstības kritērijiem, kas ietverti darba uzdevumā gaidāmajiem uzaicinājumiem iesniegt projektus, izslēdz šādu darbību sarakstu: i) darbības, kas saistītas ar fosilo kurināmo, tostarp pakārtotu izmantošanu; ii) darbības ES emisijas kvotu tirdzniecības sistēmas (ETS) ietvaros, kas panāk tādu prognozēto siltumnīcefekta gāzu emisiju līmeni, kas nav zemāks par attiecīgajām līmeņatzīmēm; iii) darbības, kas saistītas ar atkritumu poligoniem, incineratoriem un mehāniski bioloģiskās apstrādes iekārtām; un iv) darbības, kuru rezultātā atkritumu ilgtermiņa apglabāšana var radīt kaitējumu videi. Darba uzdevumā papildus nosaka, ka var izvēlēties tikai tās darbības, kas atbilst attiecīgajiem ES un valsts tiesību aktiem vides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spēkā esošā 2.2.1.4.i investīcijas īstenošanas noteikumu 62.11., 62.12., 62.13. un 62.14.apakšpunkta redakcija ir labāk piemērota nekā jaunā 62.punkta redakcija.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62.punkts koriģēts, pārceļot 62.3., 62.5., 62.8. un 62.9. puntus uz 62</w:t>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slēdzot līgumu par investīciju projekta īstenošanu iekļauj informāciju, ka neatbalsta iniciatīvas, kas nodara būtisku kaitējumu. Šī punkta prasību ievērošana jānodrošina visa gala labuma guvēja investīciju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62.4.3. Komisijas regulas Nr. 651/2014 13. panta "c", "d" apakšpunktā noteiktajās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noteikumu projekta punktu, jo Komisijas regulas Nr.651/2014 13.panta c apakšpunkts uzliek nosacījumu uz šiem pašiem noteikumu nosacījumiem, nevis to, ka šis nosacījums būtu pārbaudāms uz atbalsta saņēmēju, t.i., atbalsta programma pati par sevi nav paredzēta ierobežotam skaitam konkrētu saimnieciskās darbības nozaru (netiek aptvertas mazāk kā piecas NACE 2 red. statistiskās klasifikācijas klases). Savukārt, Komisijas regulas Nr.651/2014 13.panta d apakšpunkts attiecas uz darbības atbalstu, kas šajā gadījumā nav attiecināms, jo noteikumu projekta ietvaros tiek paredzēts ieguldījumu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norma dzēsta pēc sarunas ar G.Galausku.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Atbalsts gala labuma guvējam netiek sniegts, ja tas darbojas: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kā neatbalstāmas finanšu un apdrošināšanas darbības (NACE 2. red. K sadaļa "Finanšu un apdrošināšanas darbības"). Vai lūdzam anotācijas 1.3.sadaļā sniegt pamatojumu, kāpēc šīs darbības AF ietvaros būtu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papildināts ar 62.</w:t>
            </w:r>
            <w:r w:rsidR="00000000" w:rsidRPr="00000000" w:rsidDel="00000000">
              <w:rPr>
                <w:vertAlign w:val="superscript"/>
                <w:rtl w:val="0"/>
              </w:rPr>
              <w:t xml:space="preserve">1</w:t>
            </w:r>
            <w:r w:rsidR="00000000" w:rsidRPr="00000000" w:rsidDel="00000000">
              <w:rPr>
                <w:rtl w:val="0"/>
              </w:rPr>
              <w:t xml:space="preserve">10.3.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Atbalsts netiek sniegts šādām darbībām, nozarēm, iekārtām un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ar šiem grozījumiem pārņem </w:t>
            </w:r>
            <w:r w:rsidR="00000000" w:rsidRPr="00000000" w:rsidDel="00000000">
              <w:rPr>
                <w:rtl w:val="0"/>
              </w:rPr>
              <w:t xml:space="preserve">š.g. 9.martā Eiropas Komisijas apstiprinātos grozījumus Komisijas regulā Nr.651/2014, taču grozījumi Komisijas regulā Nr.651/2014 vēl nav stājušies spēkā, lūdzam noteikumos paredzēt pārejas nosacījumus, kas nodrošina, ka normas, kas pārņemtas ar Komisijas regulas Nr.651/2014 grozījumiem, stāsies spēkā pēc tam, kad stāsies spēkā grozījumi Komisijas regulā Nr.651/2014, t.i., nākamajā dienā pēc to publicēšanas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projektu VI.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Pārejas periods piemērots Eiropas Komisijas apstiprinātos grozījumus Komisijas regulā Nr.651/2014, līdz brīdim, kad tie stāsies spēkā, nākamajā dienā pēc to publicēšanas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20.'punktā izteikto 65. punktu, jo no tā pašreizējās redakcijas nav saprotams tiesiskā regulējuma saturs. Tai skaitā nav saprotams, kas ir "pārejas periods" un kāds ir "pārejas periods", kam to piemēro, kāds 65. punktam ir sakars ar pārējo noteikumu projektu, kāpēc Ministru kabineta noteikumos tiek regulēti Eiropas Savienības regulu spēkā stāšanās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65.punkts.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Pārejas periods piemērots Eiropas Komisijas apstiprinātos grozījumus Komisijas regulā Nr.651/2014, līdz brīdim, kad tie stāsies spēkā, nākamajā dienā pēc to publicēšanas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izpratnei aicinām izteikt noteikumu projekta 65.punktu,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Šo noteikumu normas, kas pārņemtas ar Komisijas regulas Nr.651/2014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65.punkts</w:t>
            </w:r>
            <w:r w:rsidR="00000000" w:rsidRPr="00000000" w:rsidDel="00000000">
              <w:rPr>
                <w:b w:val="1"/>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nodaļā "Risinājuma apraksts" 2.2. un 5.punktus atbilstoši noteikumu projekta 11.punktā ietvertajam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punkti precizēti atbilstoši grozījumu projekta 11.punktam.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sniegto skaidrojumu par to, </w:t>
            </w:r>
            <w:r w:rsidR="00000000" w:rsidRPr="00000000" w:rsidDel="00000000">
              <w:rPr>
                <w:i w:val="1"/>
                <w:rtl w:val="0"/>
              </w:rPr>
              <w:t xml:space="preserve">ka 2.2.1.4.i investīcijas ietvaros nav nepieciešams cita finansētāja atteikuma saņemšana, lai saņemtu sabiedrības “Altum” aizdevumu</w:t>
            </w:r>
            <w:r w:rsidR="00000000" w:rsidRPr="00000000" w:rsidDel="00000000">
              <w:rPr>
                <w:rtl w:val="0"/>
              </w:rPr>
              <w:t xml:space="preserve">, norādot no kā izriet, ka šobrīd 2.2.1.4.i investīcijas ietvaros šāda atteikuma saņemšana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svītrot anotācijas 1.3.sadaļā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Izaugsmes, konkurētspējas un produktivitātes  (IKP) tematiskās komitejas 2023.gada 17.augusta sēdē tika nolemts - ar mērķi veicināt finansējuma pieejamību Latvijā - noteiktās sabiedrības Altum programmās kā obligātu prasību nenoteikt cita finansētāja atteikuma saņemšana, lai saņemtu sabiedrības “Altum” aizdevumu. IKP lēmums cita starpā attiecas arī uz MK Npoteikumiem Nr.421. Ņemot vērā, ka MK Noteikumu Nr.421 anotācijā, kas apstiprināta līdz ar šo apstiprināšanu Ministru kabinetā 2022.gada 5.jūnijā, tika sniegts skaidrojums, ka šāda prasība būtu obligāta, tad līdz ar šo anotāciju tiek skaidrots IKP apstiprnātais lēmums par turpmāku pieeju. Vienlaikus minētā pieeja neliedz sabiedrībai Altum sniegt atbalstu sadarbībā ar komercbankām, jo finansēšanas modelis līdz ar šo MK Noteikumu projektu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1.3.apakšpunktā ietverto tiesību aktu normu uzskaitījumu, par kuros paredzētajiem noziedzīgiem nodarījumiem un administratīvajiem pārkāpumiem komersants vai persona, kura ir komersanta valdes vai padomes loceklis vai prokūrists, vai persona, kura ir pilnvarota pārstāvēt komersantu ar filiāli saistītās darbībā (turpmāk –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preču un vielu, kuru aprite ir aizliegta vai speciāli reglamentēta, pārvietošanu pāri Latvijas Republikas valsts robežai (Krimināllikuma 190.1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neatļautu piedalīšanos mantiskos darījumos (Krimināllikuma 326.pants);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informatīvo deklarāciju iesniegšanas termiņu neievērošanu, nodokļu normatīvajos aktos noteiktajā termiņā neiesniedzot par šo personu informatīvo deklarāciju par darbiniekiem, kas iesniedzama par personām, kuras uzsāk darbu (likuma “Par nodokļiem un nodevām” 142.panta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un anotācija precizēta pēc ieteiktā priekšlikuma.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1.3.apakšpunktā ietverto tiesību aktu normu uzskaitījumu, par kuros paredzētajiem noziedzīgiem nodarījumiem un administratīvajiem pārkāpumiem komersants vai persona, kura ir komersanta valdes vai padomes loceklis vai prokūrists, vai persona, kura ir pilnvarota pārstāvēt komersantu ar filiāli saistītās darbībā (turpmāk –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norādīts, ka persona nevar būt sodīta par starpniecību kukuļošanā (Krimināllikuma 322.pants);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apdrošināšanas krāpšanu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norādīts, ka persona nevar būt sodīta par preču un vielu, kuru aprite ir aizliegta vai speciāli reglamentēta, pārvietošanu pāri Latvijas Republikas valsts robežai (Krimināllikuma 190.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norādīts, ka persona nevar būt sodīta par neatļautu piedalīšanos mantiskos darījumos (Krimināllikuma 326.pants);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norādīts, ka persona nevar būt sodīta par informatīvo deklarāciju iesniegšanas termiņu neievērošanu, nodokļu normatīvajos aktos noteiktajā termiņā neiesniedzot par šo personu informatīvo deklarāciju par darbiniekiem, kas iesniedzama par personām, kuras uzsāk darbu (likuma “Par nodokļiem un nodevām” 142.panta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1.3.apakšpunktā vārdus “Sodu reģistrā” ar vārdiem “Iekšlietu ministrijas Informācijas centra pārziņā esošajā valsts informācijas sistēmā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1.3.apakšpunktu, norādot Iekšlietu ministrijas Informācijas centra pārziņā esošajā valsts informācijas sistēmā “Sodu reģistrs”” ietverto ziņu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labota ar norādi, ka informācija tiks saņemta izziņas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anotācijas 1.3.apakšpunktā norādīto informāciju, ka "MK noteikumu projekts neparedz ietekmi</w:t>
            </w:r>
            <w:r w:rsidR="00000000" w:rsidRPr="00000000" w:rsidDel="00000000">
              <w:rPr>
                <w:u w:val="single"/>
                <w:rtl w:val="0"/>
              </w:rPr>
              <w:t xml:space="preserve"> šobrīd iesniegtiem pieteikumiem</w:t>
            </w:r>
            <w:r w:rsidR="00000000" w:rsidRPr="00000000" w:rsidDel="00000000">
              <w:rPr>
                <w:rtl w:val="0"/>
              </w:rPr>
              <w:t xml:space="preserve">, jo atbalsta programma un aizdevumu </w:t>
            </w:r>
            <w:r w:rsidR="00000000" w:rsidRPr="00000000" w:rsidDel="00000000">
              <w:rPr>
                <w:u w:val="single"/>
                <w:rtl w:val="0"/>
              </w:rPr>
              <w:t xml:space="preserve">pieteikumu pieņemšana vēl nav uzsākta</w:t>
            </w:r>
            <w:r w:rsidR="00000000" w:rsidRPr="00000000" w:rsidDel="00000000">
              <w:rPr>
                <w:rtl w:val="0"/>
              </w:rPr>
              <w:t xml:space="preserve">", jo apgalvojums šādā formulējumā ir pretrunīgs.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39.6. apakšpunktu, uzskaitot izslēgšanas kritērijus, kuri nevar būt attiecināmi uz komersantu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noteikumu projektā un tā sākotnējās ietekmes (ex-ante) novērtējuma ziņojumā (turpmāk – anotācija) nav norādīts, no kāda informācijas avota tiks saņemta minētā informācija, kā arī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pārbaudītu, vai komersants atbilst noteikumu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3.punktā ietverto informāciju paredzēts iegūt no valsts informācijas sistēmas “Sodu reģistrs”, tad tiesiskās noteiktības nodrošināšanai, kā arī, lai Iekšlietu ministrijas Informācijas centrs ievērotu datu apstrādes minimizēšanas principu, sniedzot ziņas par administratīvajiem pārkāpumiem vai noziedzīgiem nodarījumiem, precizēt projektu vai anotāciju, norādot projekta 3.punktā ietvertās informācijas avotu un tās saņemšanas veidu, kā arī attiecīgo nozari regulējošo likumu un Krimināllikuma pantus, par kuros paredzētajiem administratīvajiem pārkāpumiem un noziedzīgajiem nodarījumiem komersants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1.3.sadaļa ar otro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39.6. apakšpunktu, uzskaitot izslēgšanas kritērijus, kuri nevar būt attiecināmi uz komersantu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un tā sākotnējās ietekmes novērtējuma ziņojumā (anotācijā) (turpmāk – anotācija) nav norādīts, no kāda informācijas avota tiks saņemta minētā informāciju, kā arī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pārbaudītu, vai komersants atbilst noteikumu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noteikumu projekta 3.punktā ietverto informāciju paredzēts iegūt no valsts informācijas sistēmas “Sodu reģistrs”, tad tiesiskās skaidrības nodrošināšanai, kā arī, lai Iekšlietu ministrijas Informācijas centrs ievērotu datu apstrādes minimizēšanas principu, sniedzot ziņas par administratīvajiem pārkāpumiem vai noziedzīgiem nodarījumiem, precizēt noteikumu projektu vai anotāciju, lūdzam norādīt noteikumu projekta 3.punktā ietvertās informācijas avotu un tās saņemšanas veidu, kā arī attiecīgo nozari regulējošo likumu un Krimināllikuma pantus, par kuros paredzētajiem administratīvajiem pārkāpumiem un noziedzīgajiem nodarījumiem pārraudzības institūcija nedrīkst būt sodīta.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1.3.sadaļa ar otro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svītrot vienu no dubultā ietvertiem teikumiem: "Tādējādi, ja, piemēram, projektā paredzēti vairāki ieguldījumi, taču tikai ar vienu no šiem ieguldījumiem tiek gūts labums ne tikai reģionā, kur ir tā atrašanās vieta, bet arī kādā no reģioniem, kur attiecīgais ieguldījums fiziski neatrodas, tad zemāka atbalsta intensitāte tiek piemērota visam projektam, nevis tikai attiecīgajam ieguldījumam".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minēts, ka ar precizējumiem MK noteikumos noteikti komersantam izdevīgāki nosacījumi, savukārt apakšsadaļas “Risinājuma apraksts” pēdējā rindkopā ir norādīts, ka MK noteikumu projekts neparedz ietekmi uz uzņēmumiem, jo atbalsta programma vēl nav uzsākta, projekti, kas vēl nav iesniegti, tiks izvērtēti MK noteiktā kārtībā, netiks radīti labvēlīgāki apstākļi. Lūdzam izvērtēt un novērst pretrunu, precizējot atbilstošo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 Ministru kabinetā apstiprināta 2022.gada 5. jūlijā, bet vēl nav uzsākta, lūdzam papildināt anotāciju, norādot iemeslus, kādēļ programma nav uzsākta, kā arī līdzšinējos un turpmāk plānotos programmas īstenošanas soļus un tiem atbilstošos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anotācijā, vai/kā noteikumu projektā ietvertie grozījumi ietekmēs MK noteikumu 9. punktā ietverto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kāda ir investīcijas plānotā kopējā ietekme (vēlams kvantitatīvā izteiksmē) uz Eiropas Savienības 2030. gadam izvirzīto klimata mērķu sasniegšanu un 2050. gadam izvirzīto klimata neitralitātes mērķu sasniegšanu. Vienlaikus lūdzam skaidrot, vai visi investīcijas ietvaros īstenotie projekti tiks klasificēti kā stratēģiski svarīgi investīciju projekti saskaņā ar Eiropas Parlamenta un Padomes 2021. gada 12. februāra Regulu ES Nr. 2021/241, ar ko izveido Atveseļošanas un noturības mehānismu. Vēršam uzmanību, ka, ņemot vērā anotācijā norādīto programmas sasaisti ar Eiropas Savienības 2030. gadam izvirzīto klimata mērķu sasniegšanu un 2050. gadam izvirzīto klimata neitralitātes mērķu sasniegšanu, būtu loģiski sniegt pamatojumu, kā tieši tas tiks nodrošināts. Vienlaikus atzīmējam, ka apstāklis, ka programma vēl nav uzsākta, neliedz prognozēt programmas ietekmi uz Eiropas savienības klimata un klimata neitralitātes mērķiem, it īpaši, ja šāda sasaiste anotācijā jau ir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w:t>
            </w:r>
            <w:r w:rsidR="00000000" w:rsidRPr="00000000" w:rsidDel="00000000">
              <w:rPr>
                <w:u w:val="single"/>
                <w:rtl w:val="0"/>
              </w:rPr>
              <w:t xml:space="preserve">investīcija uzskatāma par stratēģiski svarīgu projektu</w:t>
            </w:r>
            <w:r w:rsidR="00000000" w:rsidRPr="00000000" w:rsidDel="00000000">
              <w:rPr>
                <w:rtl w:val="0"/>
              </w:rPr>
              <w:t xml:space="preserve"> saskaņā ar Eiropas Parlamenta un Padomes 2021. gada 12. februāra Regulu ES Nr.2021/241, ar ko izveido Atveseļošanas un noturības mehānismu, un tā nodrošinās klimatneitralitāti. Vienlaikus norādam, ka netiks veikti kvantitatīvie mērījumi.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421 sākotnēji apstiprinātajā anotācijā ir uzsvērts, ka investīcijas īstenošanas laikā Eiropas Komisija sekos līdzi īstenošanas progresam, lūdzam papildināt anotāciju ar aktuālo informāciju par rādītāju sasniegšanas progresu atbilstoši MK noteikumu Nr. 421 9. punktam. Vienlaikus lūdzam skaidrot anotācijā, vai/kā noteikumu projektā ietvertie grozījumi ietekmēs MK noteikumu Nr. 421 9. punktā ietverto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atbalsta programma nav vēl uzsākta. Esošais statuss aprakstīts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ir norādīts, ka MK noteikumu projekts paredz papildināt ar 4</w:t>
            </w:r>
            <w:r w:rsidR="00000000" w:rsidRPr="00000000" w:rsidDel="00000000">
              <w:rPr>
                <w:vertAlign w:val="superscript"/>
                <w:rtl w:val="0"/>
              </w:rPr>
              <w:t xml:space="preserve">1</w:t>
            </w:r>
            <w:r w:rsidR="00000000" w:rsidRPr="00000000" w:rsidDel="00000000">
              <w:rPr>
                <w:rtl w:val="0"/>
              </w:rPr>
              <w:t xml:space="preserve">. punktu, kas nosaka, ka investīcijas ietvaros tiks īstenoti stratēģiski svarīgi investīciju projekti saskaņā ar Eiropas Parlamenta un Padomes 2021. gada 12. februāra Regulu ES Nr. 2021/241, ar ko izveido Atveseļošanas un noturības mehānismu, tādējādi palīdzot sasniegt Eiropas Savienības 2030. gadam izvirzīto klimata mērķu sasniegšanu un 2050. gadam izvirzīto klimata neitralitātes mērķu sasniegšanu un digitālo pārkārtošanos, attiecīgi sekmējot kāpjošu ekonomikas un sociālo konverģenci, atjaunojot un veicinot Savienības ekonomiku, ilgtspējīgu izaugsmi un integrāciju, kā arī radot Eiropas pievienoto vērtību. Attiecīgi lūdzam papildināt anotāciju ar informāciju, kāda ir investīcijas plānotā kopējā ietekme (vēlams kvantitatīvā izteiksmē) uz Eiropas Savienības 2030. gadam izvirzīto klimata mērķu sasniegšanu un 2050. gadam izvirzīto klimata neitralitātes mērķu sasniegšanu. Vienlaikus lūdzam skaidrot, vai visi investīcijas ietvaros īstenotie projekti tiks klasificēti kā stratēģiski svarīgi investīciju projekti saskaņā ar Eiropas Parlamenta un Padomes 2021. gada 12. februāra Regulu ES Nr. 2021/241, ar ko izveido Atveseļošanas un noturības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izziņā minēts, šobrīd atbalsta programma nav uzsākta, vienlaikus tā paredz atbalstīt investīciju projektus, kuri paredz uzņēmumu digitālo transformāciju, un to īstenošanai nepieciešamais sabiedrības “Altum” aizdevuma vai paralēlā aizdevuma apmērs nav mazāks par 100 000 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"Risinājuma apraksts" ar informāciju, ka MK noteikumu projekts paredz arī precizējumus 60.7.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papildināt noteikumu projekta punktu atbilstības izvērtējumu anotācijas V sadaļas (Tiesību akta projekta atbilstība Latvijas Republikas starptautiskajām saistībām) 1.tabulā, ņemot vērā, ka tajā nav ietverti visi noteikumu (grozījumu) projekta punkti, kuros, piemēram, ietverti Komisijas regulas Nr.651/2014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V sadaļas 1.tabula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 galam aizpildīt anotācijas 5.4.1. tabulas datu laukus attiecībā uz Komisijas Regulas Nr. 651/2014 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pamatojoties uz Komisijas regulas Nr. 1407/2013 4. pants aizpildīto piemēru, ka regula - Pārņemta pilnībā un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iekavās aiz regulas nosaukumiem atrunāt saīsinājumus ņemot vērā, ka turpmāk tabulās tiek lietoti saīsinājumi. Attiecas uz Komisijas Regulu Nr. 651/2014 un Komisijas Regulu Nr.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grozījumu projekta 1. un 2.punkta, ar kuriem groza MK noteikumu nosaukumu un izdošanas pamatojumu, nepieciešamību, ņemot vērā, ka nav veiktas izmaiņas ne noteikumu projekta nosaukumā, ne tiesību akta izdošanas pamatojumā.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informē, ka grozījumu projekta 1. un 2.punkts tehnisku iemesliu dēļ labots, labojumi nav saturiski.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digitālo transformāciju, komersantu attīstību un apgrozījuma apjoma pieaugumu, atbalstot uz produktivitātes pieaugumu vērstus ieguldījumus uzņēmējdarbības digitālās transformācijas rīkos un automatizācijā, kā arī jaunus produktu un digitālo tehnoloģiju un risinājumu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vārda “produktu” papildināt ar vārdiem “informācijas un komunikācijas tehnoloģiju”, nodrošinot precīzāku atbilstību 2.2.1.4.i investīcijas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saņemto priekšlikumu un vēlas skaidrot, ka FM ieteikumu papildināt MK noteikumu 3.punktu ar vārdiem “informācijas un komunikācijas tehnoloģiju”, noraida, jo tas sašaurinās jaunu produktu  un digitālo tehnoloģiju un risinājumu izstrādes jomas digitalās transformācijas veicināšanai.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digitālo transformāciju, komersantu attīstību un apgrozījuma apjoma pieaugumu, atbalstot uz produktivitātes pieaugumu vērstus ieguldījumus uzņēmējdarbības digitālās transformācijas rīkos un automatizācijā, kā arī jaunus produktu un digitālo tehnoloģiju un risinājumu izstrādei.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b w:val="1"/>
                <w:rtl w:val="0"/>
              </w:rPr>
              <w:t xml:space="preserve">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nosacījumu "pēc projekta pabeigšanas (iekārtu uzstādīšanas)", svītrojot nosacījumu "pēc projekta pabeigšanas" vai iekavās iekļauto nosacījumu "[pēc] iekārtu uzstādīšanas". Vēršam uzmanību, ka </w:t>
            </w:r>
            <w:r w:rsidR="00000000" w:rsidRPr="00000000" w:rsidDel="00000000">
              <w:rPr>
                <w:u w:val="single"/>
                <w:rtl w:val="0"/>
              </w:rPr>
              <w:t xml:space="preserve">projekta</w:t>
            </w:r>
            <w:r w:rsidR="00000000" w:rsidRPr="00000000" w:rsidDel="00000000">
              <w:rPr>
                <w:rtl w:val="0"/>
              </w:rPr>
              <w:t xml:space="preserve"> ietvaros veicamās darbības, kam jāatbilst, tai skaitā digitālās attīstības ceļa kartē norādītajam, var būt plašākas, nekā tikai iekārtu uzstādīšana, tāpat iekārtu uzstādīšanas un projekta pabeigšanas termiņš var nesakrist. Līdz ar to piedāvātajā redakcijā norādītais brīdis, no kura jānodrošina attiecīgs darba samaksas apjoms, šobrīd ir neviennozīmīgs.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32.2. norma precizēta pēc piedāvātā priekšlikuma.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b w:val="1"/>
                <w:rtl w:val="0"/>
              </w:rPr>
              <w:t xml:space="preserve">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alternatīvu algas kritērijam ierosinām izmantot Latvijas Investīciju un attīstības aģentūras (LIAA) vēsturisko metodiku, kas izmantota programmā “Augstas pievienotās vērtības investīcijas”, proti, aprēķināt projektos plānoto pievienoto vērtību EUR, rēķinot uz vienu darbinieku gadā. Aprēķiniem izmantot datus par investīciju struktūrvienību (kuras izveidei vai modernizācijai ir iesniegts projekts) vai uzņēmumu kopumā. Un aprēķiniem izmantot šādu formulu: </w:t>
            </w:r>
            <w:r w:rsidR="00000000" w:rsidRPr="00000000" w:rsidDel="00000000">
              <w:rPr>
                <w:b w:val="1"/>
                <w:rtl w:val="0"/>
              </w:rPr>
              <w:t xml:space="preserve">(struktūrvienības/uzņēmuma plānotā bruto peļņa + struktūrvienības / uzņēmuma darbiniekiem plānotā bruto alga + amortizācijas atskaitījumi) / plānotais struktūrvienības / uzņēmuma darbinieku skaits</w:t>
            </w:r>
            <w:r w:rsidR="00000000" w:rsidRPr="00000000" w:rsidDel="00000000">
              <w:rPr>
                <w:rtl w:val="0"/>
              </w:rPr>
              <w:t xml:space="preserve">. Izvērtēt un noteikt minimālo slieksni, piemēram, 15 000 vai 20 000 EUR uz vienu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NUTS 3. līmeņa reģionā ir 40 % lielajiem komersantiem, 50 % vidējiem komersantiem vai 60 %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Eiropas Komisija 2023.gada 24.februārī ir pieņēmusi lēmumu valsts atbalsta lietā SA.105992 (2023/N) – Grozījums Latvijas reģionālā atbalsta kartē (periodam no 2022. gada 1. janvāra līdz 2027. gada 31. decembrim) – palielinātas atbalsta intensitātes teritorijām, kas ir tiesīgas saņemt atbalstu no Taisnīgās pārkārtošanās fonda, minēto informāciju ar Finanšu ministrijas 2023.gada 28.februāra vēstuli Nr. 7-3/18/686 esam pārsūtījuši arī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apstiprinātajiem grozījumiem Latvijas reģionālajā atbalsta kartē ir apstiprināta iespēja par 10 procentpunktiem palielināt atbalsta intensitātes teritorijām, kas ir tiesīgas saņemt atbalstu no Taisnīgas pārkārtošanās fonda un šīs palielinātās atbalsta intensitātes ir piemērojamas no 2023. gada 1. marta līdz 2027. gada 31. decembrim. Attiecīgi šobrīd pēc atbilstošu nosacījumu ieviešanas konkrētā atbalsta programmā, sākot no 2023.gada 1.marta ir iespējams piemērot Ministru kabineta 2021. gada 2. novembra noteikumu Nr.729 "Noteikumi par reģionālās attīstības atbalstu Latvijas Republikā līdz 2027.gadam" 6. punktā paredzēto iespēju: “Latvijas Republikas teritorijām, kas ir tiesīgas saņemt Taisnīgas pārkārtošanās fonda atbalstu saskaņā ar Eiropas Komisijas Latvijas Republikai apstiprināto Taisnīgas pārkārtošanās teritoriālo plānu, atbalsta intensitāti var palielināt par 10 % bruto subsīdijas ekvivalenta.” Lūdzam izvērtēt nepieciešamo grozījumu veikšanu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Taisnīgas pārkārtošanās fonda atbalsta intensitātēm.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2021.gada NUTS 3 datu  reģionā ir 50% lielajiem komersantiem,  60% vidējiem komersantiem vai 70% sīkajiem (mikro) vai mazajiem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Administratīvajām teritorijām Limbažu novadā, Ogres novadā, Saulkrastu novadā un Tukuma novadā piemēro 30% lielajiem komersantiem, 40% vidējiem komersantiem vai 50%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pārliecināties, vai Pierīgas reģiona atbalsta saņēmēju izslēgšana no atbalsta saņēmēju loka ir Ekonomikas ministrijas mērķis un, pēc nepieciešamības, precizēt noteikumu projekta 35.3. un 36.3. apakšpunktu redakciju. Vēršam uzmanību, ka atbilstoši 2021.gada NUTS nomenklatūrai, Pierīga ir ne tikai Limbažu novads, Ogres novads, Saulkrastu novads un Tukuma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35.3.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Administratīvajām teritorijām Pierīgas reģionā, tai skaitā: Limbažu novadā, Ogres novadā, Saulkrastu novadā un Tukuma novadā piemēro 30% lielajiem komersantiem, 40% vidējiem komersantiem vai 50% sīkajiem (mikro) vai mazajiem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Administratīvām vienībām Limbažu novadā, Ogres novadā, Saulkrastu novadā un Tukuma novadā piemēro 30% lielajiem komersantiem, 40% vidējiem komersantiem vai 50%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noteikumu projekta 4. un 5. punktā (noteikumu 35.3. un 36.3. apakšpunktā) minētajām "administratīvām vienībām" un nepieciešamības gadījumā precizēt noteikumu projektu. Vēršam uzmanību, ka Administratīvo teritoriju un apdzīvoto vietu likumā izmantoti termini "administratīvā teritorija" un "teritoriālā iedalījuma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35.3. un 36.3.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Administratīvajām teritorijām Pierīgas reģionā, tai skaitā: Limbažu novadā, Ogres novadā, Saulkrastu novadā un Tukuma novadā piemēro 30% lielajiem komersantiem, 40% vidējiem komersantiem vai 50% sīkajiem (mikro) vai mazajiem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atbalsts tiek 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kurš attiecās uz to pašu vai līdzīgu darbību, un kuru tas pats saņēmējs (grupas līmenī) ir sācis triju gadu laikā no dienas, kad sākti darbi pie cita atbalstītā ieguldījuma tajā pašā 2021.gada NUTS 3 datu</w:t>
            </w:r>
            <w:r w:rsidR="00000000" w:rsidRPr="00000000" w:rsidDel="00000000">
              <w:rPr>
                <w:b w:val="1"/>
                <w:rtl w:val="0"/>
              </w:rPr>
              <w:t xml:space="preserve"> </w:t>
            </w:r>
            <w:r w:rsidR="00000000" w:rsidRPr="00000000" w:rsidDel="00000000">
              <w:rPr>
                <w:rtl w:val="0"/>
              </w:rPr>
              <w:t xml:space="preserve">reģionā,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tā, vai ieguldījumus veic mazs, vidējs vai liels komersants), atbalstu piešķir,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65.punkta redakciju, t.i., </w:t>
            </w:r>
            <w:r w:rsidR="00000000" w:rsidRPr="00000000" w:rsidDel="00000000">
              <w:rPr>
                <w:i w:val="1"/>
                <w:rtl w:val="0"/>
              </w:rPr>
              <w:t xml:space="preserve">ka šo noteikumu 36.[..] normas, kas pārņemtas ar Komisijas regulas Nr.651/2014 2023.gada 9.marta grozījumiem[..]</w:t>
            </w:r>
            <w:r w:rsidR="00000000" w:rsidRPr="00000000" w:rsidDel="00000000">
              <w:rPr>
                <w:rtl w:val="0"/>
              </w:rPr>
              <w:t xml:space="preserve">, attiecīgi ir secināms, ka noteikumu projekta 36.punkta apakšpunktos ir jāprecizē koriģētas atbalsta summas aprēķināšanas kārtība atbilstoši Komisijas regulas Nr.651/2014 2023.gada 9.marta grozījumu 2.panta 20.punktam. Vienlaikus Ekonomikas ministrija var paredzēt stingrākus nosacījumus un saglabāt esošo kārtību, papildinot anotāciju, ka noteikumu projekta 36.punkts paredz stingrākas prasības. Papildus šajā normā lūdzam ietvert sasaisti ar Komisijas regulas 2.panta 50.punktu, kas skaidro terminu "tā pati vai līdzīga darbība". Lūdzam atbilstoši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atbalsts tiek 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kurš attiecās uz to pašu vai līdzīgu darbību atbilstoši Komisijas regulas Nr. 651/2014 2. panta 50. punktā noteiktajai definīcijai, un kuru tas pats saņēmējs (grupas līmenī) ir sācis triju gadu laikā no dienas, kad sākti darbi pie cita atbalstītā ieguldījuma tajā pašā 2021.gada NUTS 3 datu</w:t>
            </w:r>
            <w:r w:rsidR="00000000" w:rsidRPr="00000000" w:rsidDel="00000000">
              <w:rPr>
                <w:b w:val="1"/>
                <w:rtl w:val="0"/>
              </w:rPr>
              <w:t xml:space="preserve"> </w:t>
            </w:r>
            <w:r w:rsidR="00000000" w:rsidRPr="00000000" w:rsidDel="00000000">
              <w:rPr>
                <w:rtl w:val="0"/>
              </w:rPr>
              <w:t xml:space="preserve">reģionā,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tā, vai ieguldījumus veic mazs, vidējs vai liels komersants), atbalstu piešķir, ievērojot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labumu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10.punktā ietvertajā Ministru kabineta 2022.gada 5.jūlija noteikumu Nr.421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39.6.1.2.apakšpunktā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39.6.1.2. norma precizēta pēc izteiktā priekšlikuma.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2 </w:t>
            </w:r>
            <w:r w:rsidR="00000000" w:rsidRPr="00000000" w:rsidDel="00000000">
              <w:rPr>
                <w:rtl w:val="0"/>
              </w:rPr>
              <w:t xml:space="preserve">un 326.</w:t>
            </w:r>
            <w:r w:rsidR="00000000" w:rsidRPr="00000000" w:rsidDel="00000000">
              <w:rPr>
                <w:vertAlign w:val="superscript"/>
                <w:rtl w:val="0"/>
              </w:rPr>
              <w:t xml:space="preserve">3 </w:t>
            </w:r>
            <w:r w:rsidR="00000000" w:rsidRPr="00000000" w:rsidDel="00000000">
              <w:rPr>
                <w:rtl w:val="0"/>
              </w:rPr>
              <w:t xml:space="preserve">panta nosaukumā norādīto, aizstāt projekta 3.punktā ietvertajā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39.6.1.2.apakšpunktā vārdus "prettiesiska labuma pieprasīšana" ar vārdiem "prettiesiska labumu pieprasīšana".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39.6.1.4. izvairīšanās no nodokļu un tiem pielīdzināto maksājumu samaksas;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3.punktā ietvertajā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39.6.1.4.apakšpunktā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39.6.1.4. izvairīšanās no nodokļu un tiem pielīdzināto maksājumu nomaksas;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aizstāt projekta 10.punktā ietvertajā Ministru kabineta 2022.gada 5.jūlija noteikumu Nr.421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39.6.1.5.apakšpunktā vārdus “apmācība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norma 39.6.1.5. precizēta pēc ieteiktā priekšlikuma.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.panta nosaukumā norādīto, aizstāt projekta 3.punktā ietvertajā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39.6.1.5.apakšpunktā vārdus "personas vervēšana un apmācība terora aktu veikšanai" ar vārdiem "personas vervēšana,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apmācīšana un apmācīšanās terorismam.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39.6.2.apakšpunkts paredz, ka uz komersantu nav attiecināmi gadījumi, kad konstatēta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tiesību normai ir jābūt skaidrai un saprotamai, lai tās lietotājs un piemērotājs gūtu nepārprotamu priekšstatu par savām tiesībām, pienākumiem un juridiskām sekām, tādēļ lūdzam precizēt noteikumu projektu, sadalot 39.6.2.2.apakšpunktu divās atsevišķās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39.6.2.3.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apakšpunkts sadalīts divos apakšpunltos.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w:t>
            </w:r>
            <w:r w:rsidR="00000000" w:rsidRPr="00000000" w:rsidDel="00000000">
              <w:rPr>
                <w:i w:val="1"/>
                <w:rtl w:val="0"/>
              </w:rPr>
              <w:t xml:space="preserve">(sk. Satversmes tiesas 2010.gada 20.decembra sprieduma lietā Nr. 2010-44-01 11.punktu)</w:t>
            </w:r>
            <w:r w:rsidR="00000000" w:rsidRPr="00000000" w:rsidDel="00000000">
              <w:rPr>
                <w:rtl w:val="0"/>
              </w:rPr>
              <w:t xml:space="preserve">. Tiesību normas izdevēja pienākums ir rūpēties par to, lai tiesību norma tiktu formulēta tik nepārprotami, ka to varētu pareizi interpretēt un piemērot, bet indivīds varētu apzināties tās piemērošanas tiesiskās sekas </w:t>
            </w:r>
            <w:r w:rsidR="00000000" w:rsidRPr="00000000" w:rsidDel="00000000">
              <w:rPr>
                <w:i w:val="1"/>
                <w:rtl w:val="0"/>
              </w:rPr>
              <w:t xml:space="preserve">(sk.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3.punktā ietvertajā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39.6.2.2.apakšpunktā ir ietverti divi dažādi administratīvie pārkāpumi (Darba likuma 158. pants un likuma "Par nodokļiem un nodevām" 142.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projekta 3.punktā ietverto Ministru kabineta 2022. gada 5. jūlija noteikumu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39.6.2.2.apakšpunktu, nodalot attiecīgos pārkāpumus divās atsevišķās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39.6.2.2. personas nodarbināšana bez rakstveidā noslēgta darba līguma;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skaidrojumu par izslēgšanas kritēriju piemērošanu atbilstoši nacionālajam regulējumam, atbalstām noteikumu projekta 39.</w:t>
            </w:r>
            <w:r w:rsidR="00000000" w:rsidRPr="00000000" w:rsidDel="00000000">
              <w:rPr>
                <w:vertAlign w:val="superscript"/>
                <w:rtl w:val="0"/>
              </w:rPr>
              <w:t xml:space="preserve">1</w:t>
            </w:r>
            <w:r w:rsidR="00000000" w:rsidRPr="00000000" w:rsidDel="00000000">
              <w:rPr>
                <w:rtl w:val="0"/>
              </w:rPr>
              <w:t xml:space="preserve"> punkta precizēšanu atbilstoši Eiropas Savienības fondu 2021.—2027. gada plānošanas perioda vadības likuma 22.panta 2.daļā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Iekšlietu ministrijas Informācijas centrs (Sodu reģistrs) sniedz ziņas par minētajiem Krimināllikuma, Konkurences likuma, Imigrācijas likuma, Darba likuma un likuma Par nodokļiem un nodevām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paredzēto 39.</w:t>
            </w:r>
            <w:r w:rsidR="00000000" w:rsidRPr="00000000" w:rsidDel="00000000">
              <w:rPr>
                <w:vertAlign w:val="superscript"/>
                <w:rtl w:val="0"/>
              </w:rPr>
              <w:t xml:space="preserve">2 </w:t>
            </w:r>
            <w:r w:rsidR="00000000" w:rsidRPr="00000000" w:rsidDel="00000000">
              <w:rPr>
                <w:rtl w:val="0"/>
              </w:rPr>
              <w:t xml:space="preserve">punktu, ņemot vērā, ka Sodu reģistrā tiek iekļautas ziņas par </w:t>
            </w:r>
            <w:r w:rsidR="00000000" w:rsidRPr="00000000" w:rsidDel="00000000">
              <w:rPr>
                <w:u w:val="single"/>
                <w:rtl w:val="0"/>
              </w:rPr>
              <w:t xml:space="preserve">noziedzīgus nodarījumus un administratīvos pārkāpumus</w:t>
            </w:r>
            <w:r w:rsidR="00000000" w:rsidRPr="00000000" w:rsidDel="00000000">
              <w:rPr>
                <w:rtl w:val="0"/>
              </w:rPr>
              <w:t xml:space="preserve"> izdarījušām personām. Tāpat lūdzam precizēt atsauci uz "minētajiem", jo no punkta redakcijas nav viennozīmīgi skaidrs, vai atsauce izdarīta uz iepriekšējā punktā (39.</w:t>
            </w:r>
            <w:r w:rsidR="00000000" w:rsidRPr="00000000" w:rsidDel="00000000">
              <w:rPr>
                <w:vertAlign w:val="superscript"/>
                <w:rtl w:val="0"/>
              </w:rPr>
              <w:t xml:space="preserve">1</w:t>
            </w:r>
            <w:r w:rsidR="00000000" w:rsidRPr="00000000" w:rsidDel="00000000">
              <w:rPr>
                <w:rtl w:val="0"/>
              </w:rPr>
              <w:t xml:space="preserve">punktā) minētajiem nodarījumiem un pārkāpumiem, vai 39. punktā, vai citās noteikumu normās minētajiem nodarījumiem un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šajā punktā nekorekti lietots skaidrojums iekavās (Sodu reģistrs). Norādām, ka Sodu reģistrs ir </w:t>
            </w:r>
            <w:r w:rsidR="00000000" w:rsidRPr="00000000" w:rsidDel="00000000">
              <w:rPr>
                <w:u w:val="single"/>
                <w:rtl w:val="0"/>
              </w:rPr>
              <w:t xml:space="preserve">valsts informācijas sistēma</w:t>
            </w:r>
            <w:r w:rsidR="00000000" w:rsidRPr="00000000" w:rsidDel="00000000">
              <w:rPr>
                <w:rtl w:val="0"/>
              </w:rPr>
              <w:t xml:space="preserve">, savukārt šīs sistēmas </w:t>
            </w:r>
            <w:r w:rsidR="00000000" w:rsidRPr="00000000" w:rsidDel="00000000">
              <w:rPr>
                <w:u w:val="single"/>
                <w:rtl w:val="0"/>
              </w:rPr>
              <w:t xml:space="preserve">pārzinis un turētājs</w:t>
            </w:r>
            <w:r w:rsidR="00000000" w:rsidRPr="00000000" w:rsidDel="00000000">
              <w:rPr>
                <w:rtl w:val="0"/>
              </w:rPr>
              <w:t xml:space="preserve"> ir Iekšlietu ministrijas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39.</w:t>
            </w:r>
            <w:r w:rsidR="00000000" w:rsidRPr="00000000" w:rsidDel="00000000">
              <w:rPr>
                <w:vertAlign w:val="superscript"/>
                <w:rtl w:val="0"/>
              </w:rPr>
              <w:t xml:space="preserve">2</w:t>
            </w:r>
            <w:r w:rsidR="00000000" w:rsidRPr="00000000" w:rsidDel="00000000">
              <w:rPr>
                <w:rtl w:val="0"/>
              </w:rPr>
              <w:t xml:space="preserve">  punkts izteikts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Sabiedrība "Altum" par šo noteikumu 39.6.1., 39.6.2. un 39.6.3. apakšpunktā noteiktajiem gadījumiem ziņas iegūst no Iekšlietu ministrijas Informācijas centra pārziņā esošās valsts informācijas sistēmas “Sodu reģistrs”. Informāciju par šo noteikumu 39.6.3.apakšpunktā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pievienotās vērtības nodokļa (turpmāk – PVN) segšana. PVN izmaksas neiekļauj arī investīciju projekta kopējās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projekta 15.punktu, ņemot vērā, ka noteikumu 42.punkta ievaddaļā jau ir noteikts, ka 42.punktā noteiktās izmaksas neiekļauj projekta attiecināmajās izmaksās. Attiecīgi no minētā izriet, ka arī PVN izmaksas nav iekļaujamas projekta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svītrot arī attiecīgo skaidrojumu anotācijas 1.3.sadaļā. Tāpat vēršam uzmanību, ka AF projektos netiek uzrādītas neattiecināmās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saņemto priekšlikumu un, kā š.g. 21.septembra sanāksmes laikā starp EM un FM panāktajai vienošanai, skaidro, ka MK noteikumu 42.6. norma netiek dzēsta, saglabājot to, lai neradītu interpretācijas iespējas attiecībā uz PVN segšanu. Minētais ir būtisks, lai veidotu vienotu izpratni trešajām pusēm, ka PVN nav ne tikai investīcijas attiecināmajās izmaksās, bet arī tas netiek iekļauts atbalsta aprēķinā no kopējām investīciju projekta izmaksām, lai novērstu dubultā 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pievienotās vērtības nodokļa (turpmāk – PVN) segšana. PVN izmaksas neiekļauj arī investīciju projekta kopējās izmaksās;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pārkāptas šajos noteikumos noteiktās komercdarbības atbalsta kontroles normas, tai skaitā nosacījumi, kas izriet no Komisijas regulas Nr. </w:t>
            </w:r>
            <w:r w:rsidR="00000000" w:rsidRPr="00000000" w:rsidDel="00000000">
              <w:rPr>
                <w:rtl w:val="0"/>
              </w:rPr>
              <w:t xml:space="preserve">651/2014</w:t>
            </w:r>
            <w:r w:rsidR="00000000" w:rsidRPr="00000000" w:rsidDel="00000000">
              <w:rPr>
                <w:rtl w:val="0"/>
              </w:rPr>
              <w:t xml:space="preserve">, komersantam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44.punktu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44.Ja tiek pārkāpti regulas Nr.651/2014 nosacījumi, komersantam ir pienākums atmaksāt sabiedrībai "Altum" projekta ietvaros saņemto nelikumīgo komercdarbības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44.norma precizēta pēc piedāvātās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pārkāpti Komisijas regulas Nr. </w:t>
            </w:r>
            <w:r w:rsidR="00000000" w:rsidRPr="00000000" w:rsidDel="00000000">
              <w:rPr>
                <w:rtl w:val="0"/>
              </w:rPr>
              <w:t xml:space="preserve">651/2014</w:t>
            </w:r>
            <w:r w:rsidR="00000000" w:rsidRPr="00000000" w:rsidDel="00000000">
              <w:rPr>
                <w:rtl w:val="0"/>
              </w:rPr>
              <w:t xml:space="preserve">, nosacījumi komersantam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ja tiek pārkāptas Komisijas regulas Nr. </w:t>
            </w:r>
            <w:r w:rsidR="00000000" w:rsidRPr="00000000" w:rsidDel="00000000">
              <w:rPr>
                <w:rtl w:val="0"/>
              </w:rPr>
              <w:t xml:space="preserve">1407/2013</w:t>
            </w:r>
            <w:r w:rsidR="00000000" w:rsidRPr="00000000" w:rsidDel="00000000">
              <w:rPr>
                <w:rtl w:val="0"/>
              </w:rPr>
              <w:t xml:space="preserve"> prasības, komersantam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aicinām noteikumu projekta 47.4.apakšpunktu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"47.4. ja tiek pārkāpti regulas Nr. 1407/2013 nosacījumi, komersantam ir pienākums atmaksāt sabiedrībai "Altum" visu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47.4. norma precizēta pēc piedāvātās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47.4. ja tiek pārkāptas Komisijas regulas Nr. </w:t>
            </w:r>
            <w:r w:rsidR="00000000" w:rsidRPr="00000000" w:rsidDel="00000000">
              <w:rPr>
                <w:rtl w:val="0"/>
              </w:rPr>
              <w:t xml:space="preserve">1407/2013</w:t>
            </w:r>
            <w:r w:rsidR="00000000" w:rsidRPr="00000000" w:rsidDel="00000000">
              <w:rPr>
                <w:rtl w:val="0"/>
              </w:rPr>
              <w:t xml:space="preserve"> nosacījumi, komersantam ir pienākums atmaksāt sabiedrībai "Altum"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1 000 000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53.punktu atbilstoši AF plāna 689.§. noteiktajam, aizstājot vārdus “no investīciju projekta kopējā apjoma” ar vārdiem “no aizdevuma pamatsummas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aizdevuma pamatsummas apmēra, bet ne vairāk kā 1 000 000 euro, nepārsniedzot šo noteikumu ietvaros noteikto pieļaujamo atbalsta intensitāti vai komersantam pieejamo de minimis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priekšlikums. Kā š.g. 21.septembra sanāksmes laikā starp EM un FM panāktajai vienošanai, EM skaidro, ka MK noteikumu 53.norma atbilst ANM plāna CID norādījumiem. Attiecīgi MK Noteikumu 5.punktā noteiktā kapitāla atlaide tiek noteikta līdz 35 % no investīciju projekta kopējā apjoma, bet ne vairāk kā 1 000 000 euro, nepārsniedzot šo noteikumu ietvaros noteikto pieļaujamo atbalsta intensitāti vai komersantam pieejamo de minimis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Kapitāla atlaide ir līdz 35 % no investīciju projekta kopējā apjoma, bet ne vairāk kā 1 000 000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summējot attiecīgās piešķirtā atbalsta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atbalstam subsīdijas ekvivalentu aprēķina un nosaka, summējot aizdevuma vai paralēlā aizdevuma subsīdijas ekvivalenta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sabiedrības “Altum” aizdevuma vai paralēlā aizdevuma daļas, kas ir vienāda ar piešķirto kapitāla atlaidi, un sabiedrības “Altum” aizdevuma vai paralēlā aizdevuma daļas, kas pārsniedz piešķirtās kapitāla atlaides apjomu, subsīdijas ekvivalenta 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iekļauj informāciju, ka neatbalsta iniciatīvas, kas nodara būtisku kaitējumu. Šī apakšpunkta prasību ievērošana jānodrošina visa gala labuma guvēja investīciju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frāzi "Sabiedrība "Altum" ar gala labuma guvēju iekļauj informāciju", norādot, kur tiek iekļauta attiecīgā informācija (piemēram, līgumā par investīciju projekta īstenošanu). Norāmām arī, ka, ņemot vērā notiekumu 62. punktā minēto uzskaitījumu, secināms, ka šādi izslēdzoši apstākļi nebūtu norādāmi kā "informācija", bet kā projekta īstenošanas līguma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62. punkta ievaddaļas otro teikumu, jo nav skaidrs, par kādu "apakšpunktu"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62.punkts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slēdzot līgumu par investīciju projekta īstenošanu iekļauj informāciju, ka neatbalsta iniciatīvas, kas nodara būtisku kaitējumu. Šī punkta prasību ievērošana jānodrošina visa gala labuma guvēja investīciju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62.10. aizdevumu refinansēšanai un restrukturēšanai, ja atbalstu piešķir saskaņā ar šo noteikumu </w:t>
            </w:r>
            <w:r w:rsidR="00000000" w:rsidRPr="00000000" w:rsidDel="00000000">
              <w:rPr>
                <w:rtl w:val="0"/>
              </w:rPr>
              <w:t xml:space="preserve">22.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62.10.apakšpunkts neiederās zem 62.punkta, attiecīgi lūdzam to pārcelt zem 62.</w:t>
            </w:r>
            <w:r w:rsidR="00000000" w:rsidRPr="00000000" w:rsidDel="00000000">
              <w:rPr>
                <w:vertAlign w:val="superscript"/>
                <w:rtl w:val="0"/>
              </w:rPr>
              <w:t xml:space="preserve">1</w:t>
            </w:r>
            <w:r w:rsidR="00000000" w:rsidRPr="00000000" w:rsidDel="00000000">
              <w:rPr>
                <w:rtl w:val="0"/>
              </w:rPr>
              <w:t xml:space="preserve">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62.10. apakšpunkts pārcelts zem, 62.</w:t>
            </w:r>
            <w:r w:rsidR="00000000" w:rsidRPr="00000000" w:rsidDel="00000000">
              <w:rPr>
                <w:vertAlign w:val="superscript"/>
                <w:rtl w:val="0"/>
              </w:rPr>
              <w:t xml:space="preserve">1</w:t>
            </w:r>
            <w:r w:rsidR="00000000" w:rsidRPr="00000000" w:rsidDel="00000000">
              <w:rPr>
                <w:rtl w:val="0"/>
              </w:rPr>
              <w:t xml:space="preserve"> punkta.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1407/2013 1. panta 1. un 2. punktā un 3. panta 2. punktā noteiktajās neatbalstāmajās nozarēs un darbībās un pretendē uz atbalstu saskaņā ar Komisijas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tehnisku precizējumu noteikumu projekta 62.</w:t>
            </w:r>
            <w:r w:rsidR="00000000" w:rsidRPr="00000000" w:rsidDel="00000000">
              <w:rPr>
                <w:vertAlign w:val="superscript"/>
                <w:rtl w:val="0"/>
              </w:rPr>
              <w:t xml:space="preserve">1</w:t>
            </w:r>
            <w:r w:rsidR="00000000" w:rsidRPr="00000000" w:rsidDel="00000000">
              <w:rPr>
                <w:rtl w:val="0"/>
              </w:rPr>
              <w:t xml:space="preserve">1.punktā, norādot, ka atbalstu nepiešķir saimnieciskās darbības nozarēm un darbībām, kuras minētas Komisijas regulas Nr.1407/2013 1.panta 1.punktā. Vēršam uzmanību, ka Komisijas regulas Nr.1407/2013  3.panta 2.punktā ir ietverts nosacījums par de minimis robežvērtībām, kā arī par to, ka Komisijas regulas Nr.1407/2013 de minimis atbalstu nevar izmantot kravas transportlīdzekļu iegādei, nevis neatbalstāmā nozare, līdz ar ko aicinām redakcionāli precizēt noteikumu projekta 62.</w:t>
            </w:r>
            <w:r w:rsidR="00000000" w:rsidRPr="00000000" w:rsidDel="00000000">
              <w:rPr>
                <w:vertAlign w:val="superscript"/>
                <w:rtl w:val="0"/>
              </w:rPr>
              <w:t xml:space="preserve">1</w:t>
            </w:r>
            <w:r w:rsidR="00000000" w:rsidRPr="00000000" w:rsidDel="00000000">
              <w:rPr>
                <w:rtl w:val="0"/>
              </w:rPr>
              <w:t xml:space="preserve">1.punktu. Vienlaikus vēršam uzmanību, ka Komisijas regulas Nr.1407/2013 1.panta 2.punkta nosacījums par nozaru darbību vai izmaksu nodalīšanu no tām darbībām, kurām piešķirts de minimis atbalsts ir jau ietverts noteikumu projekta 47.2.apakšpunktā, līdz ar ko aicinām precizēt 62.</w:t>
            </w:r>
            <w:r w:rsidR="00000000" w:rsidRPr="00000000" w:rsidDel="00000000">
              <w:rPr>
                <w:vertAlign w:val="superscript"/>
                <w:rtl w:val="0"/>
              </w:rPr>
              <w:t xml:space="preserve">1</w:t>
            </w:r>
            <w:r w:rsidR="00000000" w:rsidRPr="00000000" w:rsidDel="00000000">
              <w:rPr>
                <w:rtl w:val="0"/>
              </w:rPr>
              <w:t xml:space="preserve">1.punkta redakciju, nedublējot atsauci uz Komisijas regulas Nr.1407/2013 1.panta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62.</w:t>
            </w:r>
            <w:r w:rsidR="00000000" w:rsidRPr="00000000" w:rsidDel="00000000">
              <w:rPr>
                <w:vertAlign w:val="superscript"/>
                <w:rtl w:val="0"/>
              </w:rPr>
              <w:t xml:space="preserve">1</w:t>
            </w:r>
            <w:r w:rsidR="00000000" w:rsidRPr="00000000" w:rsidDel="00000000">
              <w:rPr>
                <w:rtl w:val="0"/>
              </w:rPr>
              <w:t xml:space="preserve">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1407/2013 1. panta 1. punktā noteiktajās neatbalstāmajās nozarēs, ja gala labuma guvējs pretendē uz atbalstu saskaņā ar Komisijas regulu Nr. 1407/2013;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36., 38.2.2., 40.2., 62.</w:t>
            </w:r>
            <w:r w:rsidR="00000000" w:rsidRPr="00000000" w:rsidDel="00000000">
              <w:rPr>
                <w:vertAlign w:val="superscript"/>
                <w:rtl w:val="0"/>
              </w:rPr>
              <w:t xml:space="preserve">1</w:t>
            </w:r>
            <w:r w:rsidR="00000000" w:rsidRPr="00000000" w:rsidDel="00000000">
              <w:rPr>
                <w:rtl w:val="0"/>
              </w:rPr>
              <w:t xml:space="preserve">10.1., 32.</w:t>
            </w:r>
            <w:r w:rsidR="00000000" w:rsidRPr="00000000" w:rsidDel="00000000">
              <w:rPr>
                <w:vertAlign w:val="superscript"/>
                <w:rtl w:val="0"/>
              </w:rPr>
              <w:t xml:space="preserve">1</w:t>
            </w:r>
            <w:r w:rsidR="00000000" w:rsidRPr="00000000" w:rsidDel="00000000">
              <w:rPr>
                <w:rtl w:val="0"/>
              </w:rPr>
              <w:t xml:space="preserve">10.2. normas, kas pārņemtas ar Komisijas regulas Nr.651/2014 2023.gada 9.marta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svītrot noteikumu projektā izteikto noteikumu 65.punktu, ņemot vērā tai skaitā to, ka regulās nacionālo normatīvo aktu prasības nepārņem, kā ari nacionālajā normatīvajā aktā nav nosakāmai Eiropas Savienības regulu spēkā stāšanās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novērstu iespējamas neatbilstības Komisijas regulas Nr.651/2014 normām, kas grozītas ar 2023.gada 9.marta grozījumiem šajā regulā, aicinām precizēt attiecīgās noteikumu (noteikumu projekta) normas, svītrojot regulējumu, kurā pārrakstīti regulas nosacījumi, un šajās noteikumu projekta normās norādīt atsauces uz attiecīgajām regulas normām (kā tas, piemēram, jau izdarīts precizētajā 62.</w:t>
            </w:r>
            <w:r w:rsidR="00000000" w:rsidRPr="00000000" w:rsidDel="00000000">
              <w:rPr>
                <w:vertAlign w:val="superscript"/>
                <w:rtl w:val="0"/>
              </w:rPr>
              <w:t xml:space="preserve">1</w:t>
            </w:r>
            <w:r w:rsidR="00000000" w:rsidRPr="00000000" w:rsidDel="00000000">
              <w:rPr>
                <w:rtl w:val="0"/>
              </w:rPr>
              <w:t xml:space="preserve">10.1.apakšpunktā).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65.punkts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Šo noteikumu 36., 38.2.2., 40.2., 62.</w:t>
            </w:r>
            <w:r w:rsidR="00000000" w:rsidRPr="00000000" w:rsidDel="00000000">
              <w:rPr>
                <w:vertAlign w:val="superscript"/>
                <w:rtl w:val="0"/>
              </w:rPr>
              <w:t xml:space="preserve">1</w:t>
            </w:r>
            <w:r w:rsidR="00000000" w:rsidRPr="00000000" w:rsidDel="00000000">
              <w:rPr>
                <w:rtl w:val="0"/>
              </w:rPr>
              <w:t xml:space="preserve">10.1., 32.</w:t>
            </w:r>
            <w:r w:rsidR="00000000" w:rsidRPr="00000000" w:rsidDel="00000000">
              <w:rPr>
                <w:vertAlign w:val="superscript"/>
                <w:rtl w:val="0"/>
              </w:rPr>
              <w:t xml:space="preserve">1</w:t>
            </w:r>
            <w:r w:rsidR="00000000" w:rsidRPr="00000000" w:rsidDel="00000000">
              <w:rPr>
                <w:rtl w:val="0"/>
              </w:rPr>
              <w:t xml:space="preserve">10.2. normas, kas pārņemtas ar Komisijas regulas Nr.651/2014 2023.gada 9.marta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2023. gada 23. jūnijā oficiāli pieņēma Komisijas regulas Nr.651/2014 grozījumus (informācija pieejama: https://competition-policy.ec.europa.eu/state-aid/legislation/regulations_en), attiecīgi tuvākajā laikā ir plānota to publicēšanas Eiropas Savienības Oficiālajā Vēstnesī, ņemot vērā minēto, aicinām sekot līdzi aktuālajai informācijai un gadījumā, ja Komisijas regulas Nr.651/2014 grozījumi tiek publicēti Eiropas Savienības Oficiālajā Vēstnesī pirms noteikumu projekta apstiprināšanas, lūdzam atbilstoši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norma dzēsta pamatojoties, ka regulās nacionālo normatīvo aktu prasības nepārņem, kā ari nacionālajā normatīvajā aktā nav nosakāmai Eiropas Savienības regulu spēkā stāšanās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22-TA-3389</w:t>
    </w:r>
    <w:r>
      <w:br/>
    </w:r>
    <w:r w:rsidR="00000000" w:rsidRPr="00000000" w:rsidDel="00000000">
      <w:rPr>
        <w:rtl w:val="0"/>
      </w:rPr>
      <w:t xml:space="preserve">10.10.2023. 19.02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22-TA-3389</w:t>
    </w:r>
    <w:r>
      <w:br/>
    </w:r>
    <w:r w:rsidR="00000000" w:rsidRPr="00000000" w:rsidDel="00000000">
      <w:rPr>
        <w:rtl w:val="0"/>
      </w:rPr>
      <w:t xml:space="preserve">10.10.2023. 19.02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Izziņa_22-TA-3389.docx</dc:title>
</cp:coreProperties>
</file>

<file path=docProps/custom.xml><?xml version="1.0" encoding="utf-8"?>
<Properties xmlns="http://schemas.openxmlformats.org/officeDocument/2006/custom-properties" xmlns:vt="http://schemas.openxmlformats.org/officeDocument/2006/docPropsVTypes"/>
</file>