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24-TA-3044: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(26.07.2024.)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noteikumu projekta 15. punktā paredzētajam grozījumam Ministru kabineta 2022. gada 13. septembra noteikumu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(turpmāk - noteikumi) 50. punktā, jo pašreiz pamatojums anotācijā nav ietverts. Vēršam uzmanību, ka anotācijā nepieciešams sniegt pamatojumu visiem noteikumu projektā ietvertajiem būtiskajiem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līdz 2024. gada 30. jūnijam digitālās transformācijas ceļa karšu skaits, ko Eiropas digitālās inovācijas centrs ir izdevis vienībām, – 1400;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un tā anotācijas neizriet, kas ir noteikumu projekta 3. un 4. punktā minētā "digitālās transformācijas ceļa karte", ņemot vērā, ka noteikumu 2.2. apakšpunktā skaidrots termins "digitālās attīstības ceļa karte", kas arī tiek tālāk lietots noteikumos. Attiecīgi lūdzam vai nu izmantot vienveidīgu terminoloģiju, vai arī precizēt noteikumu projektu vai anotāciju, ietverot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MK noteikumu 2.2.apakšpunkta definīcijai.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līdz 2024. gada 30. jūnijam digitālās attīstības ceļa karšu skaits, ko Eiropas digitālās inovācijas centrs ir izdevis vienībām, – 1400;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Ja individuāli nav sasniegti projekta rādītāji, bet kopējie investīcijas rādītāji ir sasniegti, tad nepiemērojot finanšu korekciju.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7. punktā ietvertais noteikumu 10.</w:t>
            </w:r>
            <w:r w:rsidR="00000000" w:rsidRPr="00000000" w:rsidDel="00000000">
              <w:rPr>
                <w:vertAlign w:val="superscript"/>
                <w:rtl w:val="0"/>
              </w:rPr>
              <w:t xml:space="preserve">1</w:t>
            </w:r>
            <w:r w:rsidR="00000000" w:rsidRPr="00000000" w:rsidDel="00000000">
              <w:rPr>
                <w:rtl w:val="0"/>
              </w:rPr>
              <w:t xml:space="preserve"> punkts nav saprotami un loģiski formulēts, attiecīgi lūdzam to precizēt, nodrošinot skaidru un nepārprotamu tiesību normu. Papildus lūdzam precizēt, kas ir domāts ar "individuālu" projekta rādītāju sasniegšanu, konkretizējot attiecīgās normas subjektu.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Skaidrojam, ka pēc būtības finanšu korekcija netiek piemērota finansējuma saņēmējam, ja kopējie investīcijas rādītāji ir sasniegti. Atbilstoši MK noteikumu 7.punkts nosaka, ka atbalsts tiek sniegts granta vai nefinanšu atbalsta veidā.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Ja finansējuma saņēmējs katrs atsevišķi nav sasniedzis projekta ietvaros noteiktos rādītājus, bet kopumā 2.2.1.1.i investīcijas rādītāji ir sasniegti, kas noteikti šo noteikumu 10.punktā, tad finansējuma saņēmējam netiek piemērota finanšu korekcija.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izmaksas, kas minētas šo noteikumu 31. un 32.punktā, ja tās neatbilsta Eiropas komisijas saskaņotajam darba paku dalījumam.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kas ir ar Eiropas Komisiju saskaņotais darba paku dalījums, kur (kādā juridiskā tiesību aktā vai dokumentā) tāds ir ietverts un pieejams, kā arī kāds ir tā juridiski saistošais spēks attiecībā uz privātpersonām. Vēršam uzmanību, ka noteikumu projektā nav pieļaujams ietvert atsauces uz privātpersonām juridiski nesaistošiem dokumentiem un uzlikt par pienākumu indivīdam ievērot juridiski nesaistošus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attiecīgo grozījumu ietekmi, tostarp ietekmi uz finansējuma saņēmēju, gala labuma guvējiem, kā arī uz jau piešķirto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darba paku dalījums netiek precīzi atrunāts MK noteikumu vai anotācijas ietvaros, bet tiek iekļauts pie projekta pieteikuma grozījumiem, lai varētu attiecināt Atveseļošanas un noturības mehānisma finansējumu saskaņā ar Atveseļošanas un noturības mehānisma grozījumu ietvaros apstiprinātajiem 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EDIC izmaksas ir iekļautas 31.punktā, bet gala labuma guvējam attiecināmās izmaksas ir iekļautas 31.punktā, kuras nepieciešams būs attiecināt atbilstoši darba paku dalījumam.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izmaksas, kas neatbilst Eiropas komisijas saskaņotajam darba paku dalījumam jau kopš Eiropas digitālo inovācijas centra projekta uzsākšanas brīža.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izmaksas, kas minētas šo noteikumu 31. un 32.punktā, ja tās neatbilsta Eiropas komisijas saskaņotajam darba paku dalījumam.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nosacījumu par izmaksu nesegšanu no Atveseļošanas un noturības mehānisma, kas minēts Ministru kabineta 2022. gada 13. septembra noteikumu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(turpmāk – MK noteikumi)  precizētajā 33.6.apakšpunktā, nevajag attiecināt uz projektu īstenošanu jau kopš Eiropas digitālās inovāciju centra projekta uzsākšanas, jo šobrīd no 33.6.apakšpunkta plānotās redakcijas izriet, ka minētās izmaksas netiks segtas no šo MK noteikumu grozījumu apstiprināšanas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darba paku dalījumu un izvērstāk atspoguļot, par kurām izmaksu pozīcijām ir identificētas problēmas tās attiecināt, un attiecīgi papildināt MK noteikumu 31.punktu ar tām, un, kur nepieciešams, likt atrunu "kuras netiek segtas no Eiropas Komisijas programmas "Digitālā Eiropa""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ieliekot nosacījumu par attiecināšanu jau kopš EDIC projekta uzsākšanas brīža. Vienlaikus, vēršam uzmanību, ka darba paku dalījums var mainīties līdz projekta īstenošanas beigām, līdz ar to MK noteikumu ietvaros un anotācijā netiek iekļauti konkrēti darba paku dalījumi.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izmaksas, kas neatbilst Eiropas komisijas saskaņotajam darba paku dalījumam jau kopš Eiropas digitālo inovācijas centra projekta uzsākšanas brīža.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minēto izmaksu, ja nav pretrunā ar šo noteikumu 33.6.apakšpunktu, segšanai Centrālā finanšu un līgumu aģentūra sniedz atbalstu Eiropas digitālās inovācijas centram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tas ir uzskatāms par komercdarbības atbalstu Eiropas digitālās inovācijas centra kā inovācijas kopas dalībniekiem. </w:t>
            </w:r>
            <w:r w:rsidR="00000000" w:rsidRPr="00000000" w:rsidDel="00000000">
              <w:rPr>
                <w:i w:val="1"/>
                <w:rtl w:val="0"/>
              </w:rPr>
              <w:t xml:space="preserve">De minimis</w:t>
            </w:r>
            <w:r w:rsidR="00000000" w:rsidRPr="00000000" w:rsidDel="00000000">
              <w:rPr>
                <w:rtl w:val="0"/>
              </w:rPr>
              <w:t xml:space="preserve"> atbalsts piešķirams pēc tam, kad beidzies Eiropas digitālās inovācijas centra dalībnieku līgums ar Eiropas Komisiju par programmas "Digitālā Eiropa" finansējuma piešķiršanu, bet ne ātrāk par 2025. gada 1. septembri.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noteikumu projekta 12. punktā jaunā redakcijā izteiktā noteikumu 34.</w:t>
            </w:r>
            <w:r w:rsidR="00000000" w:rsidRPr="00000000" w:rsidDel="00000000">
              <w:rPr>
                <w:vertAlign w:val="superscript"/>
                <w:rtl w:val="0"/>
              </w:rPr>
              <w:t xml:space="preserve">2</w:t>
            </w:r>
            <w:r w:rsidR="00000000" w:rsidRPr="00000000" w:rsidDel="00000000">
              <w:rPr>
                <w:rtl w:val="0"/>
              </w:rPr>
              <w:t xml:space="preserve"> apakšpunkta u.c. noteikumu projektā paredzēto saturiski līdzīgo grozījumu nepieciešamību un tvērumu kontekstā ar noteikumu projekta 11. punktā jau ietverto noteikumu papildinājumu ar 33.6. apakšpunktu, kas jau noteic, ka izmaksas, kas minētas šo noteikumu 31. un 32. punktā, ja tās neatbilst Eiropas Komisijas saskaņotajam darba paku dalījumam, netiek segtas no Atveseļošanas fonda līdzekļiem 2.2.1.1.i. investīcijas ietvaros. Papildus aicinām konkretizēt, </w:t>
            </w:r>
            <w:r w:rsidR="00000000" w:rsidRPr="00000000" w:rsidDel="00000000">
              <w:rPr>
                <w:u w:val="single"/>
                <w:rtl w:val="0"/>
              </w:rPr>
              <w:t xml:space="preserve">kas</w:t>
            </w:r>
            <w:r w:rsidR="00000000" w:rsidRPr="00000000" w:rsidDel="00000000">
              <w:rPr>
                <w:rtl w:val="0"/>
              </w:rPr>
              <w:t xml:space="preserve"> ir pretrunā ar noteikumu 33.6. apakšpunktu (proti, izmaksas v.tml.), veidojot juridiskās tehnikas prasībām atbilstošu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ja EDIC netiek pagarināts līgums ar Eiropas Komisiju programmas “Digitālā Eiropa” ietvaros, tad Atveseļošanas fonda finansējums no līguma spēkā neesamības brīža tiek piešķirts kā de minimis atbalsts. Vienlaikus, lai nodrošinātu Atveseļošanas fonda rādītāju izpildi par darba paku dalījumu, EDIC nepieciešams nodrošināt, ka arī pēc līguma spēkā neesamības, no Atveseļošanas fonda finansējuma netiek segtas izmaksu pozīcijas, kas iekļautas darba pakā, kuras tiek segtas no Digitālās Eiropas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minēto izmaksu, kas nav pretrunā ar šo noteikumu 33.6.apakšpunktu, segšanai Centrālā finanšu un līgumu aģentūra sniedz atbalstu Eiropas digitālās inovācijas centram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tas ir uzskatāms par komercdarbības atbalstu Eiropas digitālās inovācijas centra kā inovācijas kopas dalībniekiem. </w:t>
            </w:r>
            <w:r w:rsidR="00000000" w:rsidRPr="00000000" w:rsidDel="00000000">
              <w:rPr>
                <w:i w:val="1"/>
                <w:rtl w:val="0"/>
              </w:rPr>
              <w:t xml:space="preserve">De minimis</w:t>
            </w:r>
            <w:r w:rsidR="00000000" w:rsidRPr="00000000" w:rsidDel="00000000">
              <w:rPr>
                <w:rtl w:val="0"/>
              </w:rPr>
              <w:t xml:space="preserve"> atbalsts piešķirams pēc tam, kad beidzies Eiropas digitālās inovācijas centra dalībnieku līgums ar Eiropas Komisiju par programmas "Digitālā Eiropa" finansējuma piešķiršanu, bet ne ātrāk par 2025. gada 1. septembri.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Eiropas digitālās inovācijas centrs atbalstāmās darbības īsteno savu funkciju ietvaros vai ārpakalpojumu veidā, ciktāl tas saistīts ar Komisijas regulas Nr. </w:t>
            </w:r>
            <w:r w:rsidR="00000000" w:rsidRPr="00000000" w:rsidDel="00000000">
              <w:rPr>
                <w:rtl w:val="0"/>
              </w:rPr>
              <w:t xml:space="preserve">651/2014</w:t>
            </w:r>
            <w:r w:rsidR="00000000" w:rsidRPr="00000000" w:rsidDel="00000000">
              <w:rPr>
                <w:rtl w:val="0"/>
              </w:rPr>
              <w:t xml:space="preserve"> 27. panta 5. un 8. punktā minētajām darbībām, ja nav pretrunā ar šo noteikumu 34.</w:t>
            </w:r>
            <w:r w:rsidR="00000000" w:rsidRPr="00000000" w:rsidDel="00000000">
              <w:rPr>
                <w:vertAlign w:val="superscript"/>
                <w:rtl w:val="0"/>
              </w:rPr>
              <w:t xml:space="preserve">2</w:t>
            </w:r>
            <w:r w:rsidR="00000000" w:rsidRPr="00000000" w:rsidDel="00000000">
              <w:rPr>
                <w:rtl w:val="0"/>
              </w:rPr>
              <w:t xml:space="preserve"> un 34.</w:t>
            </w:r>
            <w:r w:rsidR="00000000" w:rsidRPr="00000000" w:rsidDel="00000000">
              <w:rPr>
                <w:vertAlign w:val="superscript"/>
                <w:rtl w:val="0"/>
              </w:rPr>
              <w:t xml:space="preserve">4</w:t>
            </w:r>
            <w:r w:rsidR="00000000" w:rsidRPr="00000000" w:rsidDel="00000000">
              <w:rPr>
                <w:rtl w:val="0"/>
              </w:rPr>
              <w:t xml:space="preserve"> punktu ietvaros minēto nosacījumu ietvaros. Ārpakalpojums tiek veikts saskaņā ar normatīvajiem aktiem publisko iepirkumu jomā, īstenojot atklātu, pārredzamu, nediskriminējošu un konkurenci neierobežojošu procedūru.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visus noteikumu projektā paredzētos grozījumus, tostarp arī izvērstāk skaidrot projekta 14., 16. un 17. punktā paredzētos grozījumus. Citastarp aicinām precizēt normā ietverto vārdkopu "ja nav pretrunā ar šo noteikumu 34.</w:t>
            </w:r>
            <w:r w:rsidR="00000000" w:rsidRPr="00000000" w:rsidDel="00000000">
              <w:rPr>
                <w:vertAlign w:val="superscript"/>
                <w:rtl w:val="0"/>
              </w:rPr>
              <w:t xml:space="preserve">2 </w:t>
            </w:r>
            <w:r w:rsidR="00000000" w:rsidRPr="00000000" w:rsidDel="00000000">
              <w:rPr>
                <w:rtl w:val="0"/>
              </w:rPr>
              <w:t xml:space="preserve">un 34.</w:t>
            </w:r>
            <w:r w:rsidR="00000000" w:rsidRPr="00000000" w:rsidDel="00000000">
              <w:rPr>
                <w:vertAlign w:val="superscript"/>
                <w:rtl w:val="0"/>
              </w:rPr>
              <w:t xml:space="preserve">4</w:t>
            </w:r>
            <w:r w:rsidR="00000000" w:rsidRPr="00000000" w:rsidDel="00000000">
              <w:rPr>
                <w:rtl w:val="0"/>
              </w:rPr>
              <w:t xml:space="preserve"> punktu ietvaros minēto nosacījumu ietvaros", veidojot nepārprotamu un skaidru tiesisko regulējumu. Līdzīgi aicinām precizēt arī projekta 16. un 17.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40., 51. un 52. punkti. Vienlaikus iekļauts skaidrojums par veiktajiem grozījumiem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Eiropas digitālās inovācijas centrs atbalstāmās darbības īsteno savu funkciju ietvaros vai ārpakalpojumu veidā, ciktāl tas saistīts ar Komisijas regulas Nr. </w:t>
            </w:r>
            <w:r w:rsidR="00000000" w:rsidRPr="00000000" w:rsidDel="00000000">
              <w:rPr>
                <w:rtl w:val="0"/>
              </w:rPr>
              <w:t xml:space="preserve">651/2014</w:t>
            </w:r>
            <w:r w:rsidR="00000000" w:rsidRPr="00000000" w:rsidDel="00000000">
              <w:rPr>
                <w:rtl w:val="0"/>
              </w:rPr>
              <w:t xml:space="preserve"> 27. panta 5. un 8. punktā minētajām darbībām, kas nav pretrunā ar šo noteikumu 34.</w:t>
            </w:r>
            <w:r w:rsidR="00000000" w:rsidRPr="00000000" w:rsidDel="00000000">
              <w:rPr>
                <w:vertAlign w:val="superscript"/>
                <w:rtl w:val="0"/>
              </w:rPr>
              <w:t xml:space="preserve">2</w:t>
            </w:r>
            <w:r w:rsidR="00000000" w:rsidRPr="00000000" w:rsidDel="00000000">
              <w:rPr>
                <w:rtl w:val="0"/>
              </w:rPr>
              <w:t xml:space="preserve"> un 34.</w:t>
            </w:r>
            <w:r w:rsidR="00000000" w:rsidRPr="00000000" w:rsidDel="00000000">
              <w:rPr>
                <w:vertAlign w:val="superscript"/>
                <w:rtl w:val="0"/>
              </w:rPr>
              <w:t xml:space="preserve">4</w:t>
            </w:r>
            <w:r w:rsidR="00000000" w:rsidRPr="00000000" w:rsidDel="00000000">
              <w:rPr>
                <w:rtl w:val="0"/>
              </w:rPr>
              <w:t xml:space="preserve"> punktos minētajiem nosacījumirm. Ārpakalpojums tiek veikts saskaņā ar normatīvajiem aktiem publisko iepirkumu jomā, īstenojot atklātu, pārredzamu, nediskriminējošu un konkurenci neierobežojošu procedūru.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Pakalpojumu saņemšanai gala labuma guvējs vēršas pie Eiropas digitālās inovācijas centra. Par Eiropas digitālās inovācijas centra sniegtajiem pakalpojumiem gala labuma guvējs slēdz līgumu ar Eiropas digitālās inovācijas centru, izņemot šo noteikumu 36.13., 36.13.</w:t>
            </w:r>
            <w:r w:rsidR="00000000" w:rsidRPr="00000000" w:rsidDel="00000000">
              <w:rPr>
                <w:vertAlign w:val="superscript"/>
                <w:rtl w:val="0"/>
              </w:rPr>
              <w:t xml:space="preserve">1</w:t>
            </w:r>
            <w:r w:rsidR="00000000" w:rsidRPr="00000000" w:rsidDel="00000000">
              <w:rPr>
                <w:rtl w:val="0"/>
              </w:rPr>
              <w:t xml:space="preserve"> un 36.13.</w:t>
            </w:r>
            <w:r w:rsidR="00000000" w:rsidRPr="00000000" w:rsidDel="00000000">
              <w:rPr>
                <w:vertAlign w:val="superscript"/>
                <w:rtl w:val="0"/>
              </w:rPr>
              <w:t xml:space="preserve">2</w:t>
            </w:r>
            <w:r w:rsidR="00000000" w:rsidRPr="00000000" w:rsidDel="00000000">
              <w:rPr>
                <w:rtl w:val="0"/>
              </w:rPr>
              <w:t xml:space="preserve"> apakšpunktos minētajos gadījumos.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minētā izņēmuma iekļaušanai un izvērtēt nepieciešamību veikt grozījumus MK noteikumu 32.1. un 32.2. apakšpunkta redakcijā. Piedāvātā grozījuma redakcija paredz, ka par piekļuves nodrošināšanu testam un digitālās kartes izstrādi (36.13.apakšpunkts) gala labuma guvējs neslēdz līgumu ar Eiropas digitālās inovācijas centru. Izmaksas par testa veikšanu un digitālās attīstības ceļa kartes izstrādi ir paredzētas MK noteikumu 32.1. un 32.2. apakšpunktā gala labuma guvējam.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36.13. apakšpunktā paredzēto darbību izmaksas tiks segtas no Eiropas digitālās inovācijas centra puses saskaņā ar granta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lai nerastos interpretācijas iespējas izmaksu attiecināšanai darba paku dalījumā, MK noteikuma projekts paredz papildināt MK noteikum 50. punktu, atrunājot, ka par EDIC sniegtajiem pakalpojumiem gala labuma guvējs slēdz līgumu ar EDIC, izņemot automātisko digitālo brieduma testu un automātiskās digitālās attīstības ceļa kartes ietvaros, kas netiek uzskatīts par komercdarbības atbalstu, atbilstoši MK noteikumu Nr.577 36.13., 36.13.1 un 36.13.2 apakšpunktos minētajos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Pakalpojumu saņemšanai gala labuma guvējs vēršas pie Eiropas digitālās inovācijas centra. Par Eiropas digitālās inovācijas centra sniegtajiem pakalpojumiem gala labuma guvējs slēdz līgumu ar Eiropas digitālās inovācijas centru, izņemot šo noteikumu 36.13., 36.13.</w:t>
            </w:r>
            <w:r w:rsidR="00000000" w:rsidRPr="00000000" w:rsidDel="00000000">
              <w:rPr>
                <w:vertAlign w:val="superscript"/>
                <w:rtl w:val="0"/>
              </w:rPr>
              <w:t xml:space="preserve">1</w:t>
            </w:r>
            <w:r w:rsidR="00000000" w:rsidRPr="00000000" w:rsidDel="00000000">
              <w:rPr>
                <w:rtl w:val="0"/>
              </w:rPr>
              <w:t xml:space="preserve"> un 36.13.</w:t>
            </w:r>
            <w:r w:rsidR="00000000" w:rsidRPr="00000000" w:rsidDel="00000000">
              <w:rPr>
                <w:vertAlign w:val="superscript"/>
                <w:rtl w:val="0"/>
              </w:rPr>
              <w:t xml:space="preserve">2</w:t>
            </w:r>
            <w:r w:rsidR="00000000" w:rsidRPr="00000000" w:rsidDel="00000000">
              <w:rPr>
                <w:rtl w:val="0"/>
              </w:rPr>
              <w:t xml:space="preserve"> apakšpunktos minētajos gadījumos.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w:t>
            </w:r>
            <w:r w:rsidR="00000000" w:rsidRPr="00000000" w:rsidDel="00000000">
              <w:rPr>
                <w:i w:val="1"/>
                <w:rtl w:val="0"/>
              </w:rPr>
              <w:t xml:space="preserve">Vienlaikus grozījumi paredz precizēt 57.1 un 57.2.apakšpunktos [..] atsauces [..]</w:t>
            </w:r>
            <w:r w:rsidR="00000000" w:rsidRPr="00000000" w:rsidDel="00000000">
              <w:rPr>
                <w:rtl w:val="0"/>
              </w:rPr>
              <w:t xml:space="preserve">." Vēršam uzmanību, ka projektā nav paredzēti grozījumi noteikumu 57.1. un 57.2. apakšpunktā, līdz ar to aicinām precizēt projektu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precizējumi veikti 57.</w:t>
            </w:r>
            <w:r w:rsidR="00000000" w:rsidRPr="00000000" w:rsidDel="00000000">
              <w:rPr>
                <w:vertAlign w:val="superscript"/>
                <w:rtl w:val="0"/>
              </w:rPr>
              <w:t xml:space="preserve">1</w:t>
            </w:r>
            <w:r w:rsidR="00000000" w:rsidRPr="00000000" w:rsidDel="00000000">
              <w:rPr>
                <w:rtl w:val="0"/>
              </w:rPr>
              <w:t xml:space="preserve"> un 57.</w:t>
            </w:r>
            <w:r w:rsidR="00000000" w:rsidRPr="00000000" w:rsidDel="00000000">
              <w:rPr>
                <w:vertAlign w:val="superscript"/>
                <w:rtl w:val="0"/>
              </w:rPr>
              <w:t xml:space="preserve">2</w:t>
            </w:r>
            <w:r w:rsidR="00000000" w:rsidRPr="00000000" w:rsidDel="00000000">
              <w:rPr>
                <w:rtl w:val="0"/>
              </w:rPr>
              <w:t xml:space="preserve"> punktos. Anotācijā veikti tehniski precizējumi.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Vienlaikus, lai nodrošinātu vienotu pieeju attiecībā uz neatbalstāmajām darbībām finanšu un apdrošināšanas jomā, precizēts, ka atbalstu var saņemt finanšu tehnoloģiju uzņēmumi jeb tādi uzņēmumi, kas attīsta jaunus biznesa modeļus, iedzīvina inovācijas, veido jaunus finanšu produktus un pakalpojumus, pilnveido pakalpojumu sniegšanas veidus un biznesa modeļus</w:t>
            </w:r>
            <w:r w:rsidR="00000000" w:rsidRPr="00000000" w:rsidDel="00000000">
              <w:rPr>
                <w:rtl w:val="0"/>
              </w:rPr>
              <w:t xml:space="preserve">." Lūdzam minēto informāciju anotācijā sasaistīt ar noteikumu projekta vienību, kas paredz attiecīgu tiesisko regulējumu, jo minētais pirmšķietami neizriet no noteikumu projektā ietvertā tiesiskā regulējuma. Nepieciešamības gadījumā lūdzam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ir iekļauts skaidrojums, ka grozījumi nepieciešami, lai nodrošinātu atbalsta normu salāgošanu ar citām atbalsta programmām, kurās nav ierobežojumi uz minētajām nozarēm, piemēram, 2.3.1.2.i investīcijā “Uzņēmumu digitālo prasmju attīstība”. Ņemot vērā, ka gala labuma guvējam sākotnēji nepieciešama digitālā attīstības ceļa karte, lai varētu pieteikties citās atbalsta programmās, piemēram, 2.3.1.2.i investīcijā “Uzņēmumu digitālo prasmju attīstība”, līdz ar to nepieciešams nodrošināt, ka ierobežojumi uz atbalstāmajām nozarēm ir vienādi.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plānoto grozījumu ietekmi uz Eiropas digitālās inovācijas centru kā projekta iesniedzēju (finansējuma saņēmēju) un gala labuma guvējiem, un ar informāciju, vai būs nepieciešams veikt grozījumus līgumā par investīciju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apakšsadaļas “Risinājuma apraksts” 3.punktā precizēt atsauces uz MK noteikumu 34.punktu.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sadaļas "Risinājumu apraksts" 2.punktā precizēt redakciju "kā arī novērš situācijas, kad ceļa kartes nevar izsniegt investīcijās, kurās šādi ierobežojumi nepastāv", izslēdzot divkārši noliedzošu vārdu lietojumu un padarot skaidrāku pamatojumu, kāpēc no neatbalstāmām nozarēm plānots svītrot operācijas ar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plānots, ka turpmāk atbalstu pasākuma ietvaros varēs saņemt arī finanšu tehnoloģiju uzņēmumi jeb tādi uzņēmumi, kas attīsta jaunus biznesa modeļus, iedzīvina inovācijas, veido jaunus finanšu produktus un pakalpojumus, pilnveido pakalpojumu sniegšanas veidus un biznesa modeļus, lūdzam papildināt anotāciju ar šādu uzņēmumu piemēriem, detalizētāk aprakstot to darbības sfēru.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ietvertās aktualizētās atsauces uz Eiropas Savienības regulu vienībām, aicinām aizpildīt anotācijas 5. sadaļu, norādot attiecīgo vienību ieviešanu projekta vienībās.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Iekļauta informācija par Regula Nr. 2024/2509.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ar noteikumu projektu paredzēts ieviest Eiropas Komisijas 2022. gada 10. oktobra Deleģētās regulas Nr. 2023/137, ar kuru groza Eiropas Parlamenta un Padomes Regulu (EK) Nr. 1893/2006, ar ko izveido NACE 2. red. saimniecisko darbību statistisko klasifikāciju, prasības, -  aizpildīt anotācijas 5. sadaļu, tostarp 5.1. apakšsadaļu un 5.4. apakšsadaļas 1. tabulu, norādot informāciju par minētās regulas vienību ieviešanu attiecīgajās noteikumu projekta vienībās.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priekšlikumā minēto, secināts, ka MK noteikumu grozītajos punktos nav atsauce uz Eiropas Komisijas 2022. gada 10. oktobra Deleģētās regulas Nr. 2023/137, līdz ar to 5.sadaļā nav nepieciešams iekļaut atsauci uz regulu.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2.2.1.1.i. investīcijas ietvaros atbalsts Eiropas digitālās inovācijas centram tiek sniegts granta veidā, gala labuma guvēja līmenī tiek sniegts nefinanšu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eksperimentēšanas, pilotēšanas un testēšanas darbību izmaksas nepieciešams paplašināt ar iespēju sniegt kā grantu gala labuma guvējam, lūdzam papildināt, ka MK noteikumu 32.3. apakšpunkta ietvaros gala labuma guvēja līmenī tiek sniegts nefinanšu </w:t>
            </w:r>
            <w:r w:rsidR="00000000" w:rsidRPr="00000000" w:rsidDel="00000000">
              <w:rPr>
                <w:b w:val="1"/>
                <w:rtl w:val="0"/>
              </w:rPr>
              <w:t xml:space="preserve">vai granta atbalsts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2.2.1.1.i. investīcijas ietvaros atbalsts Eiropas digitālās inovācijas centram tiek sniegts granta veidā, gala labuma guvēja līmenī tiek sniegts nefinanšu un granta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iekšējās kontroles sistēmas aprakstu, ietverot informāciju par interešu konflikta (Komisijas regulas Nr. </w:t>
            </w:r>
            <w:r w:rsidR="00000000" w:rsidRPr="00000000" w:rsidDel="00000000">
              <w:rPr>
                <w:rtl w:val="0"/>
              </w:rPr>
              <w:t xml:space="preserve">2018/1046</w:t>
            </w:r>
            <w:r w:rsidR="00000000" w:rsidRPr="00000000" w:rsidDel="00000000">
              <w:rPr>
                <w:rtl w:val="0"/>
              </w:rPr>
              <w:t xml:space="preserve"> 61. panta izpratnē), korupcijas risku un dubultfinansējuma kontroles un novēršanas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MK noteikumu 23.4. apakšpunktā un 3. pielikumā precizēt regulas atsauces, norādot atsauces uz Regulu 2024/2509. Saskaņā ar Regulas 2024/2509 279. pantu atsauces uz atcelto Regulu 2018/1046 uzskata par atsaucēm uz Regulu 2024/2509, un tās lasa saskaņā ar atbilstības tabulu Regulas 2024/2509 II pielikumā. Vienlaikus lūdzam atbilstoši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lūdzam izvērtēt MK noteikumu plānotā 10.1 punkta nepieciešamību, ņemot vērā, ka Atveseļošanas un noturības mehānisma ietvaros izšķir trīs pārkāpuma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nopietns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interešu konflikts;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korupcija;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krāpšana;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dubultais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iepirkumu normu pārkāpums – iepirkumu jomu regulējošo normatīvo aktu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līguma nosacījumu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konkurences normu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komercdarbības atbalsta normu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citu normatīvo aktu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gadījumā, ja netiktu sasniegti investīcijas rādītāji, varētu netikt izmaksāts Atveseļošanas un noturības mehānisma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iekšējās kontroles sistēmas aprakstu, ietverot informāciju par interešu konflikta (Komisijas regulas Nr. 2024/2509 61. panta izpratnē), korupcijas risku un dubultfinansējuma kontroles un novēršanas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regulu MK noteikumos un pielikumā, iekļaujot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MK noteikumu 10.1 punktā iekļautie rādītāji ir precizēti atbilstoši ANM grozījumiem. Rādītāju nesasniegšanas gadījumā visas investīcijas ietvaros netiek izmaksāts NAM. Līdz ar to nesaskatām nepieciešamību papildināt vai precizēt 10.1.punktu.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iekšējās kontroles sistēmas aprakstu, ietverot informāciju par interešu konflikta (Komisijas regulas Nr. 2024/2509 61. panta izpratnē), korupcijas risku un dubultfinansējuma kontroles un novēršanas mehānismu;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citas cenrādī iekļautās izmaksas, kas atbilst darba paku 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par kādu cenrādi noteikumu 32.5. apakšpunktā (projekta 15. punkts) ir runa un vai tas ir gala labuma guvējiem saistošs un pieejams, kā arī skaidrot, vai projekta 15. un 16. punktā minētais darba paku dalījums ir gala labuma guvējiem saistošs un pieejams. Proti, aicinām skaidrot, kā gala labuma guvējs zinās, kādas izmaksas ir iekļautas cenrādī un vai tās atbilst darba paku dalījumam. Atgādinām, ka nav pieļaujams normatīvajā aktā ar atsauces palīdzību uzlikt privātpersonām pienākumu ievērot tām nesaistošus dokumentus, kā arī atbilstoši Latvijas Republikas Satversmes 90. pantam normatīvajā aktā noteikta personas pienākuma saturam ir jābūt nepārprotami skaidram.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precizēt anotācijā ietverto skaidrojumu par noteikumu 32.5. apakšpunktu, ņemot vērā, ka tas attiecas uz gala labuma guvēju, nevis Eiropas digitālās inovācijas centru ("</w:t>
            </w:r>
            <w:r w:rsidR="00000000" w:rsidRPr="00000000" w:rsidDel="00000000">
              <w:rPr>
                <w:i w:val="1"/>
                <w:rtl w:val="0"/>
              </w:rPr>
              <w:t xml:space="preserve">[..] jaunais 32.5.apakšpunkts, ietver nosacījumus, ka EDIC izmaksu pozīcijās, kas tiek ievadītas Kohēzijas politikas fondu vadības informācijas sistēmā, iekļauj atbilstoši izstrādātajam un ar EK saskaņotajam cenrādim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 iekļautais skaidrojums par darba pakām.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citas cenrādī iekļautās izmaksas, kas atbilst darba paku dalījumam.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izmaksas, kas minētas šo noteikumu 31. un 32.punktā, ja tās neatbilsta Eiropas komisijas saskaņotajam darba paku dalījumam jau kopš Eiropas digitālo inovācijas centra projekta uzsākšanas brīža.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tiesību sistēmā nav piemērojamas tiesību normas ar atpakaļejošu spēku. Proti, Oficiālo publikāciju un tiesiskās informācijas likuma 9. panta ceturtā daļa noteic, ka normatīvajiem aktiem nav atpakaļejoša spēka, </w:t>
            </w:r>
            <w:r w:rsidR="00000000" w:rsidRPr="00000000" w:rsidDel="00000000">
              <w:rPr>
                <w:u w:val="single"/>
                <w:rtl w:val="0"/>
              </w:rPr>
              <w:t xml:space="preserve">izņemot likumā īpaši paredzētus gadījumus</w:t>
            </w:r>
            <w:r w:rsidR="00000000" w:rsidRPr="00000000" w:rsidDel="00000000">
              <w:rPr>
                <w:rtl w:val="0"/>
              </w:rPr>
              <w:t xml:space="preserve">. Attiecīgi lūdzam precizēt projektu vai arī izvērstāk skaidrot normas pieļaujamību. Vienlaikus aicinām anotācijā sniegt pamatojumu visam noteikumu 33.6. apakšpunktam, ņemot vērā uz atkārtoto saskaņošanu nodoto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skaidrot, kādēļ izmaksas netiek ietvertas pašā ārējā normatīvajā aktā (proti, noteikumos), bet gan tiek veidota atsauce uz ar Eiropas Komisiju saskaņoto darba paku dalījumu.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darba paku dalījums ir specifisks tikai Digitālās Eiropas programmas ietvaros. Ņemot vērā, ka ECID atbalsts tiek sniegts arī Atveseļošanas un noturības mehānisma ietvaros, tad normatīvais regulējums tiek pielāgots Digitālās Eiropas programmas specifikai, uz kā pamata darbojas EDIC. Lai attiecinātu finansējumu Atveseļošanas fonda ietvaros darba paku dalījums ir jāpiemēro uz visu finansējumu, tai skaitā līdz šim piešķirto, ko nepieciešamas uzrādīt attiecīgajā darba pakā.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izmaksas, kas neatbilst Eiropas komisijas saskaņotajam darba paku dalījumam jau kopš Eiropas digitālo inovācijas centra projekta uzsākšanas brīža.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izmaksas, kas minētas šo noteikumu 31. un 32.punktā, ja tās neatbilsta Eiropas komisijas saskaņotajam darba paku dalījumam jau kopš Eiropas digitālo inovācijas centra projekta uzsākšanas brīža.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izmaksu dalījumu starp programmu "Digitālā Eiropa" un Atveseļošanas fonda 2.2.1.1.i.investīciju un piedāvāto redakciju jaunam (33.6.)apakšpunktam atkārtoti aicinām tā vietā papildināt MK noteikumu 31.punktu ar izmaksu pozīcijām un, kur nepieciešams, likt atrunu "kuras netiek segtas no Eiropas Komisijas programmas "Digitālā Eiropa"" (līdzīgi, kā tas jau ir MK 13.09.2022. noteikumu Nr. 577  32.1. apakšpunkta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33.6. apakšpunktā neatsaukties uz 32.punktā minētajām izmaksām, jo gala labuma guvējam izmaksas nerodas uz Eiropas digitālās inovācijas centra darba paku pamata projekta "Digitālā Eiropa"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darba paku ietvaros ir iekļautas arī gala labuma guvēju izmaksas. Precizēts punkts atbilstoši sniegtajam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izmaksas, kas neatbilst Eiropas komisijas saskaņotajam darba paku dalījumam jau kopš Eiropas digitālo inovācijas centra projekta uzsākšanas brīža.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izmaksas, kas minētas šo noteikumu 31. un 32.punktā, ja tās neatbilsta Eiropas komisijas saskaņotajam darba paku dalījumam.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33.6.apakšpunktā saistībā ar darba pakās ietverto izmaksu dalījumu atsaukties uz 32.punktā minētajām izmaksām, ņemot vērā, ka gala labuma guvējam izmaksas rodas uz pakalpojuma līguma pamata, nevis darba pakās.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jau ir iekļauta atsauce uz 32.punktu. Vienlaikus skaidrojam, ka nosacījums par izmaksu attiecināšana darba paku dalījumā attiecas arī uz EDIC izmaksām, kas minētas 31.punktā.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izmaksas, kas neatbilst Eiropas komisijas saskaņotajam darba paku dalījumam jau kopš Eiropas digitālo inovācijas centra projekta uzsākšanas brīža.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minēto izmaksu, ja nav pretrunā ar šo noteikumu 33.6.apakšpunktu, segšanai Centrālā finanšu un līgumu aģentūra sniedz atbalstu Eiropas digitālās inovācijas centram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tas ir uzskatāms par komercdarbības atbalstu Eiropas digitālās inovācijas centra kā inovācijas kopas dalībniekiem. </w:t>
            </w:r>
            <w:r w:rsidR="00000000" w:rsidRPr="00000000" w:rsidDel="00000000">
              <w:rPr>
                <w:i w:val="1"/>
                <w:rtl w:val="0"/>
              </w:rPr>
              <w:t xml:space="preserve">De minimis</w:t>
            </w:r>
            <w:r w:rsidR="00000000" w:rsidRPr="00000000" w:rsidDel="00000000">
              <w:rPr>
                <w:rtl w:val="0"/>
              </w:rPr>
              <w:t xml:space="preserve"> atbalsts piešķirams pēc tam, kad beidzies Eiropas digitālās inovācijas centra dalībnieku līgums ar Eiropas Komisiju par programmas "Digitālā Eiropa" finansējuma piešķiršanu, bet ne ātrāk par 2025. gada 1. septembri.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tiesiskās skaidrības labad precizēt noteikumu 34.</w:t>
            </w:r>
            <w:r w:rsidR="00000000" w:rsidRPr="00000000" w:rsidDel="00000000">
              <w:rPr>
                <w:vertAlign w:val="superscript"/>
                <w:rtl w:val="0"/>
              </w:rPr>
              <w:t xml:space="preserve">2</w:t>
            </w:r>
            <w:r w:rsidR="00000000" w:rsidRPr="00000000" w:rsidDel="00000000">
              <w:rPr>
                <w:rtl w:val="0"/>
              </w:rPr>
              <w:t xml:space="preserve"> punktu (projekta 17. punkts), norādot, </w:t>
            </w:r>
            <w:r w:rsidR="00000000" w:rsidRPr="00000000" w:rsidDel="00000000">
              <w:rPr>
                <w:u w:val="single"/>
                <w:rtl w:val="0"/>
              </w:rPr>
              <w:t xml:space="preserve">kas</w:t>
            </w:r>
            <w:r w:rsidR="00000000" w:rsidRPr="00000000" w:rsidDel="00000000">
              <w:rPr>
                <w:rtl w:val="0"/>
              </w:rPr>
              <w:t xml:space="preserve"> "nav pretrunā ar šo noteikumu 33.6. apakšpunktu" (proti, izmaksas v.tml.). Līdzīgi aicinām precizēt arī citus projekta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atbilstoši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minēto izmaksu, kas nav pretrunā ar šo noteikumu 33.6.apakšpunktu, segšanai Centrālā finanšu un līgumu aģentūra sniedz atbalstu Eiropas digitālās inovācijas centram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tas ir uzskatāms par komercdarbības atbalstu Eiropas digitālās inovācijas centra kā inovācijas kopas dalībniekiem. </w:t>
            </w:r>
            <w:r w:rsidR="00000000" w:rsidRPr="00000000" w:rsidDel="00000000">
              <w:rPr>
                <w:i w:val="1"/>
                <w:rtl w:val="0"/>
              </w:rPr>
              <w:t xml:space="preserve">De minimis</w:t>
            </w:r>
            <w:r w:rsidR="00000000" w:rsidRPr="00000000" w:rsidDel="00000000">
              <w:rPr>
                <w:rtl w:val="0"/>
              </w:rPr>
              <w:t xml:space="preserve"> atbalsts piešķirams pēc tam, kad beidzies Eiropas digitālās inovācijas centra dalībnieku līgums ar Eiropas Komisiju par programmas "Digitālā Eiropa" finansējuma piešķiršanu, bet ne ātrāk par 2025. gada 1. septembri.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Eiropas digitālās inovācijas centrs atbalstāmās darbības īsteno savu funkciju ietvaros vai ārpakalpojumu veidā, ciktāl tas saistīts ar Komisijas regulas Nr. </w:t>
            </w:r>
            <w:r w:rsidR="00000000" w:rsidRPr="00000000" w:rsidDel="00000000">
              <w:rPr>
                <w:rtl w:val="0"/>
              </w:rPr>
              <w:t xml:space="preserve">651/2014</w:t>
            </w:r>
            <w:r w:rsidR="00000000" w:rsidRPr="00000000" w:rsidDel="00000000">
              <w:rPr>
                <w:rtl w:val="0"/>
              </w:rPr>
              <w:t xml:space="preserve"> 27. panta 5. un 8. punktā minētajām darbībām, ja nav pretrunā ar šo noteikumu 34.</w:t>
            </w:r>
            <w:r w:rsidR="00000000" w:rsidRPr="00000000" w:rsidDel="00000000">
              <w:rPr>
                <w:vertAlign w:val="superscript"/>
                <w:rtl w:val="0"/>
              </w:rPr>
              <w:t xml:space="preserve">2</w:t>
            </w:r>
            <w:r w:rsidR="00000000" w:rsidRPr="00000000" w:rsidDel="00000000">
              <w:rPr>
                <w:rtl w:val="0"/>
              </w:rPr>
              <w:t xml:space="preserve"> un 34.</w:t>
            </w:r>
            <w:r w:rsidR="00000000" w:rsidRPr="00000000" w:rsidDel="00000000">
              <w:rPr>
                <w:vertAlign w:val="superscript"/>
                <w:rtl w:val="0"/>
              </w:rPr>
              <w:t xml:space="preserve">4</w:t>
            </w:r>
            <w:r w:rsidR="00000000" w:rsidRPr="00000000" w:rsidDel="00000000">
              <w:rPr>
                <w:rtl w:val="0"/>
              </w:rPr>
              <w:t xml:space="preserve"> punktu ietvaros minēto nosacījumu ietvaros. Ārpakalpojums tiek veikts saskaņā ar normatīvajiem aktiem publisko iepirkumu jomā, īstenojot atklātu, pārredzamu, nediskriminējošu un konkurenci neierobežojošu procedūru.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ierosinātā grozījuma MK noteikumu 40., 51., 52.punkta redakciju, aizstājot vārdus un skaitļus “ja nav pretrunā ar šo noteikumu 34.</w:t>
            </w:r>
            <w:r w:rsidR="00000000" w:rsidRPr="00000000" w:rsidDel="00000000">
              <w:rPr>
                <w:vertAlign w:val="superscript"/>
                <w:rtl w:val="0"/>
              </w:rPr>
              <w:t xml:space="preserve">2</w:t>
            </w:r>
            <w:r w:rsidR="00000000" w:rsidRPr="00000000" w:rsidDel="00000000">
              <w:rPr>
                <w:rtl w:val="0"/>
              </w:rPr>
              <w:t xml:space="preserve"> un 34.</w:t>
            </w:r>
            <w:r w:rsidR="00000000" w:rsidRPr="00000000" w:rsidDel="00000000">
              <w:rPr>
                <w:vertAlign w:val="superscript"/>
                <w:rtl w:val="0"/>
              </w:rPr>
              <w:t xml:space="preserve">4 </w:t>
            </w:r>
            <w:r w:rsidR="00000000" w:rsidRPr="00000000" w:rsidDel="00000000">
              <w:rPr>
                <w:rtl w:val="0"/>
              </w:rPr>
              <w:t xml:space="preserve">punktu ietvaros minēto nosacījumu ietvaros” ar vārdiem un skaitļiem “ja nav pretrunā ar šo noteikumu 34.</w:t>
            </w:r>
            <w:r w:rsidR="00000000" w:rsidRPr="00000000" w:rsidDel="00000000">
              <w:rPr>
                <w:vertAlign w:val="superscript"/>
                <w:rtl w:val="0"/>
              </w:rPr>
              <w:t xml:space="preserve">2</w:t>
            </w:r>
            <w:r w:rsidR="00000000" w:rsidRPr="00000000" w:rsidDel="00000000">
              <w:rPr>
                <w:rtl w:val="0"/>
              </w:rPr>
              <w:t xml:space="preserve"> un 34.</w:t>
            </w:r>
            <w:r w:rsidR="00000000" w:rsidRPr="00000000" w:rsidDel="00000000">
              <w:rPr>
                <w:vertAlign w:val="superscript"/>
                <w:rtl w:val="0"/>
              </w:rPr>
              <w:t xml:space="preserve">4</w:t>
            </w:r>
            <w:r w:rsidR="00000000" w:rsidRPr="00000000" w:rsidDel="00000000">
              <w:rPr>
                <w:rtl w:val="0"/>
              </w:rPr>
              <w:t xml:space="preserve"> punktos minētajiem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iebildumā minēto punkti atbilstoši piedāvātajai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Eiropas digitālās inovācijas centrs atbalstāmās darbības īsteno savu funkciju ietvaros vai ārpakalpojumu veidā, ciktāl tas saistīts ar Komisijas regulas Nr. </w:t>
            </w:r>
            <w:r w:rsidR="00000000" w:rsidRPr="00000000" w:rsidDel="00000000">
              <w:rPr>
                <w:rtl w:val="0"/>
              </w:rPr>
              <w:t xml:space="preserve">651/2014</w:t>
            </w:r>
            <w:r w:rsidR="00000000" w:rsidRPr="00000000" w:rsidDel="00000000">
              <w:rPr>
                <w:rtl w:val="0"/>
              </w:rPr>
              <w:t xml:space="preserve"> 27. panta 5. un 8. punktā minētajām darbībām, kas nav pretrunā ar šo noteikumu 34.</w:t>
            </w:r>
            <w:r w:rsidR="00000000" w:rsidRPr="00000000" w:rsidDel="00000000">
              <w:rPr>
                <w:vertAlign w:val="superscript"/>
                <w:rtl w:val="0"/>
              </w:rPr>
              <w:t xml:space="preserve">2</w:t>
            </w:r>
            <w:r w:rsidR="00000000" w:rsidRPr="00000000" w:rsidDel="00000000">
              <w:rPr>
                <w:rtl w:val="0"/>
              </w:rPr>
              <w:t xml:space="preserve"> un 34.</w:t>
            </w:r>
            <w:r w:rsidR="00000000" w:rsidRPr="00000000" w:rsidDel="00000000">
              <w:rPr>
                <w:vertAlign w:val="superscript"/>
                <w:rtl w:val="0"/>
              </w:rPr>
              <w:t xml:space="preserve">4</w:t>
            </w:r>
            <w:r w:rsidR="00000000" w:rsidRPr="00000000" w:rsidDel="00000000">
              <w:rPr>
                <w:rtl w:val="0"/>
              </w:rPr>
              <w:t xml:space="preserve"> punktos minētajiem nosacījumirm. Ārpakalpojums tiek veikts saskaņā ar normatīvajiem aktiem publisko iepirkumu jomā, īstenojot atklātu, pārredzamu, nediskriminējošu un konkurenci neierobežojošu procedūru.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Pakalpojumu saņemšanai gala labuma guvējs vēršas pie Eiropas digitālās inovācijas centra. Par Eiropas digitālās inovācijas centra sniegtajiem pakalpojumiem gala labuma guvējs slēdz līgumu ar Eiropas digitālās inovācijas centru, izņemot šo noteikumu 36.13., 36.13.</w:t>
            </w:r>
            <w:r w:rsidR="00000000" w:rsidRPr="00000000" w:rsidDel="00000000">
              <w:rPr>
                <w:vertAlign w:val="superscript"/>
                <w:rtl w:val="0"/>
              </w:rPr>
              <w:t xml:space="preserve">1</w:t>
            </w:r>
            <w:r w:rsidR="00000000" w:rsidRPr="00000000" w:rsidDel="00000000">
              <w:rPr>
                <w:rtl w:val="0"/>
              </w:rPr>
              <w:t xml:space="preserve"> un 36.13.</w:t>
            </w:r>
            <w:r w:rsidR="00000000" w:rsidRPr="00000000" w:rsidDel="00000000">
              <w:rPr>
                <w:vertAlign w:val="superscript"/>
                <w:rtl w:val="0"/>
              </w:rPr>
              <w:t xml:space="preserve">2</w:t>
            </w:r>
            <w:r w:rsidR="00000000" w:rsidRPr="00000000" w:rsidDel="00000000">
              <w:rPr>
                <w:rtl w:val="0"/>
              </w:rPr>
              <w:t xml:space="preserve"> apakšpunktos minētajos gadījumos.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noteikumu 50. punktā paredz izņēmuma gadījumus, kādos gala labuma guvējam nebūtu jāslēdz līgums ar Eiropas digitālās inovācijas centru. Lūdzam izvērtēt minēto grozījumu nepieciešamību un sniegt anotācijā argumentētu pamatojumu šādu izņēmumu noteikšanai. Vēršam uzmanību, ka projektos, kur finansējuma saņēmējs ir deleģēts sniegt atbalstu gala labuma guvējam, tiek slēgts līgums, lai noteiktu subjektu savstarpējos pienākumus un tiesības, atsevišķus atbalsta piešķiršanas nosacījumus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lai nerastos interpretācijas iespējas izmaksu attiecināšanai darba paku dalījumā, MK noteikuma projekts paredz papildināt MK noteikum 50. punktu, atrunājot, ka par EDIC sniegtajiem pakalpojumiem gala labuma guvējs slēdz līgumu ar EDIC, izņemot automātisko digitālo brieduma testu un automātiskās digitālās attīstības ceļa kartes ietvaros, kas netiek uzskatīts par komercdarbības atbalstu, atbilstoši MK noteikumu Nr.577 36.13., 36.13.1 un 36.13.2 apakšpunktos minētajos gadījumos.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Pakalpojumu saņemšanai gala labuma guvējs vēršas pie Eiropas digitālās inovācijas centra. Par Eiropas digitālās inovācijas centra sniegtajiem pakalpojumiem gala labuma guvējs slēdz līgumu ar Eiropas digitālās inovācijas centru, izņemot šo noteikumu 36.13., 36.13.</w:t>
            </w:r>
            <w:r w:rsidR="00000000" w:rsidRPr="00000000" w:rsidDel="00000000">
              <w:rPr>
                <w:vertAlign w:val="superscript"/>
                <w:rtl w:val="0"/>
              </w:rPr>
              <w:t xml:space="preserve">1</w:t>
            </w:r>
            <w:r w:rsidR="00000000" w:rsidRPr="00000000" w:rsidDel="00000000">
              <w:rPr>
                <w:rtl w:val="0"/>
              </w:rPr>
              <w:t xml:space="preserve"> un 36.13.</w:t>
            </w:r>
            <w:r w:rsidR="00000000" w:rsidRPr="00000000" w:rsidDel="00000000">
              <w:rPr>
                <w:vertAlign w:val="superscript"/>
                <w:rtl w:val="0"/>
              </w:rPr>
              <w:t xml:space="preserve">2</w:t>
            </w:r>
            <w:r w:rsidR="00000000" w:rsidRPr="00000000" w:rsidDel="00000000">
              <w:rPr>
                <w:rtl w:val="0"/>
              </w:rPr>
              <w:t xml:space="preserve"> apakšpunktos minētajos gadījumos.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Centrālā finanšu un līgumu aģentūra, pieņemot lēmumu par komercdarbības atbalsta piešķiršanu, vērtē, vai uz Eiropas digitālās inovācijas centru neattiecas grūtībās nonākuša uzņēmuma statuss saskaņā ar Komisijas regulas Nr. </w:t>
            </w:r>
            <w:r w:rsidR="00000000" w:rsidRPr="00000000" w:rsidDel="00000000">
              <w:rPr>
                <w:rtl w:val="0"/>
              </w:rPr>
              <w:t xml:space="preserve">651/2014</w:t>
            </w:r>
            <w:r w:rsidR="00000000" w:rsidRPr="00000000" w:rsidDel="00000000">
              <w:rPr>
                <w:rtl w:val="0"/>
              </w:rPr>
              <w:t xml:space="preserve"> 2. panta 18. punktu un vai tas neatbilst Komisijas regulas Nr. 651/2014 1. panta 4. punkta "a" apakšpunktā minētajiem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praktiskās piemērošanas viedokļa visām iesaistītajām pusēm ir svarīga likumīga komercdarbības atbalsta piešķiršana, tad atkārtoti vēršam uzmanību, ka Komisijas 2014. gada 17. jūnija Regulas (ES) Nr. 651/2014, ar ko noteiktas atbalsta kategorijas atzīst par saderīgām ar iekšējo tirgu, piemērojot Līguma 107. un 108. pantu, (turpmāk – Komisijas regula Nr. 651/2014) 1. panta 4. punkta un 2. panta 18. punkta nosacījumi ir jāvērtē/jāpiemēro uzņēmuma grupas līmenī, jo Komisijas regulas Nr. 651/2014 angliskajā versijā nosacījumi, kas ir attiecināmi uz “undertaking”, ir jāpārbauda/jāpiemēro uzņēmuma grupas līmenī. Ņemot vērā iepriekš minēto, lūdzam papildināt MK noteikumu 54. punktu ar nosacījumu, ka Eiropas digitālās inovācijas centrs tiks vērtēts grupas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atbilstoši saskaņotajai versijai.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Centrālā finanšu un līgumu aģentūra, pieņemot lēmumu par komercdarbības atbalsta piešķiršanu, vērtē, vai uz Eiropas digitālās inovācijas centru neattiecas grūtībās nonākuša uzņēmuma statuss saskaņā ar Komisijas regulas Nr. </w:t>
            </w:r>
            <w:r w:rsidR="00000000" w:rsidRPr="00000000" w:rsidDel="00000000">
              <w:rPr>
                <w:rtl w:val="0"/>
              </w:rPr>
              <w:t xml:space="preserve">651/2014</w:t>
            </w:r>
            <w:r w:rsidR="00000000" w:rsidRPr="00000000" w:rsidDel="00000000">
              <w:rPr>
                <w:rtl w:val="0"/>
              </w:rPr>
              <w:t xml:space="preserve"> 2. panta 18. punktu un vai tas neatbilst Komisijas regulas Nr. 651/2014 1. panta 4. punkta "a" apakšpunktā minētajiem nosacījumiem (abus nosacījumus vērtē grupas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Centrālā finanšu un līgumu aģentūra, pieņemot lēmumu par komercdarbības atbalsta piešķiršanu, vērtē, vai uz Eiropas digitālās inovācijas centru neattiecas grūtībās nonākuša uzņēmuma statuss saskaņā ar Komisijas regulas Nr. </w:t>
            </w:r>
            <w:r w:rsidR="00000000" w:rsidRPr="00000000" w:rsidDel="00000000">
              <w:rPr>
                <w:rtl w:val="0"/>
              </w:rPr>
              <w:t xml:space="preserve">651/2014</w:t>
            </w:r>
            <w:r w:rsidR="00000000" w:rsidRPr="00000000" w:rsidDel="00000000">
              <w:rPr>
                <w:rtl w:val="0"/>
              </w:rPr>
              <w:t xml:space="preserve"> 2. panta 18. punktu un vai tas neatbilst Komisijas regulas Nr. 651/2014 1. panta 4. punkta "a" apakšpunktā minētajiem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2014. gada 17. jūnija Regulas (ES) Nr. 651/2014, ar ko noteiktas atbalsta kategorijas atzīst par saderīgām ar iekšējo tirgu, piemērojot Līguma 107. un 108. pantu, (turpmāk – Komisijas regula Nr. 651/2014) 1. panta 4. punkta un 2. panta 18. punkta nosacījumi ir jāvērtē/jāpiemēro uzņēmuma grupas līmenī, jo Komisijas regulas Nr. 651/2014 angliskajā versijā nosacījumi, kas ir attiecināmi uz “undertaking”, ir jāpārbauda/jāpiemēro uzņēmuma grupas līmenī. Ņemot vērā iepriekš minēto, lūdzam papildināt MK noteikumu 54. punktu ar nosacījumu, ka Eiropas digitālās inovācijas centrs tiks vērtēts grupas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EDIC pēc savas būtības ir inovācijas kopa, kur dalībnieki ir juridiskas personas, līdz ar to CFLA, piešķirot atbalstu, nepieciešams vērtēt katra dalībnieka atbilstību nevis visa EDIC ka kopas atbilstību kā grupai.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Centrālā finanšu un līgumu aģentūra, pieņemot lēmumu par komercdarbības atbalsta piešķiršanu, vērtē, vai uz Eiropas digitālās inovācijas centru neattiecas grūtībās nonākuša uzņēmuma statuss saskaņā ar Komisijas regulas Nr. </w:t>
            </w:r>
            <w:r w:rsidR="00000000" w:rsidRPr="00000000" w:rsidDel="00000000">
              <w:rPr>
                <w:rtl w:val="0"/>
              </w:rPr>
              <w:t xml:space="preserve">651/2014</w:t>
            </w:r>
            <w:r w:rsidR="00000000" w:rsidRPr="00000000" w:rsidDel="00000000">
              <w:rPr>
                <w:rtl w:val="0"/>
              </w:rPr>
              <w:t xml:space="preserve"> 2. panta 18. punktu un vai tas neatbilst Komisijas regulas Nr. 651/2014 1. panta 4. punkta "a" apakšpunktā minētajiem nosacījumiem (abus nosacījumus vērtē grupas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57.7. operācijām ar nekustamo īpašumu (NACE 2. red. grupa 68.1 "Sava nekustama īpašuma pirkšana un pārdošana" un grupa 68.31 "Starpniecība darbībā ar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57.7. apakšpunkta svītrošanai. Vēršam uzmanību, ka pirms tam minētajā punktā iekļautajai nozarei atbalsts netika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iekļauts skaidrojums, ka MK noteikumu projektu paredz svītrot MK noteikumu 57.7. apakšpunktu, precizējot atbalstāmo nozaru un darbību loku, ka atbalstu var saņemt gala labuma guvēji, kas veic operācijas ar nekustamo īpašumu. Vienlaikus anotācijā ir iekļauts papildus skaidrojums, ka veiktie labojumi sniedz iespēju paplašināt atbalsta saņēmēju loku.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57.7. operācijām ar nekustamo īpašumu (NACE 2. red. grupa 68.1 "Sava nekustama īpašuma pirkšana un pārdošana" un grupa 68.31 "Starpniecība darbībā ar nekustamo īpašumu");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vai plānotais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1408/2013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ja atbalstu piešķir saskaņā ar Komisijas regulu Nr. 1408/2013.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atbilstoši Komisijas regulas Nr. </w:t>
            </w:r>
            <w:r w:rsidR="00000000" w:rsidRPr="00000000" w:rsidDel="00000000">
              <w:rPr>
                <w:rtl w:val="0"/>
              </w:rPr>
              <w:t xml:space="preserve">1408/2013</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praktiskās piemērošanas viedokļa visām iesaistītajām pusēm ir svarīga likumīga komercdarbības atbalsta piešķiršana, un, ņemot vērā to, ka Komisijas 2013. gada 18. decembra Regulā (ES) Nr. 1408/2013 par Līguma par Eiropas Savienības darbību 107. un 108. panta piemērošanu de minimis atbalstam lauksaimniecības nozarē (turpmāk – Komisijas regula Nr. 1408/2013) ir veikti būtiski grozījumi saskaņā ar Komisijas 2024. gada 10. decembra Regulu (ES) 2024/3118, ar ko groza Regulu (ES) Nr. 1408/2013 par Līguma par Eiropas Savienības darbību 107. un 108. panta piemērošanu de minimis atbalstam lauksaimniecības nozarē, piemēram, attiecībā uz to, kā skaitāms de minimis atbalsta piešķiršanas periods, lūdzam pārskatīt MK noteikumus un precizēt MK noteikumu punktus, kuros ir iekļauti Komisijas regulas Nr. 1408/2013 nosacījumi atbilstoši tajā veiktajiem grozījumiem, piemēram, 61.1. apakšpunktu, 73. punktu, tai skaitā, lūdzam noteikumu projektu saskaņot arī ar Zemkopības ministriju Komercdarbības atbalsta kontroles likuma 9. panta otrajā daļā noteiktās kompetences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saskaņotajai versijai ar Zemkopības ministriju.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vai plānotais </w:t>
            </w:r>
            <w:r w:rsidR="00000000" w:rsidRPr="00000000" w:rsidDel="00000000">
              <w:rPr>
                <w:i w:val="1"/>
                <w:rtl w:val="0"/>
              </w:rPr>
              <w:t xml:space="preserve">de minimis</w:t>
            </w:r>
            <w:r w:rsidR="00000000" w:rsidRPr="00000000" w:rsidDel="00000000">
              <w:rPr>
                <w:rtl w:val="0"/>
              </w:rPr>
              <w:t xml:space="preserve"> atbalsta apmērs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1408/2013</w:t>
            </w:r>
            <w:r w:rsidR="00000000" w:rsidRPr="00000000" w:rsidDel="00000000">
              <w:rPr>
                <w:rtl w:val="0"/>
              </w:rPr>
              <w:t xml:space="preserve"> 3. panta 2. un 3. punktā noteikto </w:t>
            </w:r>
            <w:r w:rsidR="00000000" w:rsidRPr="00000000" w:rsidDel="00000000">
              <w:rPr>
                <w:i w:val="1"/>
                <w:rtl w:val="0"/>
              </w:rPr>
              <w:t xml:space="preserve">e minimis</w:t>
            </w:r>
            <w:r w:rsidR="00000000" w:rsidRPr="00000000" w:rsidDel="00000000">
              <w:rPr>
                <w:rtl w:val="0"/>
              </w:rPr>
              <w:t xml:space="preserve"> atbalsta maksimālo apmēru, ja atbalstu piešķir saskaņā ar Komisijas regulu Nr. 1408/2013.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atbilstoši Komisijas regulas Nr. </w:t>
            </w:r>
            <w:r w:rsidR="00000000" w:rsidRPr="00000000" w:rsidDel="00000000">
              <w:rPr>
                <w:rtl w:val="0"/>
              </w:rPr>
              <w:t xml:space="preserve">1408/2013</w:t>
            </w:r>
            <w:r w:rsidR="00000000" w:rsidRPr="00000000" w:rsidDel="00000000">
              <w:rPr>
                <w:rtl w:val="0"/>
              </w:rPr>
              <w:t xml:space="preserve">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vai plānotais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1408/2013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ja atbalstu piešķir saskaņā ar Komisijas regulu Nr. 1408/2013.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atbilstoši Komisijas regulas Nr. </w:t>
            </w:r>
            <w:r w:rsidR="00000000" w:rsidRPr="00000000" w:rsidDel="00000000">
              <w:rPr>
                <w:rtl w:val="0"/>
              </w:rPr>
              <w:t xml:space="preserve">1408/2013</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grozījumus Komisijas 2013. gada 18. decembra Regulā (ES) Nr. 1408/2013 par Līguma par Eiropas Savienības darbību 107. un 108. panta piemērošanu de minimis atbalstam lauksaimniecības nozarē (turpmāk – Komisijas regula Nr. 1408/2013), kas veikti saskaņā ar Komisijas 2024. gada 10. decembra Regulu (ES) 2024/3118, ar ko groza Regulu (ES) Nr. 1408/2013 par Līguma par Eiropas Savienības darbību 107. un 108. panta piemērošanu de minimis atbalstam lauksaimniecības nozarē, lūdzam pārskatīt MK noteikumus un precizēt MK noteikumu punktus, kuros ir iekļauti Komisijas regulas Nr. 1408/2013 nosacījumi atbilstoši tajā veiktajiem grozījumiem, piemēram, 61.1. apakšpunktu, 73. punktu, tai skaitā, noteikumu projektu saskaņot arī ar Zemkopības ministriju Komercdarbības atbalsta kontroles likuma 9. panta otrajā daļā noteiktās kompetences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EDIC ietvaros ir noslēgti līgumi, kas vēl nav beigušies, un kuriem ir piešķirts de minimis atbalsts ar Regulu Nr. 1408/2013. MK noteikumu ietvaros ir atstāta atsauce uz iepriekšējo regulu, jo noslēgtie līgumi vēl nav beigušie un, lai neradītu interpretācijas iespējas tiek saglabāta atsauce uz abām regulām.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vai plānotais </w:t>
            </w:r>
            <w:r w:rsidR="00000000" w:rsidRPr="00000000" w:rsidDel="00000000">
              <w:rPr>
                <w:i w:val="1"/>
                <w:rtl w:val="0"/>
              </w:rPr>
              <w:t xml:space="preserve">de minimis</w:t>
            </w:r>
            <w:r w:rsidR="00000000" w:rsidRPr="00000000" w:rsidDel="00000000">
              <w:rPr>
                <w:rtl w:val="0"/>
              </w:rPr>
              <w:t xml:space="preserve"> atbalsta apmērs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1408/2013</w:t>
            </w:r>
            <w:r w:rsidR="00000000" w:rsidRPr="00000000" w:rsidDel="00000000">
              <w:rPr>
                <w:rtl w:val="0"/>
              </w:rPr>
              <w:t xml:space="preserve"> 3. panta 2. un 3. punktā noteikto </w:t>
            </w:r>
            <w:r w:rsidR="00000000" w:rsidRPr="00000000" w:rsidDel="00000000">
              <w:rPr>
                <w:i w:val="1"/>
                <w:rtl w:val="0"/>
              </w:rPr>
              <w:t xml:space="preserve">e minimis</w:t>
            </w:r>
            <w:r w:rsidR="00000000" w:rsidRPr="00000000" w:rsidDel="00000000">
              <w:rPr>
                <w:rtl w:val="0"/>
              </w:rPr>
              <w:t xml:space="preserve"> atbalsta maksimālo apmēru, ja atbalstu piešķir saskaņā ar Komisijas regulu Nr. 1408/2013.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atbilstoši Komisijas regulas Nr. </w:t>
            </w:r>
            <w:r w:rsidR="00000000" w:rsidRPr="00000000" w:rsidDel="00000000">
              <w:rPr>
                <w:rtl w:val="0"/>
              </w:rPr>
              <w:t xml:space="preserve">1408/2013</w:t>
            </w:r>
            <w:r w:rsidR="00000000" w:rsidRPr="00000000" w:rsidDel="00000000">
              <w:rPr>
                <w:rtl w:val="0"/>
              </w:rPr>
              <w:t xml:space="preserve">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2024.gada 1.jūlijā stājās spēkā grozījumi Ministru kabineta 2018. gada 21. novembra noteikumos Nr. 715 "De minimis atbalsta uzskaites un piešķiršanas kārtība", ar kuriem tika mainīts tiesību akta nosaukums, kā arī svītrots to 1.pielikums "Veidlapa par sniedzamo informāciju de minimis atbalsta uzskaitei un piešķiršanai", lūdzam 62.punktā svītrot vārdus: "un de minimis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Labojumi veikti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Atbilstoši Komisijas regulas Nr. </w:t>
            </w:r>
            <w:r w:rsidR="00000000" w:rsidRPr="00000000" w:rsidDel="00000000">
              <w:rPr>
                <w:rtl w:val="0"/>
              </w:rPr>
              <w:t xml:space="preserve">651/2014</w:t>
            </w:r>
            <w:r w:rsidR="00000000" w:rsidRPr="00000000" w:rsidDel="00000000">
              <w:rPr>
                <w:rtl w:val="0"/>
              </w:rPr>
              <w:t xml:space="preserve"> 12. pantam, Komisijas regulas Nr. </w:t>
            </w:r>
            <w:r w:rsidR="00000000" w:rsidRPr="00000000" w:rsidDel="00000000">
              <w:rPr>
                <w:rtl w:val="0"/>
              </w:rPr>
              <w:t xml:space="preserve">2023/2831</w:t>
            </w:r>
            <w:r w:rsidR="00000000" w:rsidRPr="00000000" w:rsidDel="00000000">
              <w:rPr>
                <w:rtl w:val="0"/>
              </w:rPr>
              <w:t xml:space="preserve"> 6. panta 3. punktam vai Komisijas regulas Nr. </w:t>
            </w:r>
            <w:r w:rsidR="00000000" w:rsidRPr="00000000" w:rsidDel="00000000">
              <w:rPr>
                <w:rtl w:val="0"/>
              </w:rPr>
              <w:t xml:space="preserve">1408/2013</w:t>
            </w:r>
            <w:r w:rsidR="00000000" w:rsidRPr="00000000" w:rsidDel="00000000">
              <w:rPr>
                <w:rtl w:val="0"/>
              </w:rPr>
              <w:t xml:space="preserve"> 6. panta 4. punktam piekļuvi informācijai nodrošina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projektā ir ietverta korekta atsauce par datu uzglabāšanas pienākumu, kas izriet no Komisijas 2023. gada 13. decembra Regulas (ES) 2023/2831 par Līguma par Eiropas Savienības darbību 107. un 108. panta piemērošanu de minimis atbalstam (turpmāk – Komisijas regula Nr. 2023/2831), lūdzam papildināt MK noteikumu 73. punktu ar atsauci arī uz Komisijas regulas Nr. 2023/2831 6. panta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atbilstoši piedāvātajam.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Atbilstoši Komisijas regulas Nr. </w:t>
            </w:r>
            <w:r w:rsidR="00000000" w:rsidRPr="00000000" w:rsidDel="00000000">
              <w:rPr>
                <w:rtl w:val="0"/>
              </w:rPr>
              <w:t xml:space="preserve">651/2014</w:t>
            </w:r>
            <w:r w:rsidR="00000000" w:rsidRPr="00000000" w:rsidDel="00000000">
              <w:rPr>
                <w:rtl w:val="0"/>
              </w:rPr>
              <w:t xml:space="preserve"> 12. pantam, Komisijas regulas Nr. </w:t>
            </w:r>
            <w:r w:rsidR="00000000" w:rsidRPr="00000000" w:rsidDel="00000000">
              <w:rPr>
                <w:rtl w:val="0"/>
              </w:rPr>
              <w:t xml:space="preserve">2023/2831</w:t>
            </w:r>
            <w:r w:rsidR="00000000" w:rsidRPr="00000000" w:rsidDel="00000000">
              <w:rPr>
                <w:rtl w:val="0"/>
              </w:rPr>
              <w:t xml:space="preserve"> 6. panta 7. un 3. punktam vai Komisijas regulas Nr. </w:t>
            </w:r>
            <w:r w:rsidR="00000000" w:rsidRPr="00000000" w:rsidDel="00000000">
              <w:rPr>
                <w:rtl w:val="0"/>
              </w:rPr>
              <w:t xml:space="preserve">1408/2013</w:t>
            </w:r>
            <w:r w:rsidR="00000000" w:rsidRPr="00000000" w:rsidDel="00000000">
              <w:rPr>
                <w:rtl w:val="0"/>
              </w:rPr>
              <w:t xml:space="preserve"> 6. panta 3. punktam piekļuvi informācijai nodrošina šādā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Objektivitātes un konfidencialitātes apliecinājums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arī noteikumu 3. pielikumu, aizstājot ar aktuālo regulu - Eiropas Parlamenta un Padomes 2024. gada 23. septembra Regula (ES, Euratom) 2024/2509 par finanšu noteikumiem, ko piemēro Savienības vispārējam budžetam (pārstrādāta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pielikumā atsauce uz regulu.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Objektivitātes un konfidencialitātes apliecinājums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24-TA-3044</w:t>
    </w:r>
    <w:r>
      <w:br/>
    </w:r>
    <w:r w:rsidR="00000000" w:rsidRPr="00000000" w:rsidDel="00000000">
      <w:rPr>
        <w:rtl w:val="0"/>
      </w:rPr>
      <w:t xml:space="preserve">20.03.2025. 21.47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24-TA-3044</w:t>
    </w:r>
    <w:r>
      <w:br/>
    </w:r>
    <w:r w:rsidR="00000000" w:rsidRPr="00000000" w:rsidDel="00000000">
      <w:rPr>
        <w:rtl w:val="0"/>
      </w:rPr>
      <w:t xml:space="preserve">20.03.2025. 21.47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Izziņa_24-TA-3044.docx</dc:title>
</cp:coreProperties>
</file>

<file path=docProps/custom.xml><?xml version="1.0" encoding="utf-8"?>
<Properties xmlns="http://schemas.openxmlformats.org/officeDocument/2006/custom-properties" xmlns:vt="http://schemas.openxmlformats.org/officeDocument/2006/docPropsVTypes"/>
</file>