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81FAC89" w14:textId="77777777" w:rsidR="00D55867" w:rsidRDefault="00D55867" w:rsidP="00D55867">
      <w:pPr>
        <w:rPr>
          <w:rFonts w:eastAsia="Times New Roman"/>
          <w:lang w:val="en-US" w:eastAsia="lv-LV"/>
        </w:rPr>
      </w:pPr>
      <w:bookmarkStart w:id="0" w:name="_MailOriginal"/>
      <w:r>
        <w:rPr>
          <w:rFonts w:eastAsia="Times New Roman"/>
          <w:b/>
          <w:bCs/>
          <w:lang w:val="en-US" w:eastAsia="lv-LV"/>
        </w:rPr>
        <w:t>From:</w:t>
      </w:r>
      <w:r>
        <w:rPr>
          <w:rFonts w:eastAsia="Times New Roman"/>
          <w:lang w:val="en-US" w:eastAsia="lv-LV"/>
        </w:rPr>
        <w:t xml:space="preserve"> Andra Reinfelde &lt;Andra.Reinfelde@TM.GOV.LV&gt; </w:t>
      </w:r>
      <w:r>
        <w:rPr>
          <w:rFonts w:eastAsia="Times New Roman"/>
          <w:lang w:val="en-US" w:eastAsia="lv-LV"/>
        </w:rPr>
        <w:br/>
      </w:r>
      <w:r>
        <w:rPr>
          <w:rFonts w:eastAsia="Times New Roman"/>
          <w:b/>
          <w:bCs/>
          <w:lang w:val="en-US" w:eastAsia="lv-LV"/>
        </w:rPr>
        <w:t>Sent:</w:t>
      </w:r>
      <w:r>
        <w:rPr>
          <w:rFonts w:eastAsia="Times New Roman"/>
          <w:lang w:val="en-US" w:eastAsia="lv-LV"/>
        </w:rPr>
        <w:t xml:space="preserve"> </w:t>
      </w:r>
      <w:proofErr w:type="spellStart"/>
      <w:r>
        <w:rPr>
          <w:rFonts w:eastAsia="Times New Roman"/>
          <w:lang w:val="en-US" w:eastAsia="lv-LV"/>
        </w:rPr>
        <w:t>trešdiena</w:t>
      </w:r>
      <w:proofErr w:type="spellEnd"/>
      <w:r>
        <w:rPr>
          <w:rFonts w:eastAsia="Times New Roman"/>
          <w:lang w:val="en-US" w:eastAsia="lv-LV"/>
        </w:rPr>
        <w:t xml:space="preserve">, 2022. </w:t>
      </w:r>
      <w:proofErr w:type="spellStart"/>
      <w:r>
        <w:rPr>
          <w:rFonts w:eastAsia="Times New Roman"/>
          <w:lang w:val="en-US" w:eastAsia="lv-LV"/>
        </w:rPr>
        <w:t>gada</w:t>
      </w:r>
      <w:proofErr w:type="spellEnd"/>
      <w:r>
        <w:rPr>
          <w:rFonts w:eastAsia="Times New Roman"/>
          <w:lang w:val="en-US" w:eastAsia="lv-LV"/>
        </w:rPr>
        <w:t xml:space="preserve"> 26. </w:t>
      </w:r>
      <w:proofErr w:type="spellStart"/>
      <w:r>
        <w:rPr>
          <w:rFonts w:eastAsia="Times New Roman"/>
          <w:lang w:val="en-US" w:eastAsia="lv-LV"/>
        </w:rPr>
        <w:t>janvāris</w:t>
      </w:r>
      <w:proofErr w:type="spellEnd"/>
      <w:r>
        <w:rPr>
          <w:rFonts w:eastAsia="Times New Roman"/>
          <w:lang w:val="en-US" w:eastAsia="lv-LV"/>
        </w:rPr>
        <w:t xml:space="preserve"> 16:23</w:t>
      </w:r>
      <w:r>
        <w:rPr>
          <w:rFonts w:eastAsia="Times New Roman"/>
          <w:lang w:val="en-US" w:eastAsia="lv-LV"/>
        </w:rPr>
        <w:br/>
      </w:r>
      <w:r>
        <w:rPr>
          <w:rFonts w:eastAsia="Times New Roman"/>
          <w:b/>
          <w:bCs/>
          <w:lang w:val="en-US" w:eastAsia="lv-LV"/>
        </w:rPr>
        <w:t>To:</w:t>
      </w:r>
      <w:r>
        <w:rPr>
          <w:rFonts w:eastAsia="Times New Roman"/>
          <w:lang w:val="en-US" w:eastAsia="lv-LV"/>
        </w:rPr>
        <w:t xml:space="preserve"> Helēna Rimša &lt;Helena.Rimsa@em.gov.lv&gt;</w:t>
      </w:r>
      <w:r>
        <w:rPr>
          <w:rFonts w:eastAsia="Times New Roman"/>
          <w:lang w:val="en-US" w:eastAsia="lv-LV"/>
        </w:rPr>
        <w:br/>
      </w:r>
      <w:r>
        <w:rPr>
          <w:rFonts w:eastAsia="Times New Roman"/>
          <w:b/>
          <w:bCs/>
          <w:lang w:val="en-US" w:eastAsia="lv-LV"/>
        </w:rPr>
        <w:t>Subject:</w:t>
      </w:r>
      <w:r>
        <w:rPr>
          <w:rFonts w:eastAsia="Times New Roman"/>
          <w:lang w:val="en-US" w:eastAsia="lv-LV"/>
        </w:rPr>
        <w:t xml:space="preserve"> RE: </w:t>
      </w:r>
      <w:proofErr w:type="spellStart"/>
      <w:r>
        <w:rPr>
          <w:rFonts w:eastAsia="Times New Roman"/>
          <w:lang w:val="en-US" w:eastAsia="lv-LV"/>
        </w:rPr>
        <w:t>likumprojekta</w:t>
      </w:r>
      <w:proofErr w:type="spellEnd"/>
      <w:r>
        <w:rPr>
          <w:rFonts w:eastAsia="Times New Roman"/>
          <w:lang w:val="en-US" w:eastAsia="lv-LV"/>
        </w:rPr>
        <w:t xml:space="preserve"> "</w:t>
      </w:r>
      <w:proofErr w:type="spellStart"/>
      <w:r>
        <w:rPr>
          <w:rFonts w:eastAsia="Times New Roman"/>
          <w:lang w:val="en-US" w:eastAsia="lv-LV"/>
        </w:rPr>
        <w:t>Transporta</w:t>
      </w:r>
      <w:proofErr w:type="spellEnd"/>
      <w:r>
        <w:rPr>
          <w:rFonts w:eastAsia="Times New Roman"/>
          <w:lang w:val="en-US" w:eastAsia="lv-LV"/>
        </w:rPr>
        <w:t xml:space="preserve"> </w:t>
      </w:r>
      <w:proofErr w:type="spellStart"/>
      <w:r>
        <w:rPr>
          <w:rFonts w:eastAsia="Times New Roman"/>
          <w:lang w:val="en-US" w:eastAsia="lv-LV"/>
        </w:rPr>
        <w:t>energijas</w:t>
      </w:r>
      <w:proofErr w:type="spellEnd"/>
      <w:r>
        <w:rPr>
          <w:rFonts w:eastAsia="Times New Roman"/>
          <w:lang w:val="en-US" w:eastAsia="lv-LV"/>
        </w:rPr>
        <w:t xml:space="preserve"> </w:t>
      </w:r>
      <w:proofErr w:type="spellStart"/>
      <w:r>
        <w:rPr>
          <w:rFonts w:eastAsia="Times New Roman"/>
          <w:lang w:val="en-US" w:eastAsia="lv-LV"/>
        </w:rPr>
        <w:t>likums</w:t>
      </w:r>
      <w:proofErr w:type="spellEnd"/>
      <w:r>
        <w:rPr>
          <w:rFonts w:eastAsia="Times New Roman"/>
          <w:lang w:val="en-US" w:eastAsia="lv-LV"/>
        </w:rPr>
        <w:t xml:space="preserve">" </w:t>
      </w:r>
      <w:proofErr w:type="gramStart"/>
      <w:r>
        <w:rPr>
          <w:rFonts w:eastAsia="Times New Roman"/>
          <w:lang w:val="en-US" w:eastAsia="lv-LV"/>
        </w:rPr>
        <w:t>13.panta</w:t>
      </w:r>
      <w:proofErr w:type="gramEnd"/>
      <w:r>
        <w:rPr>
          <w:rFonts w:eastAsia="Times New Roman"/>
          <w:lang w:val="en-US" w:eastAsia="lv-LV"/>
        </w:rPr>
        <w:t xml:space="preserve"> un </w:t>
      </w:r>
      <w:proofErr w:type="spellStart"/>
      <w:r>
        <w:rPr>
          <w:rFonts w:eastAsia="Times New Roman"/>
          <w:lang w:val="en-US" w:eastAsia="lv-LV"/>
        </w:rPr>
        <w:t>anotacijas</w:t>
      </w:r>
      <w:proofErr w:type="spellEnd"/>
      <w:r>
        <w:rPr>
          <w:rFonts w:eastAsia="Times New Roman"/>
          <w:lang w:val="en-US" w:eastAsia="lv-LV"/>
        </w:rPr>
        <w:t xml:space="preserve"> </w:t>
      </w:r>
      <w:proofErr w:type="spellStart"/>
      <w:r>
        <w:rPr>
          <w:rFonts w:eastAsia="Times New Roman"/>
          <w:lang w:val="en-US" w:eastAsia="lv-LV"/>
        </w:rPr>
        <w:t>grozijumu</w:t>
      </w:r>
      <w:proofErr w:type="spellEnd"/>
      <w:r>
        <w:rPr>
          <w:rFonts w:eastAsia="Times New Roman"/>
          <w:lang w:val="en-US" w:eastAsia="lv-LV"/>
        </w:rPr>
        <w:t xml:space="preserve"> </w:t>
      </w:r>
      <w:proofErr w:type="spellStart"/>
      <w:r>
        <w:rPr>
          <w:rFonts w:eastAsia="Times New Roman"/>
          <w:lang w:val="en-US" w:eastAsia="lv-LV"/>
        </w:rPr>
        <w:t>saskanojums</w:t>
      </w:r>
      <w:proofErr w:type="spellEnd"/>
      <w:r>
        <w:rPr>
          <w:rFonts w:eastAsia="Times New Roman"/>
          <w:lang w:val="en-US" w:eastAsia="lv-LV"/>
        </w:rPr>
        <w:t xml:space="preserve"> (VSS 09.12.2021. </w:t>
      </w:r>
      <w:proofErr w:type="spellStart"/>
      <w:r>
        <w:rPr>
          <w:rFonts w:eastAsia="Times New Roman"/>
          <w:lang w:val="en-US" w:eastAsia="lv-LV"/>
        </w:rPr>
        <w:t>protokola</w:t>
      </w:r>
      <w:proofErr w:type="spellEnd"/>
      <w:r>
        <w:rPr>
          <w:rFonts w:eastAsia="Times New Roman"/>
          <w:lang w:val="en-US" w:eastAsia="lv-LV"/>
        </w:rPr>
        <w:t xml:space="preserve"> Nr.41 1. § 2.</w:t>
      </w:r>
      <w:proofErr w:type="gramStart"/>
      <w:r>
        <w:rPr>
          <w:rFonts w:eastAsia="Times New Roman"/>
          <w:lang w:val="en-US" w:eastAsia="lv-LV"/>
        </w:rPr>
        <w:t>3.punkts</w:t>
      </w:r>
      <w:proofErr w:type="gramEnd"/>
      <w:r>
        <w:rPr>
          <w:rFonts w:eastAsia="Times New Roman"/>
          <w:lang w:val="en-US" w:eastAsia="lv-LV"/>
        </w:rPr>
        <w:t>)</w:t>
      </w:r>
    </w:p>
    <w:p w14:paraId="222AF7FC" w14:textId="77777777" w:rsidR="00D55867" w:rsidRDefault="00D55867" w:rsidP="00D55867"/>
    <w:p w14:paraId="65784DD2" w14:textId="77777777" w:rsidR="00D55867" w:rsidRDefault="00D55867" w:rsidP="00D55867">
      <w:pPr>
        <w:pStyle w:val="NormalWeb"/>
        <w:shd w:val="clear" w:color="auto" w:fill="D5EAFF"/>
        <w:spacing w:line="200" w:lineRule="atLeast"/>
        <w:rPr>
          <w:color w:val="000000"/>
          <w:sz w:val="24"/>
          <w:szCs w:val="24"/>
        </w:rPr>
      </w:pPr>
      <w:r>
        <w:rPr>
          <w:color w:val="000000"/>
          <w:sz w:val="24"/>
          <w:szCs w:val="24"/>
        </w:rPr>
        <w:t>INFORMĀCIJAI: E-pasta vēstules sūtītājs ir ārējais adresāts.</w:t>
      </w:r>
    </w:p>
    <w:p w14:paraId="534E51DF" w14:textId="77777777" w:rsidR="00D55867" w:rsidRDefault="00D55867" w:rsidP="00D55867">
      <w:r>
        <w:t>Labdien!</w:t>
      </w:r>
    </w:p>
    <w:p w14:paraId="7EA7B704" w14:textId="77777777" w:rsidR="00D55867" w:rsidRDefault="00D55867" w:rsidP="00D55867"/>
    <w:p w14:paraId="032520F3" w14:textId="77777777" w:rsidR="00D55867" w:rsidRDefault="00D55867" w:rsidP="00D55867">
      <w:pPr>
        <w:jc w:val="both"/>
      </w:pPr>
      <w:r>
        <w:t>Tieslietu ministrija ir izskatījusi Ekonomikas ministrijas sagatavoto precizēto likumprojektu "Transporta enerģijas likums" (turpmāk – projekts) un sniedz šādu viedokli:</w:t>
      </w:r>
    </w:p>
    <w:p w14:paraId="426DAD92" w14:textId="77777777" w:rsidR="00D55867" w:rsidRDefault="00D55867" w:rsidP="00D55867">
      <w:pPr>
        <w:jc w:val="both"/>
      </w:pPr>
    </w:p>
    <w:p w14:paraId="04A882BA" w14:textId="77777777" w:rsidR="00D55867" w:rsidRDefault="00D55867" w:rsidP="00D55867">
      <w:pPr>
        <w:jc w:val="both"/>
      </w:pPr>
      <w:r>
        <w:t>1. Projekta 13. panta ceturtā daļa ir precizēta, piešķirot institūcijai rīcības brīvību izmantot piespiedu ietekmēšanas līdzekļus. Līdz ar to Tieslietu ministrijas iebildums saistībā ar šo panta daļu ir ņemts vērā.</w:t>
      </w:r>
    </w:p>
    <w:p w14:paraId="4FABC507" w14:textId="77777777" w:rsidR="00D55867" w:rsidRDefault="00D55867" w:rsidP="00D55867">
      <w:pPr>
        <w:jc w:val="both"/>
      </w:pPr>
    </w:p>
    <w:p w14:paraId="0BB284DF" w14:textId="77777777" w:rsidR="00D55867" w:rsidRDefault="00D55867" w:rsidP="00D55867">
      <w:pPr>
        <w:jc w:val="both"/>
      </w:pPr>
      <w:r>
        <w:t>2. Projekta 13. panta sestajā daļā joprojām ir saglabāts noteikums, ka lēmuma par piespiedu naudas uzlikšanu pārsūdzēšana neaptur tā izpildi.</w:t>
      </w:r>
    </w:p>
    <w:p w14:paraId="5AA024FE" w14:textId="77777777" w:rsidR="00D55867" w:rsidRDefault="00D55867" w:rsidP="00D55867">
      <w:pPr>
        <w:ind w:firstLine="720"/>
        <w:jc w:val="both"/>
      </w:pPr>
      <w:r>
        <w:t>Projekta anotācijā ietverts šāds skaidrojums: "</w:t>
      </w:r>
      <w:r>
        <w:rPr>
          <w:i/>
          <w:iCs/>
        </w:rPr>
        <w:t>Vienlaikus, ievērojot APL 185. panta 4. daļas 2. punktu, pantā ir iekļauts nosacījums, ka BVKB lēmuma pārsūdzēšana nepatur tā izpildi, lai nodrošinātu to, ka mērķi tiek izpildīti nevis tiek nepamatoti atlikta to izpilde, paļaujoties iespējamo lēmuma apstrīdēšanas tiesvedības ilgstošo procesu. Minētais nosacījums ir iekļauts, tai skaitā ievērojot enerģētikas nozarē jau izstrādātos līdzvērtīgos nosacījumus, piemēram, Elektroenerģijas tirgus likuma 31.2 panta 4.daļa vai likuma "Par hidroelektrostaciju hidrotehnisko būvju drošumu" 13. panta trešā daļa. Ātra rīcība atjaunojamās enerģijas izmantošanas veicināšanai un energoefektivitātes uzlabošanai transportā šobrīd Latvijā ir īpaši svarīga, ņemot vērā Latvijai saistošos mērķus un noteiktos pienākumus, kur ir nepieciešama rīcība gan no valsts vai pašvaldību puses, gan komersantu puses. Likumprojektā noteiktās piespiedu naudas galvenā būtība un jēga ir nodrošināt noteikto mērķu izpildi nevis sodīt par mērķu neizpildi. Iespēja šīs piespiedu naudas maksāšanas atlikšanai, jo lēmums par piespiedu naudas uzlikšanu tiek pārsūdzēts tiesā, varētu būtiski novilcināt arī gan valstij, gan degvielas piegādātājiem noteikto mērķu izpildi. Piedevām ir jānorāda, ka likumprojekta 8. panta ceturtās daļas 2. punkta ir iekļauti dažādi mērķi dažādiem gadiem, līdz ar to lēmuma spēkā stāšanās atlikšana varētu radīt situāciju, kad degvielas piegādātājs nav izpildījis vienam gadam noteikto mērķi un šim degvielas piegādātājam nav stājies spēkā lēmums par piespiedu naudas piemērošanu, bet degvielas piegādātājam ir jau spēkā cita gada mērķi</w:t>
      </w:r>
      <w:r>
        <w:t>."</w:t>
      </w:r>
    </w:p>
    <w:p w14:paraId="4CB81723" w14:textId="77777777" w:rsidR="00D55867" w:rsidRDefault="00D55867" w:rsidP="00D55867">
      <w:pPr>
        <w:ind w:firstLine="720"/>
        <w:jc w:val="both"/>
      </w:pPr>
      <w:r>
        <w:t>Lai arī projektā paredzētā piespiedu nauda nav sods, tas tomēr ir piespiedu ietekmēšanas līdzeklis, nevis tāda veida maksājums valstij kā nodoklis vai tamlīdzīgi, resp., maksājums ar fiskālu mērķi (Dreimanis A. Pagaidu aizsardzības līdzekļi administratīvajā procesā tiesā. Jurista Vārds, 24.03.2009., Nr. 12). Tāpat projekta 13. pantā veidotais mehānisms atšķiras no Administratīvā procesa likumā regulētās piespiedu naudas kā administratīvā akta piespiedu izpildes līdzekļa.</w:t>
      </w:r>
    </w:p>
    <w:p w14:paraId="4D5C8503" w14:textId="77777777" w:rsidR="00D55867" w:rsidRDefault="00D55867" w:rsidP="00D55867">
      <w:pPr>
        <w:ind w:firstLine="720"/>
        <w:jc w:val="both"/>
      </w:pPr>
      <w:r>
        <w:t xml:space="preserve">Neatkārtojot iepriekš izteiktos argumentus, projekta anotācijā uzmanība ir pievērsta tikai valsts (sabiedrības) interesēm, taču nemaz nav vērtēta šāda izņēmuma iespējamā ietekme uz privātpersonu. Administratīvā akta darbības apturēšana ir tieši paredzēta tam, lai aizsargātu privātpersonu, proti, lai tā neciestu nevajadzīgus zaudējumus, ja administratīvais aktu galu galā tiktu atcelts vai iegūtu citu saturu (sal. Briede J. 80. pants. Apstrīdētā administratīvā akta darbības apturēšana. </w:t>
      </w:r>
      <w:proofErr w:type="spellStart"/>
      <w:r>
        <w:t>Grām</w:t>
      </w:r>
      <w:proofErr w:type="spellEnd"/>
      <w:r>
        <w:t>.: Administratīvā procesa likuma komentāri. A un B daļa. Sagatavojis autoru kolektīvs. Dr. iur. J. Briedes zinātniskajā redakcijā. Rīga: Tiesu namu aģentūra, 2013, 770. lpp.). Izņēmumi ir paredzami vien atsevišķos gadījumos, kas saistāmi ar tūlītēji draudošām briesmām, steidzamību vai tamlīdzīgiem gadījumiem.</w:t>
      </w:r>
    </w:p>
    <w:p w14:paraId="7167A21F" w14:textId="77777777" w:rsidR="00D55867" w:rsidRDefault="00D55867" w:rsidP="00D55867">
      <w:pPr>
        <w:ind w:firstLine="720"/>
        <w:jc w:val="both"/>
      </w:pPr>
      <w:r>
        <w:t>Līdz ar to šobrīd nav pamatojuma projekta 13. panta sestajā daļā esošajam izņēmumam.</w:t>
      </w:r>
    </w:p>
    <w:p w14:paraId="2FC37DE4" w14:textId="77777777" w:rsidR="00D55867" w:rsidRDefault="00D55867" w:rsidP="00D55867">
      <w:pPr>
        <w:jc w:val="both"/>
      </w:pPr>
    </w:p>
    <w:p w14:paraId="79C16CC4" w14:textId="77777777" w:rsidR="00D55867" w:rsidRDefault="00D55867" w:rsidP="00D55867">
      <w:pPr>
        <w:jc w:val="both"/>
      </w:pPr>
      <w:r>
        <w:t>              3. Projekta anotācijā iekļauts šāds skaidrojums: "APL ir noteikti procesuālie piespiedu līdzekļi, ja tiek konstatēts likumprojektā noteikto nosacījumu pārkāpums: 1) tiesiska pienākuma izdošana novērst pārkāpumu; 2 atkārtota pārkāpuma – piespiedu naudas piemērošana; 3) noteikto pienākumu nepildīšana, kā arī iepriekšminētā tiesiskā pienākuma ignorēšana un/vai piespiedu naudas neapmaksāšana – pat   licences anulēšana.</w:t>
      </w:r>
    </w:p>
    <w:p w14:paraId="0C768C59" w14:textId="77777777" w:rsidR="00D55867" w:rsidRDefault="00D55867" w:rsidP="00D55867">
      <w:pPr>
        <w:ind w:firstLine="720"/>
        <w:jc w:val="both"/>
      </w:pPr>
      <w:r>
        <w:t>Ņemot vērā, ka degvielas piegādātājiem likuma 8. pantā noteikto mērķu izpilde nav iespējama ar "tiesiska pienākuma izdošana novērst pārkāpumu", mērķis ir noteikts kalendārajam gadam un nākamajā kalendārajā gadā iepriekšējā gada mērķi izpildīt vairs nav iespējams, ir nepieciešams likumā noteikt piespiedu naudas piemērošanas sistēmu, vienlaikus nosakot, ka piespiedu naudas nesamaksāšanas gadījumā, degvielas piegādātājam var tikt apturēta vai anulēta speciālā atļauja (licence) darbībām ar akcīzes precēm."</w:t>
      </w:r>
    </w:p>
    <w:p w14:paraId="3AF2F099" w14:textId="77777777" w:rsidR="00D55867" w:rsidRDefault="00D55867" w:rsidP="00D55867">
      <w:pPr>
        <w:ind w:firstLine="720"/>
        <w:jc w:val="both"/>
      </w:pPr>
      <w:r>
        <w:t>Projekta anotācijā izteiktie apgalvojumi par procesuālajiem piespiedu līdzekļiem neatbilst Administratīvā procesa likumam. Nav saprotams, kuras šā likuma vienības ir pamatā projekta anotācijā ietvertajiem secinājumiem.</w:t>
      </w:r>
    </w:p>
    <w:p w14:paraId="1504F540" w14:textId="77777777" w:rsidR="00D55867" w:rsidRDefault="00D55867" w:rsidP="00D55867">
      <w:pPr>
        <w:ind w:firstLine="720"/>
        <w:jc w:val="both"/>
      </w:pPr>
      <w:r>
        <w:t xml:space="preserve">Nevar pilnībā piekrist arī apgalvojumam, ka projekta 8. pantā noteikto mērķu izpilde nav iespējama, nosakot tiesisku pienākumu. Ja var piemērot piespiedu naudu vai citu tāda veida piespiedu ietekmēšanas līdzekli, tad principā nav šķēršļu noteikt arī atbilstošu tiesisku pienākumu. </w:t>
      </w:r>
    </w:p>
    <w:p w14:paraId="7A415FA7" w14:textId="77777777" w:rsidR="00D55867" w:rsidRDefault="00D55867" w:rsidP="00D55867">
      <w:pPr>
        <w:ind w:firstLine="720"/>
        <w:jc w:val="both"/>
      </w:pPr>
    </w:p>
    <w:p w14:paraId="38FF8DD8" w14:textId="77777777" w:rsidR="00D55867" w:rsidRDefault="00D55867" w:rsidP="00D55867">
      <w:pPr>
        <w:ind w:firstLine="720"/>
        <w:jc w:val="both"/>
      </w:pPr>
      <w:r>
        <w:t>4. Projekta 13. pants papildināts ar septīto daļu šādā redakcijā: "Ministru kabineta noteiktā institūcija informē Valsts ieņēmumu dienestu, ja degvielas piegādātājs lēmumā par piespiedu naudas uzlikšanu noteiktajā termiņā nav samaksājis uzlikto piespiedu naudu, un Valsts ieņēmumu dienests degvielas piegādātājam normatīvajos aktos par akcīzes preču aprites kārtību noteiktajā kārtībā var apturēt vai anulēt normatīvajos aktos par akcīzes nodokli minēto speciālo atļauju (licenci) darbībām ar akcīzes precēm."</w:t>
      </w:r>
    </w:p>
    <w:p w14:paraId="3EF15AD4" w14:textId="77777777" w:rsidR="00D55867" w:rsidRDefault="00D55867" w:rsidP="00D55867">
      <w:pPr>
        <w:ind w:firstLine="720"/>
        <w:jc w:val="both"/>
      </w:pPr>
      <w:r>
        <w:t>Šajā daļā tiek paredzēts jauns piespiedu ietekmēšanas līdzeklis, kura raksturs (sods vai cits piespiedu ietekmēšanas līdzeklis) nav skaidrs, kā arī pastāv jautājums par tā piemērošanas tiesisko pamatu (atsauces uz normatīvajiem aktiem par akcīzes preču aprites kārtību nozīme). Projekta anotācijā būtu nepieciešams līdzīgs izvērtējums tam, kāds ir iekļauts saistībā ar piespiedu naudu (mērķis, sankcijas bardzība utt.). Atļaujas (licences) anulēšana, visticamāk, jau būs sods, kura piemērošana administratīvajā procesā vispārīgi nav atbalstāma.</w:t>
      </w:r>
    </w:p>
    <w:p w14:paraId="4C365C2B" w14:textId="77777777" w:rsidR="00D55867" w:rsidRDefault="00D55867" w:rsidP="00D55867">
      <w:pPr>
        <w:ind w:firstLine="720"/>
        <w:jc w:val="both"/>
      </w:pPr>
    </w:p>
    <w:p w14:paraId="5C7ABFB3" w14:textId="77777777" w:rsidR="00D55867" w:rsidRDefault="00D55867" w:rsidP="00D55867">
      <w:pPr>
        <w:jc w:val="both"/>
      </w:pPr>
    </w:p>
    <w:p w14:paraId="6C192D50" w14:textId="77777777" w:rsidR="00D55867" w:rsidRDefault="00D55867" w:rsidP="00D55867">
      <w:pPr>
        <w:jc w:val="both"/>
        <w:rPr>
          <w:i/>
          <w:iCs/>
        </w:rPr>
      </w:pPr>
      <w:r>
        <w:rPr>
          <w:i/>
          <w:iCs/>
        </w:rPr>
        <w:t>Komentāru sniedza Administratīvās atbildības politikas nodaļas jurists Sandis Vilcāns, tālr. 67036901.</w:t>
      </w:r>
    </w:p>
    <w:p w14:paraId="1CEC367F" w14:textId="77777777" w:rsidR="00D55867" w:rsidRDefault="00D55867" w:rsidP="00D55867"/>
    <w:p w14:paraId="2CF37749" w14:textId="77777777" w:rsidR="00D55867" w:rsidRDefault="00D55867" w:rsidP="00D55867">
      <w:r>
        <w:t>Ar cieņu,</w:t>
      </w:r>
    </w:p>
    <w:p w14:paraId="1333FA7F" w14:textId="77777777" w:rsidR="00D55867" w:rsidRDefault="00D55867" w:rsidP="00D55867"/>
    <w:p w14:paraId="4C1D9ED8" w14:textId="77777777" w:rsidR="00D55867" w:rsidRDefault="00D55867" w:rsidP="00D55867">
      <w:pPr>
        <w:rPr>
          <w:b/>
          <w:bCs/>
          <w:sz w:val="20"/>
          <w:szCs w:val="20"/>
        </w:rPr>
      </w:pPr>
      <w:r>
        <w:rPr>
          <w:b/>
          <w:bCs/>
          <w:sz w:val="20"/>
          <w:szCs w:val="20"/>
        </w:rPr>
        <w:t>Andra Reinfelde</w:t>
      </w:r>
    </w:p>
    <w:p w14:paraId="2763B3F7" w14:textId="77777777" w:rsidR="00D55867" w:rsidRDefault="00D55867" w:rsidP="00D55867">
      <w:pPr>
        <w:rPr>
          <w:sz w:val="20"/>
          <w:szCs w:val="20"/>
        </w:rPr>
      </w:pPr>
      <w:r>
        <w:rPr>
          <w:sz w:val="20"/>
          <w:szCs w:val="20"/>
        </w:rPr>
        <w:t xml:space="preserve">Valststiesību departamenta </w:t>
      </w:r>
    </w:p>
    <w:p w14:paraId="36FBC8FF" w14:textId="77777777" w:rsidR="00D55867" w:rsidRDefault="00D55867" w:rsidP="00D55867">
      <w:pPr>
        <w:rPr>
          <w:sz w:val="20"/>
          <w:szCs w:val="20"/>
        </w:rPr>
      </w:pPr>
      <w:r>
        <w:rPr>
          <w:sz w:val="20"/>
          <w:szCs w:val="20"/>
        </w:rPr>
        <w:t>Starptautisko publisko tiesību nodaļas juriste</w:t>
      </w:r>
    </w:p>
    <w:p w14:paraId="745AB64D" w14:textId="77777777" w:rsidR="00D55867" w:rsidRDefault="00D55867" w:rsidP="00D55867">
      <w:pPr>
        <w:rPr>
          <w:rFonts w:ascii="Times New Roman" w:hAnsi="Times New Roman" w:cs="Times New Roman"/>
          <w:sz w:val="20"/>
          <w:szCs w:val="20"/>
          <w:lang w:val="en" w:eastAsia="lv-LV"/>
        </w:rPr>
      </w:pPr>
      <w:r>
        <w:rPr>
          <w:sz w:val="20"/>
          <w:szCs w:val="20"/>
        </w:rPr>
        <w:t>67046108</w:t>
      </w:r>
      <w:r>
        <w:rPr>
          <w:sz w:val="20"/>
          <w:szCs w:val="20"/>
          <w:lang w:eastAsia="lv-LV"/>
        </w:rPr>
        <w:t xml:space="preserve">, </w:t>
      </w:r>
      <w:hyperlink r:id="rId5" w:history="1">
        <w:r>
          <w:rPr>
            <w:rStyle w:val="Hyperlink"/>
            <w:sz w:val="20"/>
            <w:szCs w:val="20"/>
            <w:lang w:eastAsia="lv-LV"/>
          </w:rPr>
          <w:t>andra.reinfelde@tm.gov.lv</w:t>
        </w:r>
      </w:hyperlink>
      <w:bookmarkEnd w:id="0"/>
    </w:p>
    <w:sectPr w:rsidR="00D5586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5A054C9"/>
    <w:multiLevelType w:val="hybridMultilevel"/>
    <w:tmpl w:val="CD36054E"/>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5867"/>
    <w:rsid w:val="00D5586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1371DB"/>
  <w15:chartTrackingRefBased/>
  <w15:docId w15:val="{39B3E147-75DC-4D5B-858B-F8C713067A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55867"/>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D55867"/>
    <w:rPr>
      <w:color w:val="0563C1"/>
      <w:u w:val="single"/>
    </w:rPr>
  </w:style>
  <w:style w:type="paragraph" w:styleId="NormalWeb">
    <w:name w:val="Normal (Web)"/>
    <w:basedOn w:val="Normal"/>
    <w:uiPriority w:val="99"/>
    <w:semiHidden/>
    <w:unhideWhenUsed/>
    <w:rsid w:val="00D55867"/>
    <w:pPr>
      <w:spacing w:before="100" w:beforeAutospacing="1" w:after="100" w:afterAutospacing="1"/>
    </w:pPr>
    <w:rPr>
      <w:lang w:eastAsia="lv-LV"/>
    </w:rPr>
  </w:style>
  <w:style w:type="paragraph" w:styleId="ListParagraph">
    <w:name w:val="List Paragraph"/>
    <w:basedOn w:val="Normal"/>
    <w:uiPriority w:val="34"/>
    <w:qFormat/>
    <w:rsid w:val="00D55867"/>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51805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andra.reinfelde@tm.gov.lv"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2</Pages>
  <Words>4256</Words>
  <Characters>2426</Characters>
  <Application>Microsoft Office Word</Application>
  <DocSecurity>0</DocSecurity>
  <Lines>20</Lines>
  <Paragraphs>13</Paragraphs>
  <ScaleCrop>false</ScaleCrop>
  <Company/>
  <LinksUpToDate>false</LinksUpToDate>
  <CharactersWithSpaces>6669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Helēna Rimša</dc:creator>
  <cp:keywords/>
  <dc:description/>
  <cp:lastModifiedBy>Helēna Rimša</cp:lastModifiedBy>
  <cp:revision>1</cp:revision>
  <dcterms:created xsi:type="dcterms:W3CDTF">2022-01-27T12:26:00Z</dcterms:created>
  <dcterms:modified xsi:type="dcterms:W3CDTF">2022-01-27T12:34:00Z</dcterms:modified>
</cp:coreProperties>
</file>