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18:41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noteikumi Nr. 20) tiek veikti grozījumi, papildinot noteikumus ar atbalstāmo darbību, kurām atbalsts sniedzams saskaņā ar Komisijas 2014. gada 17. jūnija Regulas (ES) Nr. 651/2014, ar ko noteiktas atbalsta kategorijas atzīst par saderīgām ar iekšējo tirgu, piemērojot Līguma 107. un 108. pantu (turpmāk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651/2014) 46. pantu, lūdzam papildināt anotāciju ar informāciju, ka Klimata un enerģētikas ministrija 20 darba dienu laikā pēc grozījumu spēkā stāšanās iesniegs kopsavilkuma informāciju Eiropas Komisijā,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sākotnējā noteikumu redakcija jau paredzēja visām darbībām sniegt atbalstu ar regulas Nr. 651/2014 46. pantu un par to jau ir iesniegts paziņojums SANI2 sistēmā, kā arī jaunas atbalstāmās darbības un izmaksu pozīcijas, kurām atbalstu piešķir ar regulas Nr. 651/2014 46. pantu netiek plānotas (svītrots arī šo noteikumu 27.5.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Noteikumos Nr.1227 vēl nav pieņemti, nav arī veiktas izmaiņas esošajos Regulatora reģistros attiecībā uz aukstumapgādes jomu. Vēl nav arī izstrādāti un pieņemti grozījumi Ministru kabineta 2005.gada 30.augusta noteikumos Nr.664 “Sabiedrisko pakalpojumu licencēšanas noteikumi” attiecībā uz aukstumenerģijas pārvades un sadales pakalpojuma licencēšanu. Attiecīgi Regulatora priekšlikums ir anotācijā (1.3. sadaļas 1.punkts) neuzskaitīt konkrētus reģistrus, bet formulēt plašāk atbilstoši Regulatora piedāvātajam formulējumam Noteikumu 2.4.apakšpunktā.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2.4.apakšpunktā paredzēts arī alternatīvs atbalsta saņēmēja kritērijs – dokumenta iesniegšana, kas apliecina centralizētās siltumapgādes (vai aukstumapgādes) pakalpojumu sniegšanu, nepieciešams anotāciju papildināt ar skaidru norādi, ka Noteikumu tvērums ir plašāks nekā tikai regulētu sabiedrisko pakalpojumu sniedzēji. Pie anotācijā norādītā dokumentu uzskaitījuma nepieciešams precizēt pie deleģējuma līguma atsauci uz Pašvaldību likumu (nevis 15.pants, bet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arī vērš uzmanību, ka Regulatora reģistros nav “pakalpojuma iepirkuma līguma ar pašvaldību, pašvaldības kapitālsabiedrību vai komersantu”. Tāpēc nepieciešams svītrot vārdus: “no iepriekš minētajiem SPRK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sadaļas "Pašreizējā situācija, problēmas un risinājumi" 1.punktā.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1.3. apakšsadaļā nodrošināt pilnīgus projekta skaidrojumus, piemēram, projekts papildināts ar jaunu 1.22. apakšpunktu, kas netiek skaidrots anotācijā. Tāpat Ministru kabineta 2025. gada 7. janvāra noteikumu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Noteikumi) 42. punktā paredzot, ka "</w:t>
            </w:r>
            <w:r w:rsidR="00000000" w:rsidRPr="00000000" w:rsidDel="00000000">
              <w:rPr>
                <w:i w:val="1"/>
                <w:rtl w:val="0"/>
              </w:rPr>
              <w:t xml:space="preserve">Lēmumu par atbalsta pieteikuma nenoraidīšanu sabiedrība "Altum" var pieņemt, ja uz lēmuma pieņemšanas brīdi iestājušies apstākļi, kas nav atkarīgi no komersanta un var pārsniegt divpadsmit mēnešus nepieciešamās dokumentācijas iesniegšanai</w:t>
            </w:r>
            <w:r w:rsidR="00000000" w:rsidRPr="00000000" w:rsidDel="00000000">
              <w:rPr>
                <w:rtl w:val="0"/>
              </w:rPr>
              <w:t xml:space="preserve">", iesakām izvērst tā izpratni, piemēram, norādīt, vai un kā šādi apstākļi jāpierāda. Proti, minētā nosacījuma pilnīga izpratne tiesību normas adresātiem ir svarīga, lai varētu korekti īstenot no tā izrietošās tiesības. Tāpat, neprecīzi norādīts "</w:t>
            </w:r>
            <w:r w:rsidR="00000000" w:rsidRPr="00000000" w:rsidDel="00000000">
              <w:rPr>
                <w:i w:val="1"/>
                <w:rtl w:val="0"/>
              </w:rPr>
              <w:t xml:space="preserve">nav stājusies spēkā MK noteikumu Nr. 20 </w:t>
            </w:r>
            <w:r w:rsidR="00000000" w:rsidRPr="00000000" w:rsidDel="00000000">
              <w:rPr>
                <w:i w:val="1"/>
                <w:u w:val="single"/>
                <w:rtl w:val="0"/>
              </w:rPr>
              <w:t xml:space="preserve">71.2.2. apakšpunktā noteiktā metodika</w:t>
            </w:r>
            <w:r w:rsidR="00000000" w:rsidRPr="00000000" w:rsidDel="00000000">
              <w:rPr>
                <w:rtl w:val="0"/>
              </w:rPr>
              <w:t xml:space="preserve">", no Noteikumu 46.</w:t>
            </w:r>
            <w:r w:rsidR="00000000" w:rsidRPr="00000000" w:rsidDel="00000000">
              <w:rPr>
                <w:vertAlign w:val="superscript"/>
                <w:rtl w:val="0"/>
              </w:rPr>
              <w:t xml:space="preserve">1</w:t>
            </w:r>
            <w:r w:rsidR="00000000" w:rsidRPr="00000000" w:rsidDel="00000000">
              <w:rPr>
                <w:rtl w:val="0"/>
              </w:rPr>
              <w:t xml:space="preserve"> punkta saprotams, ka domāts to 79.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1.22. apakšpunkts neparedz jaunus nosacījumus, ņemot vērā, ka iepriekšējā iterācijā (redakcija Nr.2) šie punkti bija 26.</w:t>
            </w:r>
            <w:r w:rsidR="00000000" w:rsidRPr="00000000" w:rsidDel="00000000">
              <w:rPr>
                <w:vertAlign w:val="superscript"/>
                <w:rtl w:val="0"/>
              </w:rPr>
              <w:t xml:space="preserve">3</w:t>
            </w:r>
            <w:r w:rsidR="00000000" w:rsidRPr="00000000" w:rsidDel="00000000">
              <w:rPr>
                <w:rtl w:val="0"/>
              </w:rPr>
              <w:t xml:space="preserve">1. un 26.</w:t>
            </w:r>
            <w:r w:rsidR="00000000" w:rsidRPr="00000000" w:rsidDel="00000000">
              <w:rPr>
                <w:vertAlign w:val="superscript"/>
                <w:rtl w:val="0"/>
              </w:rPr>
              <w:t xml:space="preserve">3</w:t>
            </w:r>
            <w:r w:rsidR="00000000" w:rsidRPr="00000000" w:rsidDel="00000000">
              <w:rPr>
                <w:rtl w:val="0"/>
              </w:rPr>
              <w:t xml:space="preserve">2 apakšpunkti. Attiecībā uz anotācijā iekļauto informāciju par sabiedrības "Altum" lēmuma pieņemšanu ilgāk par 12 mēnešiem, lūdzam skatīt papildinājumu anotācijā. Vienlaikus attiecībā uz metodiku precizēta atsauce uz korekto šo noteikumu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precizēt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projekta redakcijai, tā 1.15.apakšpunkts ievieš Komisijas 2023. gada 13. decembra Regulu (ES) 2023/2831 par Līguma par Eiropas Savienības darbību 107. un 108. panta piemērošanu de minimis atbalstam (turpmāk – regula Nr. 2023/2831), 1.17. un 1.18. apakšpunkts -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58. panta 2. punktu, taču 1.49. apakšpunkts, ne tikai Komisijas 2014. gada 17. jūnija Regulas (ES) Nr. 651/2014, ar ko noteiktas atbalsta kategorijas atzīst par saderīgām ar iekšējo tirgu, piemērojot Līguma 107. un 108. pantu (turpmāk - Regula 651/2014) 46. panta 7. un 8. punktu, bet arī, piemēram,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anotācijas 1.3. apakšsadaļas skaidrojumiem, piemēram, projekta 1.32. apakšpunkts izpilda no regulas 2021/1060 65. panta 3. punkta un 81. panta izrietošās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5. sadaļas "Tiesību akta projekta atbilstība Latvijas Republikas starptautiskajām saistībām" 5.4.1 tabulā "Tiesību akta projekta atbilstība ES tiesību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atbalsta saņēmējs – Latvijas Republikā reģistrēts komersants, centralizētās siltumapgādes vai aukstumapgādes pakalpojuma sniedzējs, kurš sniedz siltumenerģijas vai aukstumenerģijas pārvades un sadales pakalpojumu vai ir centralizētās siltumenerģijas ražotājs un uz atbalsta pieteikuma iesniegšanas dienu ir reģistrēts vai līdz pieteikuma kapitāla atlaides piemērošanai tiek reģistrēts vienā vai vairākos no Sabiedrisko pakalpojumu regulēšanas komisijas siltumenerģijas ražotāju, tirgotāju vai licencēto siltumapgādes pārvades un sadales komersantu reģistriem vai iesniedz dokumentu, kas apliecina centralizētās siltumapgādes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atbalsta saņēmējam viens no kritērijiem tiek noteikts reģistrēšanās kādā no Regulatora reģistriem vai licences saņemšana gan attiecībā uz siltumenerģiju, gan aukstumenerģiju, nepieciešams precizēt Noteikumu 2.4.apakšpunktu, lai būtu konsekvence visā 2.4.apakšpunkta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Regulators vērš uzmanību, ka regulētos sabiedriskos pakalpojumus saskaņā ar likumu “Par sabiedrisko pakalpojumu regulatoriem” un atbilstoši nozares normatīvajam aktam – Enerģētikas likumam, noteic Ministru kabineta 2009.gada 27.oktobra noteikumi Nr.1227 "Noteikumi par regulējamiem sabiedrisko pakalpojumu veidiem" (turpmāk – Noteikumi Nr.1227). Turklāt, saskaņošanas procesā ir grozījumi Noteikumos Nr.1227 (25-TA-406), jo minētajos noteikumos vēl nav iekļauti pakalpojumi aukstumapgādes jomā (aukstumenerģijas vai dzesēšanai nepieciešamās enerģijas ražošana, pārvade un sadale un tirdzniecība ar attiecīgiem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atbalsta saņēmējs – Latvijas Republikā reģistrēts komersants, centralizētās siltumapgādes vai aukstumapgādes pakalpojumu sniedzējs, kurš sniedz siltumenerģijas vai aukstumenerģijas pārvades un sadales pakalpojumu vai ir centralizētās siltumenerģijas vai aukstumenerģijas ražotājs vai tirgotājs un uz atbalsta pieteikuma iesniegšanas dienu ir reģistrēts vai līdz pieteikuma kapitāla atlaides piemērošanai tiek reģistrēts vienā vai vairākos no Sabiedrisko pakalpojumu regulēšanas komisijas attiecīgās enerģijas ražotāju vai tirgotāju reģistriem vai ir licencēts siltumenerģijas vai aukstumenerģijas pārvades un sadales komersants vai iesniedz dokumentu, kas apliecina centralizētās siltumapgādes vai aukstumapgādes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2.4. apakšpunktā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atbalsta saņēmējs – Latvijas Republikā reģistrēts komersants, centralizētās siltumapgādes vai aukstumapgādes pakalpojuma sniedzējs, kurš sniedz siltumenerģijas vai aukstumenerģijas pārvades un sadales pakalpojumu vai ir centralizētās siltumenerģijas ražotājs un uz atbalsta pieteikuma iesniegšanas dienu ir reģistrēts vai līdz pieteikuma kapitāla atlaides piemērošanai tiek reģistrēts vienā vai vairākos no Sabiedrisko pakalpojumu regulēšanas komisijas attiecīgās enerģijas ražotāju vai tirgotāju reģistriem vai ir licencēts siltumenerģijas vai aukstumenerģijas pārvades un sadales komersants vai iesniedz dokumentu, kas apliecina centralizētās siltumapgādes vai aukstumapgādes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līdz 2026. gada 31. decembrim atbalsta pieteikumi, kuriem nav vai ir daļēji izstrādāta tehniskā dokumentācija, tiek iesniegti mazākā apmēra nekā noteikts šo noteikumu 7.</w:t>
            </w:r>
            <w:r w:rsidR="00000000" w:rsidRPr="00000000" w:rsidDel="00000000">
              <w:rPr>
                <w:vertAlign w:val="superscript"/>
                <w:rtl w:val="0"/>
              </w:rPr>
              <w:t xml:space="preserve">1</w:t>
            </w:r>
            <w:r w:rsidR="00000000" w:rsidRPr="00000000" w:rsidDel="00000000">
              <w:rPr>
                <w:rtl w:val="0"/>
              </w:rPr>
              <w:t xml:space="preserve"> punktā, finansējums tiek novirzīts pārējo atbalsta pieteikumu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20 plānotajā 7.</w:t>
            </w:r>
            <w:r w:rsidR="00000000" w:rsidRPr="00000000" w:rsidDel="00000000">
              <w:rPr>
                <w:vertAlign w:val="superscript"/>
                <w:rtl w:val="0"/>
              </w:rPr>
              <w:t xml:space="preserve">1</w:t>
            </w:r>
            <w:r w:rsidR="00000000" w:rsidRPr="00000000" w:rsidDel="00000000">
              <w:rPr>
                <w:rtl w:val="0"/>
              </w:rPr>
              <w:t xml:space="preserve"> punktā nav noteikts atbalsta pieteikumu apmērs, bet tiem pieejamā finansējuma apmērs, lūdzam izvērtēt un precizēt plānoto 7.</w:t>
            </w:r>
            <w:r w:rsidR="00000000" w:rsidRPr="00000000" w:rsidDel="00000000">
              <w:rPr>
                <w:vertAlign w:val="superscript"/>
                <w:rtl w:val="0"/>
              </w:rPr>
              <w:t xml:space="preserve">2</w:t>
            </w:r>
            <w:r w:rsidR="00000000" w:rsidRPr="00000000" w:rsidDel="00000000">
              <w:rPr>
                <w:rtl w:val="0"/>
              </w:rPr>
              <w:t xml:space="preserve"> 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līdz 2026. gada 31. decembrim atbalsta pieteikumi, kuriem nav vai ir daļēji izstrādāta tehniskā dokumentācija, tiek iesniegti </w:t>
            </w:r>
            <w:r w:rsidR="00000000" w:rsidRPr="00000000" w:rsidDel="00000000">
              <w:rPr>
                <w:u w:val="single"/>
                <w:rtl w:val="0"/>
              </w:rPr>
              <w:t xml:space="preserve">par mazāku finansējuma apmēru</w:t>
            </w:r>
            <w:r w:rsidR="00000000" w:rsidRPr="00000000" w:rsidDel="00000000">
              <w:rPr>
                <w:rtl w:val="0"/>
              </w:rPr>
              <w:t xml:space="preserve"> nekā noteikts šo noteikumu 7.</w:t>
            </w:r>
            <w:r w:rsidR="00000000" w:rsidRPr="00000000" w:rsidDel="00000000">
              <w:rPr>
                <w:vertAlign w:val="superscript"/>
                <w:rtl w:val="0"/>
              </w:rPr>
              <w:t xml:space="preserve">1</w:t>
            </w:r>
            <w:r w:rsidR="00000000" w:rsidRPr="00000000" w:rsidDel="00000000">
              <w:rPr>
                <w:rtl w:val="0"/>
              </w:rPr>
              <w:t xml:space="preserve"> punktā, </w:t>
            </w:r>
            <w:r w:rsidR="00000000" w:rsidRPr="00000000" w:rsidDel="00000000">
              <w:rPr>
                <w:u w:val="single"/>
                <w:rtl w:val="0"/>
              </w:rPr>
              <w:t xml:space="preserve">atlikušais</w:t>
            </w:r>
            <w:r w:rsidR="00000000" w:rsidRPr="00000000" w:rsidDel="00000000">
              <w:rPr>
                <w:rtl w:val="0"/>
              </w:rPr>
              <w:t xml:space="preserve"> finansējums tiek novirzīts pārējo atbalsta pieteikumu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Lūdzam precizējumus šo noteikumu 7.</w:t>
            </w:r>
            <w:r w:rsidR="00000000" w:rsidRPr="00000000" w:rsidDel="00000000">
              <w:rPr>
                <w:vertAlign w:val="superscript"/>
                <w:rtl w:val="0"/>
              </w:rPr>
              <w:t xml:space="preserve">2</w:t>
            </w:r>
            <w:r w:rsidR="00000000" w:rsidRPr="00000000" w:rsidDel="00000000">
              <w:rPr>
                <w:rtl w:val="0"/>
              </w:rPr>
              <w:t xml:space="preserve">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līdz 2026. gada 31. decembrim atbalsta pieteikumi, kuriem nav vai ir daļēji izstrādāta tehniskā dokumentācija, tiek iesniegti par mazāku finansējuma apmēru nekā noteikts šo noteikumu 7.</w:t>
            </w:r>
            <w:r w:rsidR="00000000" w:rsidRPr="00000000" w:rsidDel="00000000">
              <w:rPr>
                <w:vertAlign w:val="superscript"/>
                <w:rtl w:val="0"/>
              </w:rPr>
              <w:t xml:space="preserve">1</w:t>
            </w:r>
            <w:r w:rsidR="00000000" w:rsidRPr="00000000" w:rsidDel="00000000">
              <w:rPr>
                <w:rtl w:val="0"/>
              </w:rPr>
              <w:t xml:space="preserve"> punktā, atlikušais finansējums tiek novirzīts pārējo atbalsta pieteikumu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pirms investīciju lēmuma pieņemšanas dienas, ievērojot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viennozīmīgu interpretāciju, lūdzam salāgot noteikumu Nr. 20 22.7. apakšpunkta plānoto redakciju ar citās normās lietoto terminoloģiju, proti, lūdzam aizstāt vārdus "pirms investīciju lēmuma pieņemšanas dienas" ar vārdiem "lēmuma par atbalsta piešķiršanu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w:t>
            </w:r>
            <w:r w:rsidR="00000000" w:rsidRPr="00000000" w:rsidDel="00000000">
              <w:rPr>
                <w:u w:val="single"/>
                <w:rtl w:val="0"/>
              </w:rPr>
              <w:t xml:space="preserve">lēmuma par atbalsta piešķiršanu dienā</w:t>
            </w:r>
            <w:r w:rsidR="00000000" w:rsidRPr="00000000" w:rsidDel="00000000">
              <w:rPr>
                <w:rtl w:val="0"/>
              </w:rPr>
              <w:t xml:space="preserve">, ievērojot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22.7.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lēmuma par atbalsta piešķiršanu dienā, ievērojot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saražotās elektroenerģijas akumulēšanas vai uzglabāšanas iekārtu iegāde un uzstādīšana, ja enerģijas akumulēšanas vai uzglabāšanas iekārtas kombinē ar atjaunīgās elektroenerģijas ražošanas iekārtu iegādi un uzstādīšanu vai ja akumulēšanas vai uzglabāšanas iekārtas savieno jau ar esošo atjaunīgās enerģijas ražošanas iekārtu. Akumulēšanas aprīkojumam vismaz 75 % no gada laikā akumulētās enerģijas jāakumulē no tieši pieslēgtās atjaunīgās 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5.sadaļas "Tiesību akta projekta atbilstība Latvijas Republikas starptautiskajām saistībām" 1.tabulā "Tiesību akta projekta atbilstība ES tiesību aktiem" skaidrot, kā šis nosacījums ietekmē regulas Nr. 651/2014 46. pantā minētos nosacījumus, proti, vai nav pretrunā vai arī papildina, vai arī nosaka stingrākas prasības. Ja secināms, ka šis ir stingrāks nosacījums, nekā to paredz regulas Nr. 651/2014 46. pants, lūdzam sniegt informāciju par to, ka ir paredzētas stingrākas prasības, to norādot anotācijas 5.4.1. tabulā.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27.5. apakšpunkts ir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saražotās elektroenerģijas akumulēšanas vai uzglabāšanas iekārtu iegāde un uzstādīšana, ja enerģijas akumulēšanas vai uzglabāšanas iekārtas kombinē ar atjaunīgās elektroenerģijas ražošanas iekārtu iegādi un uzstādīšanu vai ja akumulēšanas vai uzglabāšanas iekārtas savieno jau ar esošo atjaunīgās enerģijas ražošanas iekārtu. Akumulēšanas aprīkojumam vismaz 75 % no gada laikā akumulētās enerģijas jāakumulē no tieši pieslēgtās atjaunīgās 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w:t>
            </w:r>
            <w:r w:rsidR="00000000" w:rsidRPr="00000000" w:rsidDel="00000000">
              <w:rPr>
                <w:i w:val="1"/>
                <w:rtl w:val="0"/>
              </w:rPr>
              <w:t xml:space="preserve">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piemēram, Noteikumu 27.5. apakšpunktā, kur tiek pārrakstīts no Regulas 651/2014 izrietošais nosacījums: "</w:t>
            </w:r>
            <w:r w:rsidR="00000000" w:rsidRPr="00000000" w:rsidDel="00000000">
              <w:rPr>
                <w:i w:val="1"/>
                <w:rtl w:val="0"/>
              </w:rPr>
              <w:t xml:space="preserve">Akumulēšanas aprīkojums katru gadu akumulē vismaz 75 % enerģijas no tieši pieslēgtas atjaunīgās enerģijas ražošanas iekārtas</w:t>
            </w:r>
            <w:r w:rsidR="00000000" w:rsidRPr="00000000" w:rsidDel="00000000">
              <w:rPr>
                <w:rtl w:val="0"/>
              </w:rPr>
              <w:t xml:space="preserve">;". Tāpat lūdzam izvērtēt konkrētā nosacījuma atbilstību kopumā, ņemot vērā no izziņas izrietošos skaidrojumus par Regulas 651/2014 41. panta neattiecināšanu uz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šo noteikmu 27.5.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atbalstu šo noteikumu </w:t>
            </w:r>
            <w:r w:rsidR="00000000" w:rsidRPr="00000000" w:rsidDel="00000000">
              <w:rPr>
                <w:rtl w:val="0"/>
              </w:rPr>
              <w:t xml:space="preserve">32.1.</w:t>
            </w:r>
            <w:r w:rsidR="00000000" w:rsidRPr="00000000" w:rsidDel="00000000">
              <w:rPr>
                <w:rtl w:val="0"/>
              </w:rPr>
              <w:t xml:space="preserve">apakšpunktā minēto izmaksu segšanai sniedz kā</w:t>
            </w:r>
            <w:r w:rsidR="00000000" w:rsidRPr="00000000" w:rsidDel="00000000">
              <w:rPr>
                <w:i w:val="1"/>
                <w:rtl w:val="0"/>
              </w:rPr>
              <w:t xml:space="preserve"> de minimis </w:t>
            </w:r>
            <w:r w:rsidR="00000000" w:rsidRPr="00000000" w:rsidDel="00000000">
              <w:rPr>
                <w:rtl w:val="0"/>
              </w:rPr>
              <w:t xml:space="preserve">atbalstu saskaņā ar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attiecībā uz izmaksām, kuras tiks segtas, piemērojot Komisijas regulas Nr. 651/2014 46. pantu, tostarp, tiek attiecināti regulas 651/2014 6. pantā noteiktie stimulējošās ietekmes nosacījumi, proti, darbi pie projekta var tikt uzsākti tikai pēc projekta iesnieguma iesniegšanas, tad, lai novērstu riskus un kļūdas noteikumu piemērošanā, lūdzam izvērtēt, vai, piemēram, attiecībā uz noteikumu Nr.20  32.2. un 32.6. apakšpunktā minētajām izmaksām nav piemērojams de minimis regulējums. Ja plānots, ka minētās darbības var veikt pirms projekta iesniegšanas, tad tās būtu attiecināmas ar ar Komisijas 2023. gada 13. decembra Regulas (ES) 2023/2831 par Līguma par Eiropas Savienības darbību 107. un 108. panta piemērošanu de minimis atbalstam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projektu ar nosacījumu, ka attiecībā uz tām izmaksām, kurām atbalsts sniedzams saskaņā ar regulas Nr. 651/2014 46. pantu, piemēram, šobrīd noteikumu Nr. 20 32.2, 32.3, 32.4, 32.5 un 32.6. apakšpunktā minētās, izmaksas ir attiecināmas, ja tās veido projekta ietvaros radīto pamatlīdzekļu (ieguldījuma)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šo noteikumu 22.8. apakšpunktam atbalsta programmā nav paredzēts atbalstīt darbības, kuras var tikt veiktas pirms atbalsta pieteikuma iesniegšanas. Līdz ar to aicinām saglabāt, ka šo noteikumu 32.2. un 32.6. apakšpunktā noteiktajām izmaksām tiek piemērots regulas Nr. 651/2014 46. pants, ņemot vērā arī de minimis atbalsta slieksni. Attiecībā uz priekšlikumu par šo noteikumu papildināšanu ar informāciju par nosacījumu, ka attiecībā uz tām izmaksām, kurām atbalsts sniedzams saskaņā ar regulas Nr. 651/2014 46. pantu izmaksas ir attiecināmas, ja tās veido projekta ietvaros radīto pamatlīdzekļu (ieguldījuma) vērtību, lūdzam skatīt precizējumus šo noteikumu 32.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atbalstu šo noteikumu </w:t>
            </w:r>
            <w:r w:rsidR="00000000" w:rsidRPr="00000000" w:rsidDel="00000000">
              <w:rPr>
                <w:rtl w:val="0"/>
              </w:rPr>
              <w:t xml:space="preserve">32.1.</w:t>
            </w:r>
            <w:r w:rsidR="00000000" w:rsidRPr="00000000" w:rsidDel="00000000">
              <w:rPr>
                <w:rtl w:val="0"/>
              </w:rPr>
              <w:t xml:space="preserve">apakšpunktā minēto izmaksu segšanai sniedz kā</w:t>
            </w:r>
            <w:r w:rsidR="00000000" w:rsidRPr="00000000" w:rsidDel="00000000">
              <w:rPr>
                <w:i w:val="1"/>
                <w:rtl w:val="0"/>
              </w:rPr>
              <w:t xml:space="preserve"> de minimis </w:t>
            </w:r>
            <w:r w:rsidR="00000000" w:rsidRPr="00000000" w:rsidDel="00000000">
              <w:rPr>
                <w:rtl w:val="0"/>
              </w:rPr>
              <w:t xml:space="preserve">atbalstu saskaņā ar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 Lēmumu par atbalsta pieteikuma nenoraidīšanu sabiedrība "Altum" var pieņemt, ja uz lēmuma pieņemšanas brīdi iestājušies apstākļi, kas nav atkarīgi no komersanta un var pārsniegt divpadsmit mēnešus nepieciešamās dokumentācijas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regulējuma interpretāciju par personai noteiktajiem pienākumiem, lūdzam papildināt noteikumu Nr. 20 42. punktu ar maksimālo termiņu, kādā var tikt iesniegta pilnīga un korekta tehniskā dokumentācija un garantijas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1.3. sadaļas apakšsadaļas "Risinājuma apraksts" 16. punktā "Termiņa, kura laikā atbalsta saņēmējam jāiesniedz pilnīga un korekta tehniskā dokumentācija, pagarināšana" ietverto informāciju, jo šobrīd anotācijā noteikts, ka </w:t>
            </w:r>
            <w:r w:rsidR="00000000" w:rsidRPr="00000000" w:rsidDel="00000000">
              <w:rPr>
                <w:i w:val="1"/>
                <w:rtl w:val="0"/>
              </w:rPr>
              <w:t xml:space="preserve">attiecīgajā situācijā sabiedrība "Altum" sniedz tehnisko atzinumu, informējot, ka </w:t>
            </w:r>
            <w:r w:rsidR="00000000" w:rsidRPr="00000000" w:rsidDel="00000000">
              <w:rPr>
                <w:i w:val="1"/>
                <w:u w:val="single"/>
                <w:rtl w:val="0"/>
              </w:rPr>
              <w:t xml:space="preserve">lēmums par atbalsta piešķiršanu netiek pieņemts līdz brīdim,</w:t>
            </w:r>
            <w:r w:rsidR="00000000" w:rsidRPr="00000000" w:rsidDel="00000000">
              <w:rPr>
                <w:i w:val="1"/>
                <w:rtl w:val="0"/>
              </w:rPr>
              <w:t xml:space="preserve"> kad tiek saņemts Eiropas Komisijas saskaņojums par minēto metodiku. Gaidīšanas laiks var pārsniegt divpadsmit mēnešus kopš atbalsta pieteikuma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precizēt minēto informāciju, ņemot vērā, ka no noteikumu Nr. 20 42. punkta plānotās redakcijas izriet, ka pilnīgas un korektas </w:t>
            </w:r>
            <w:r w:rsidR="00000000" w:rsidRPr="00000000" w:rsidDel="00000000">
              <w:rPr>
                <w:u w:val="single"/>
                <w:rtl w:val="0"/>
              </w:rPr>
              <w:t xml:space="preserve">tehniskās dokumentācijas un garantijas pieteikuma iesniegšana</w:t>
            </w:r>
            <w:r w:rsidR="00000000" w:rsidRPr="00000000" w:rsidDel="00000000">
              <w:rPr>
                <w:rtl w:val="0"/>
              </w:rPr>
              <w:t xml:space="preserve"> objektīvos gadījumos </w:t>
            </w:r>
            <w:r w:rsidR="00000000" w:rsidRPr="00000000" w:rsidDel="00000000">
              <w:rPr>
                <w:u w:val="single"/>
                <w:rtl w:val="0"/>
              </w:rPr>
              <w:t xml:space="preserve">var pārsniegt 12 mēnešu termiņu.</w:t>
            </w:r>
            <w:r w:rsidR="00000000" w:rsidRPr="00000000" w:rsidDel="00000000">
              <w:rPr>
                <w:rtl w:val="0"/>
              </w:rPr>
              <w:t xml:space="preserve"> No normas secināms, ka vispirms, sagaidot Eiropas Komisijas saskaņojumu par normā minēto metodiku, tiek iesniegta pilnīga un korekta tehniskā dokumentācija vai garantijas pieteikums, un tikai pēc tam tiek pieņemts lēmums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42. punktā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 Lēmumu par atbalsta pieteikuma nenoraidīšanu sabiedrība "Altum" var pieņemt, ja uz lēmuma pieņemšanas brīdi iestājušies apstākļi, kas nav atkarīgi no komersanta un var pārsniegt 12 mēnešus nepieciešamās dokumentācijas iesniegšanai, bet neilgāk kā 18 mēnešu laikā kopš atbalsta pieteikuma iesniegšanas dienas sabiedrībā "Altum".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komersants projekta attiecināmo izmaksu segšanai plāno saņemt cita finansētāja aizdevumu, tad papildus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minēto dokumentu iesniegšanai sabiedrībā "Altum" komersants piesakās aizdevumam pie cita finansētāja. Cits finansētājs pieņem lēmumu par projekta attiecināmo izmaksu finansēšanu un iesniedz sabiedrībā "Altum" garantijas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1.37. un 1.42 apakšpunktu, jo Noteikumu 46. un 55. punkta redakcijā, salīdzinājumā ar spēkā esošo, nav konstatējamas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Svtīroti šo noteikumu projekta 1.37. un 1.42. apakšpunkti.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Kapitāla atlaides apmērs no cita finansētāja vai sabiedrības "Altum" attiecināmo izmaksu aizdevuma atbalsta saņēmējam nepārsniedz 9 000 000 </w:t>
            </w:r>
            <w:r w:rsidR="00000000" w:rsidRPr="00000000" w:rsidDel="00000000">
              <w:rPr>
                <w:i w:val="1"/>
                <w:rtl w:val="0"/>
              </w:rPr>
              <w:t xml:space="preserve">euro,</w:t>
            </w:r>
            <w:r w:rsidR="00000000" w:rsidRPr="00000000" w:rsidDel="00000000">
              <w:rPr>
                <w:rtl w:val="0"/>
              </w:rPr>
              <w:t xml:space="preserve"> saistīto personu grupai nepārsniedz 12 000 000 </w:t>
            </w:r>
            <w:r w:rsidR="00000000" w:rsidRPr="00000000" w:rsidDel="00000000">
              <w:rPr>
                <w:i w:val="1"/>
                <w:rtl w:val="0"/>
              </w:rPr>
              <w:t xml:space="preserve">euro </w:t>
            </w:r>
            <w:r w:rsidR="00000000" w:rsidRPr="00000000" w:rsidDel="00000000">
              <w:rPr>
                <w:rtl w:val="0"/>
              </w:rPr>
              <w:t xml:space="preserve">un ir līdz: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63.punkts papildināts, nosakot, ka kapitāla atlaides apmērs saistīto personu grupai nepārsniedz 12 000 000 euro, taču minētā informācija nav iekļauta anotācijā. Ņemot vērā minēto, lūdzam attiecīgi aktualizēt anotāciju un pamatot veiktās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sadaļas "Pašreizējā situācija, problēmas un risinājumi" 10.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Kapitāla atlaides apmērs no cita finansētāja vai sabiedrības "Altum" attiecināmo izmaksu aizdevuma atbalsta saņēmējam nepārsniedz 9 000 000 </w:t>
            </w:r>
            <w:r w:rsidR="00000000" w:rsidRPr="00000000" w:rsidDel="00000000">
              <w:rPr>
                <w:i w:val="1"/>
                <w:rtl w:val="0"/>
              </w:rPr>
              <w:t xml:space="preserve">euro,</w:t>
            </w:r>
            <w:r w:rsidR="00000000" w:rsidRPr="00000000" w:rsidDel="00000000">
              <w:rPr>
                <w:rtl w:val="0"/>
              </w:rPr>
              <w:t xml:space="preserve"> saistīto personu grupai nepārsniedz 12 000 000 </w:t>
            </w:r>
            <w:r w:rsidR="00000000" w:rsidRPr="00000000" w:rsidDel="00000000">
              <w:rPr>
                <w:i w:val="1"/>
                <w:rtl w:val="0"/>
              </w:rPr>
              <w:t xml:space="preserve">euro </w:t>
            </w:r>
            <w:r w:rsidR="00000000" w:rsidRPr="00000000" w:rsidDel="00000000">
              <w:rPr>
                <w:rtl w:val="0"/>
              </w:rPr>
              <w:t xml:space="preserve">un ir līdz: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w:t>
            </w:r>
            <w:r w:rsidR="00000000" w:rsidRPr="00000000" w:rsidDel="00000000">
              <w:rPr>
                <w:rtl w:val="0"/>
              </w:rPr>
              <w:t xml:space="preserve">651/2014</w:t>
            </w:r>
            <w:r w:rsidR="00000000" w:rsidRPr="00000000" w:rsidDel="00000000">
              <w:rPr>
                <w:rtl w:val="0"/>
              </w:rPr>
              <w:t xml:space="preserve"> 46. panta 2. un 3. punktu šo noteikumu </w:t>
            </w:r>
            <w:r w:rsidR="00000000" w:rsidRPr="00000000" w:rsidDel="00000000">
              <w:rPr>
                <w:rtl w:val="0"/>
              </w:rPr>
              <w:t xml:space="preserve">​</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darbībām, ievērojot regulas Nr. 651/2014 46. panta 6. punktā noteikto, kopējā atbalsta intensitāte, saskaņā ar regulas Nr. 651/2014 7. un 8. punktu,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68. punktā ietvert precīzas atsauces uz Eiropas Savienības tiesību normām. Proti, atsaucē "</w:t>
            </w:r>
            <w:r w:rsidR="00000000" w:rsidRPr="00000000" w:rsidDel="00000000">
              <w:rPr>
                <w:i w:val="1"/>
                <w:rtl w:val="0"/>
              </w:rPr>
              <w:t xml:space="preserve">saskaņā ar regulas Nr. 651/2014 </w:t>
            </w:r>
            <w:r w:rsidR="00000000" w:rsidRPr="00000000" w:rsidDel="00000000">
              <w:rPr>
                <w:i w:val="1"/>
                <w:u w:val="single"/>
                <w:rtl w:val="0"/>
              </w:rPr>
              <w:t xml:space="preserve">7. un 8. punktu</w:t>
            </w:r>
            <w:r w:rsidR="00000000" w:rsidRPr="00000000" w:rsidDel="00000000">
              <w:rPr>
                <w:rtl w:val="0"/>
              </w:rPr>
              <w:t xml:space="preserve">" trūkst norādes uz konkrētu regulas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68.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w:t>
            </w:r>
            <w:r w:rsidR="00000000" w:rsidRPr="00000000" w:rsidDel="00000000">
              <w:rPr>
                <w:rtl w:val="0"/>
              </w:rPr>
              <w:t xml:space="preserve">651/2014</w:t>
            </w:r>
            <w:r w:rsidR="00000000" w:rsidRPr="00000000" w:rsidDel="00000000">
              <w:rPr>
                <w:rtl w:val="0"/>
              </w:rPr>
              <w:t xml:space="preserve"> 46. panta 2. un 3. punktu šo noteikumu </w:t>
            </w:r>
            <w:r w:rsidR="00000000" w:rsidRPr="00000000" w:rsidDel="00000000">
              <w:rPr>
                <w:rtl w:val="0"/>
              </w:rPr>
              <w:t xml:space="preserve">​</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darbībām, ievērojot regulas Nr. 651/2014 46. panta 6. punktā noteikto, kopējā atbalsta intensitāte, saskaņā ar regulas Nr. 651/2014 46. panta 7. un 8. punktu,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78.4. saņemot atbalstu, komersants sabiedrībā "Altum"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Komersants informē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kas var atšķirties, kā arī, ņemot vērā to, ka komersantam attiecīgā informācija ir jāiesniedz pirms atbalsta sniedzējs pieņem lēmumu par de minimis atbalsta piešķiršanu, lūdzam precizēt noteikumu Nr.20 78.4. apakšpunktu, piemēram, zemāk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arī nodrošinātu nepārprotamu skaidrību, ka normatīvajos aktos par de minimis atbalsta uzskaites un piešķiršanas kārtību noteiktais attiecas ne tikai uz komersantu, bet arī uz atbalsta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78.4. atbalsta sniedzējs un komersants ievēro normatīvajos aktos par de minimis atbalsta uzskaites un piešķiršanas kārtību noteikto. Pirms pieteikuma iesniegšanas atbalsta sniedzējam de minimis atbalsta saņemšanai komersants sabiedrībā "Altum" iesniedz informāciju par iepriekš </w:t>
            </w:r>
            <w:r w:rsidR="00000000" w:rsidRPr="00000000" w:rsidDel="00000000">
              <w:rPr>
                <w:u w:val="single"/>
                <w:rtl w:val="0"/>
              </w:rPr>
              <w:t xml:space="preserve">piešķirto</w:t>
            </w:r>
            <w:r w:rsidR="00000000" w:rsidRPr="00000000" w:rsidDel="00000000">
              <w:rPr>
                <w:rtl w:val="0"/>
              </w:rPr>
              <w:t xml:space="preserve"> de minimis atbalstu viena vienota uzņēmuma līmenī. Komersants informē atbalsta sniedzēju par de minimis atbalsta uzskaites sistēmā izveidotās un iesniegtās veidlapas identifikācijas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šo noteikumu 78.4.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78.4. atbalsta sniedzējs un komersants ievēro normatīvajos aktos par</w:t>
            </w:r>
            <w:r w:rsidR="00000000" w:rsidRPr="00000000" w:rsidDel="00000000">
              <w:rPr>
                <w:i w:val="1"/>
                <w:rtl w:val="0"/>
              </w:rPr>
              <w:t xml:space="preserve"> de minimis </w:t>
            </w:r>
            <w:r w:rsidR="00000000" w:rsidRPr="00000000" w:rsidDel="00000000">
              <w:rPr>
                <w:rtl w:val="0"/>
              </w:rPr>
              <w:t xml:space="preserve">atbalsta uzskaites un piešķiršanas kārtību noteikto. Pirms pieteikuma iesniegšanas atbalsta sniedzējam</w:t>
            </w:r>
            <w:r w:rsidR="00000000" w:rsidRPr="00000000" w:rsidDel="00000000">
              <w:rPr>
                <w:i w:val="1"/>
                <w:rtl w:val="0"/>
              </w:rPr>
              <w:t xml:space="preserve"> de minimis</w:t>
            </w:r>
            <w:r w:rsidR="00000000" w:rsidRPr="00000000" w:rsidDel="00000000">
              <w:rPr>
                <w:rtl w:val="0"/>
              </w:rPr>
              <w:t xml:space="preserve"> atbalsta saņemšanai komersants sabiedrībā "Altum" iesniedz informāciju par iepriekš piešķirto </w:t>
            </w:r>
            <w:r w:rsidR="00000000" w:rsidRPr="00000000" w:rsidDel="00000000">
              <w:rPr>
                <w:i w:val="1"/>
                <w:rtl w:val="0"/>
              </w:rPr>
              <w:t xml:space="preserve">de minimis</w:t>
            </w:r>
            <w:r w:rsidR="00000000" w:rsidRPr="00000000" w:rsidDel="00000000">
              <w:rPr>
                <w:rtl w:val="0"/>
              </w:rPr>
              <w:t xml:space="preserve"> atbalstu viena vienota uzņēmuma līmenī. Komersants informē atbalsta sniedzēju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Sabiedrība "Altum" informē komersantus, kas pretendē uz atbalstu, par šo noteikumu 79.punktā noteiktā nosacījuma piemērošanas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akciju sabiedrība "Attīstības finanšu institūcija Altum" informēs komersantus par noteikumu Nr. 20 plānotajā 79. punktā noteiktā nosacījuma piemērošanas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sadaļas "Pašreizējā situācija, problēmas un risinājumi" 7.punktā.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Sabiedrība "Altum" informē komersantus, kas pretendē uz atbalstu, par šo noteikumu 79.punktā noteiktā nosacījuma piemērošanas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26.08.2025. 15:58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w:t>
            </w:r>
            <w:r w:rsidR="00000000" w:rsidRPr="00000000" w:rsidDel="00000000">
              <w:rPr>
                <w:b w:val="1"/>
                <w:rtl w:val="0"/>
              </w:rPr>
              <w:t xml:space="preserve">LASUA</w:t>
            </w:r>
            <w:r w:rsidR="00000000" w:rsidRPr="00000000" w:rsidDel="00000000">
              <w:rPr>
                <w:rtl w:val="0"/>
              </w:rPr>
              <w:t xml:space="preserve">) ir iepazinusies ar tiesību akta projekta “Grozījumi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ID Nr. 25‑TA‑1375, (turpmāk – </w:t>
            </w:r>
            <w:r w:rsidR="00000000" w:rsidRPr="00000000" w:rsidDel="00000000">
              <w:rPr>
                <w:b w:val="1"/>
                <w:rtl w:val="0"/>
              </w:rPr>
              <w:t xml:space="preserve">Projekts</w:t>
            </w:r>
            <w:r w:rsidR="00000000" w:rsidRPr="00000000" w:rsidDel="00000000">
              <w:rPr>
                <w:rtl w:val="0"/>
              </w:rPr>
              <w:t xml:space="preserve">) redakciju un izsaka savus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vēlas vērst uzmanību uz Projekta anotācijā piedāvātā risinājuma 8. punktu, kurā pausts apgalvojums, ka no atkritumiem iegūta kurināmā (turpmāk – </w:t>
            </w:r>
            <w:r w:rsidR="00000000" w:rsidRPr="00000000" w:rsidDel="00000000">
              <w:rPr>
                <w:b w:val="1"/>
                <w:rtl w:val="0"/>
              </w:rPr>
              <w:t xml:space="preserve">NAIK</w:t>
            </w:r>
            <w:r w:rsidR="00000000" w:rsidRPr="00000000" w:rsidDel="00000000">
              <w:rPr>
                <w:rtl w:val="0"/>
              </w:rPr>
              <w:t xml:space="preserve">) izmantošana reģenerācijas iekārtās rada ilgtermiņa negatīvu ietekmi uz vidi un sabiedrības veselību. LASUA ieskatā šāds formulējums ir nepamatots un rada maldinošu priekšstatu gan politikas veidotājiem, gan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pierādīts, ka NAIK izmantošana modernās reģenerācijas iekārtās ar stingru emisiju kontroli un atbilstību Eiropas Savienības emisiju prasībām neizraisa paaugstinātus riskus sabiedrības veselībai vai negatīvu ietekmi uz vidi. Reģenerācijas iekārtas darbojas saskaņā ar labākajām pieejamajām metodēm, kas nodrošina augstus drošības un vides standartus, un to darbību pastāvīgi uzrauga neatkarīgas institūcijas. Turklāt visās Eiropas Savienības dalībvalstīs šādas iekārtas var darboties tikai tad, ja tās nodrošina nepārtrauktu emisiju monitoringu, kas ļauj sabiedrībai un uzraugošajām iestādēm pārliecināties par to drošumu un atbilstību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risinājumu plaša un ilgtspējīga izmantošana ir pierādīta vairākās Eiropas valstīs, tostarp Vācijā, Zviedrijā un Dānijā, kur atkritumu reģenerācijas iekārtas ne tikai ir neatņemama centralizētās siltumapgādes sistēmas daļa, bet arī tiek integrētas pilsētvidē, neradot apdraudējumu vietējiem iedzīvotājiem. Turklāt Latvijā NAIK sastāvā ir būtiski augstāka biomasas daļa nekā vidēji citās Eiropas Savienības dalībvalstīs. Tas nozīmē, ka ievērojama daļa no NAIK enerģētiskā potenciāla ir atjaunīgs resurss, kas samazina kopējo ietekmi uz siltumnīcefekta gāzu emisijām. NAIK izmantošana arī ļauj būtiski mazināt atkritumu apglabāšanu poligonos, kas savukārt ir viens no nozīmīgākajiem mērķiem, lai Latvija varētu izpildīt Eiropas Savienības prasības līdz 2035. gadam samazināt atkritumu poligonos noglabāto atkritumu apjomu līdz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LASUA uzsver, ka anotācijā ietvertais vērtējums par NAIK potenciāli ilgtermiņā bīstamu ietekmi uz vidi un sabiedrības veselību neatspoguļo faktisko situāciju un neatbilst starptautiskajai praksei. Šāda argumentācija var radīt nepareizu izpratni sabiedrībā par NAIK kā resursu un tā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ar mērķi novērst nepareizo interpretāciju par NAIK reģenerācijas iekārtām, </w:t>
            </w:r>
            <w:r w:rsidR="00000000" w:rsidRPr="00000000" w:rsidDel="00000000">
              <w:rPr>
                <w:b w:val="1"/>
                <w:rtl w:val="0"/>
              </w:rPr>
              <w:t xml:space="preserve">LASUA aicina Klimata un enerģētikas ministriju precizēt Projekta anotāciju, ņemot vērā šajā atzinumā norādītos faktus, un ietverot tajā objektīvu, zinātniski pamatotu informāciju par NAIK, kas atbilstu Eiropas Savienības regulējumam un faktiskai situācijai saistībā ar NAIK reģenerācijas iekārtu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viedokli, veikti atbilstoši precizējumi anotācijas 1.3.sadaļas "Pašreizējā situācija, problēmas un risinājumi" 8.punktā.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augstas gatavības projekts – atbalsta pieteikums, kuram ir izstrādāta tehniskā dokumentācija, tai skaitā izstrādāts būvprojekts.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skaidro, ka jebkuri liela apjoma projekti centralizētajā siltumapgādē ir vērtējami kā ļoti sarežģīti un izstrādāta tehniskā dokumentācija un būvprojekts nav vienīgie kritēriji augstas gatavības pakāpes noteikšanai. Katra uzņēmuma ceļš līdz būvniecības uzsākšanai/ objekta nodošanai ekspluatācijā ir atšķirīgs, un uz pieteikuma iesniegšanas brīdi katra projekta  sagatavotās dokumentācijas komplekts var būt atšķirīgs.  Aicinām pārskatīt punktu, papildinot kritēriju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augstas gatavības projekts – atbalsta pieteikums, kuram ir izstrādāta tehniskā dokumentācija (tehniski ekonomiskais pamatojums, būvprojekts minimālā sastāvā vai projekta koncepcija) </w:t>
            </w:r>
            <w:r w:rsidR="00000000" w:rsidRPr="00000000" w:rsidDel="00000000">
              <w:rPr>
                <w:b w:val="1"/>
                <w:rtl w:val="0"/>
              </w:rPr>
              <w:t xml:space="preserve">un / vai</w:t>
            </w:r>
            <w:r w:rsidR="00000000" w:rsidRPr="00000000" w:rsidDel="00000000">
              <w:rPr>
                <w:rtl w:val="0"/>
              </w:rPr>
              <w:t xml:space="preserve"> izsludināts vai noslēdzies iepirkums būvprojektēšanai un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viedokli un veikto papildus komunikāciju ar nozares pārstāvjiem, atbilstoši precizēts noteikumu projekts, t.sk. svītrots  noteikumu projekta 2.4.</w:t>
            </w:r>
            <w:r w:rsidR="00000000" w:rsidRPr="00000000" w:rsidDel="00000000">
              <w:rPr>
                <w:vertAlign w:val="superscript"/>
                <w:rtl w:val="0"/>
              </w:rPr>
              <w:t xml:space="preserve">1</w:t>
            </w:r>
            <w:r w:rsidR="00000000" w:rsidRPr="00000000" w:rsidDel="00000000">
              <w:rPr>
                <w:rtl w:val="0"/>
              </w:rPr>
              <w:t xml:space="preserve"> apakšpunkts, precizēts noteikumu projekta 7.punkts, kā arī atbilsotši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6.punktā minētais 2.1.1.3.pasākuma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punktus, kas nosaka dalījumu augstas un zemas gatavības projektos (7.</w:t>
            </w:r>
            <w:r w:rsidR="00000000" w:rsidRPr="00000000" w:rsidDel="00000000">
              <w:rPr>
                <w:vertAlign w:val="superscript"/>
                <w:rtl w:val="0"/>
              </w:rPr>
              <w:t xml:space="preserve">1</w:t>
            </w:r>
            <w:r w:rsidR="00000000" w:rsidRPr="00000000" w:rsidDel="00000000">
              <w:rPr>
                <w:rtl w:val="0"/>
              </w:rPr>
              <w:t xml:space="preserve">1., 7.</w:t>
            </w:r>
            <w:r w:rsidR="00000000" w:rsidRPr="00000000" w:rsidDel="00000000">
              <w:rPr>
                <w:vertAlign w:val="superscript"/>
                <w:rtl w:val="0"/>
              </w:rPr>
              <w:t xml:space="preserve">1</w:t>
            </w:r>
            <w:r w:rsidR="00000000" w:rsidRPr="00000000" w:rsidDel="00000000">
              <w:rPr>
                <w:rtl w:val="0"/>
              </w:rPr>
              <w:t xml:space="preserve"> 2. un 7.</w:t>
            </w:r>
            <w:r w:rsidR="00000000" w:rsidRPr="00000000" w:rsidDel="00000000">
              <w:rPr>
                <w:vertAlign w:val="superscript"/>
                <w:rtl w:val="0"/>
              </w:rPr>
              <w:t xml:space="preserve">2</w:t>
            </w:r>
            <w:r w:rsidR="00000000" w:rsidRPr="00000000" w:rsidDel="00000000">
              <w:rPr>
                <w:rtl w:val="0"/>
              </w:rPr>
              <w:t xml:space="preserve"> punkti), jo mūsu ieskatā tas nevajadzīgi sarežģī programmas nosacījumus un ievērojami apgrūtina finanšu iestādes ALTUM darbu, izvērtējot projektu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viedokli un veikto papildus komunikāciju ar nozares pārstāvjiem, veikti atbilstoši precizējumi noteikumu projektā, t.sk. noteikumu 7.punktā. Papildus informējam, ka saglabāts nosacījums, ka projektiem, kuriem nav izstrādāta vai ir daļēji izstrādāta tehniskā dokumentācija, pieejami 20% no kopējā atbalsta programmā pieejamā finansējuma. Šāda pieeja noteikta,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ka primāri tiek atbalstīti atbalsta pieteikumi ar augstu gatavības pakāpi. Vienlaikus tiek dota iespēja atbalstu saņemta arī tiem atbalsta pieteikumiem, kuriem pamatotu apsvērumu dēļ nepieciešams atbalsts šo dokumentu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Atbalstu saskaņā ar regulas Nr. </w:t>
            </w:r>
            <w:r w:rsidR="00000000" w:rsidRPr="00000000" w:rsidDel="00000000">
              <w:rPr>
                <w:rtl w:val="0"/>
              </w:rPr>
              <w:t xml:space="preserve">651/2014</w:t>
            </w:r>
            <w:r w:rsidR="00000000" w:rsidRPr="00000000" w:rsidDel="00000000">
              <w:rPr>
                <w:rtl w:val="0"/>
              </w:rPr>
              <w:t xml:space="preserve"> 41. un 46. pantu atbalsta saņēmējam piešķir, ievērojot regulas Nr. </w:t>
            </w:r>
            <w:r w:rsidR="00000000" w:rsidRPr="00000000" w:rsidDel="00000000">
              <w:rPr>
                <w:rtl w:val="0"/>
              </w:rPr>
              <w:t xml:space="preserve">651/2014</w:t>
            </w:r>
            <w:r w:rsidR="00000000" w:rsidRPr="00000000" w:rsidDel="00000000">
              <w:rPr>
                <w:rtl w:val="0"/>
              </w:rPr>
              <w:t xml:space="preserve"> 2. panta 124. punktā un 46. panta 2. un 6.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 tā svītrojot visus nosacījumus, kas attiecas uz Komisijas 2014. gada 17. jūnija Regulas (ES) Nr. 651/2014, ar ko noteiktas atbalsta kategorijas atzīst par saderīgām ar iekšējo tirgu, piemērojot Līguma 107. un 108. pantu (turpmāk - regula Nr. 651/2014) 41. pantu, jo atbilstoši plānotajam 26.1 - 26.3 punktam secināms, ka 2.1.1.3.pasākuma “AER izmantošana un energoefektivitātes paaugstināšana centralizētajā siltumapgādē un aukstumapgādē” otrās kārtas (turpmāk – 2.1.1.3.pasākums) ietvaros atbalsts paredzēts, lai veicinātu energoefektivitāti un atjaunīgo energoresursu izmantošanu centralizētajā siltumapgādē un aukstumapgādē. Vēršam uzmanību, ka regulas Nr. 651/2014 46. panta 3.punkts pieļauj atbalstu piešķirt enerģijas ražošanai, kas balstīta uz atjaunīgajiem energoresursiem, savukārt, regulas Nr. 651/2014 2.panta “124” punkts nosaka, ka “energoefektīva centralizētā siltumapgāde un aukstumapgāde” ir efektīva centralizētā siltumapgāde un aukstumapgāde, kas definēta Eiropas Parlamenta un Padomes 2012. gada 25. oktobra Direktīvas 2012/27/ES par energoefektivitāti, ar ko groza Direktīvas 2009/125/EK un 2010/30/ES un atceļ Direktīvas 2004/8/EK un 2006/32/EK, 2. panta “41”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Ministru kabineta 2025. gada 7. janvāra noteikumu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noteikumi Nr. 20)  25.punktā minētie nosacījumi attiecas uz atbalstu ar regulas Nr. 651/2014 46. pantu, lūdzam dzēst atsauci uz regulas Nr. 651/2014 41. pantu, kā arī papildināt šo punktu ar atsauci uz regulas Nr. 651/2014 46. panta 3.punktu, kas atbilst plānotajam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attiecināmajām izmaksām saskaņā ar regulas Nr. 651/2014 46. pantu papildus lūdzam skatīt Eiropas Komisijas (turpmāk – EK) skaidrojumus e-State aid WIKI sistēmā, t.sk. EK atbildes: Art 46 - district heating - eligible cost distribution network; Art 46 - Reconstruction of district heating system; Article 46 - Energy efficient district heating and cooling.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skaidrojumu anotācijā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viedokli, t.sk. pieejamos Eiropas Komisijas skaidrojumus e-State aid WIKI sistēmā, veikti atbilstoši precizējumi  noteikumu projektā, svītrojot visus nosacījumus, kas attiecas uz Eiropas Komisijas 2014. gada 17. jūnija Regulas (ES) Nr. 651/2014, ar ko noteiktas atbalsta kategorijas atzīst par saderīgām ar iekšējo tirgu, piemērojot Līguma 107. un 108. pantu 41. pantu. Atbilstoši precizējumi veikti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Atbalstu saskaņā ar regulas Nr. </w:t>
            </w:r>
            <w:r w:rsidR="00000000" w:rsidRPr="00000000" w:rsidDel="00000000">
              <w:rPr>
                <w:rtl w:val="0"/>
              </w:rPr>
              <w:t xml:space="preserve">651/2014</w:t>
            </w:r>
            <w:r w:rsidR="00000000" w:rsidRPr="00000000" w:rsidDel="00000000">
              <w:rPr>
                <w:rtl w:val="0"/>
              </w:rPr>
              <w:t xml:space="preserve"> 46. pantu atbalsta saņēmējam piešķir, ievērojot regulas Nr. </w:t>
            </w:r>
            <w:r w:rsidR="00000000" w:rsidRPr="00000000" w:rsidDel="00000000">
              <w:rPr>
                <w:rtl w:val="0"/>
              </w:rPr>
              <w:t xml:space="preserve">651/2014</w:t>
            </w:r>
            <w:r w:rsidR="00000000" w:rsidRPr="00000000" w:rsidDel="00000000">
              <w:rPr>
                <w:rtl w:val="0"/>
              </w:rPr>
              <w:t xml:space="preserve"> 2. panta 124. punktā un 46. panta 2., 3. un 6.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minētie atbalsta pieteikumi attiecīgajā kalendāra mēnesī tiek iesniegti lielākā apmērā, nekā pieejams finansējums 2.1.1.3. pasākuma ietvaros, sabiedrība "Altum" atbalsta pieteikumus izskata to iesniegšanas secībā, līdz brīdim, kamēr ir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ieceres līdz ekspluatācijā nodotam projektam var paiet vairāki gadi un lai maksimāli apgūtu programmai atvēlēto finansējumu pilnā apmērā, aicinām pārskatīt punktu, nosakot prioritāti augstas gatavības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39. punktā minētie atbalsta pieteikumi attiecīgajā kalendāra mēnesī tiek iesniegti lielākā apmērā, nekā pieejams finansējums 2.1.1.3. pasākuma ietvaros, sabiedrība "Altum" pieteikumus atbalsta saņemšanai prioritāri izskata augstas gatavības projektiem to iesniegšanas secībā, līdz brīdim, kamēr ir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projekti, kuriem nebūs vai būs tikai daļēji izstrādāta tehniskā dokumentācija tiks vērtēti atsevišķi, ņemot vērā, ka šādiem projektiem paredzēti 20% no kopējā atbalsta programmā pieejamā finansējuma. Ja līdz 2026.gada 31.decenrbim iezīmētais finansējums netiks izmantots, tas tiks novirzīts pārējo projektu īstenošanai, proti, tādu projektu, kuriem ir izstrādāta tehniskā dokumentācija.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minētie atbalsta pieteikumi attiecīgajā kalendāra mēnesī tiek iesniegti lielākā apmērā, nekā pieejams finansējums 2.1.1.3. pasākuma ietvaros, sabiedrība "Altum" attiecīgajā mēnesī iesniegtos atbalsta pieteikumus izskata to iesniegšanas secībā, līdz brīdim, kamēr ir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valsts atbalstu saistītie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konkrētu termiņu, līdz kuram atbalsta programmas ietvaros drīkst piešķirt de minimis atbalstu saskaņā ar Komisijas 2023. gada 13. decembra Regulu (ES) 2023/2831 par Līguma par Eiropas Savienības darbību 107. un 108. panta piemērošanu de minimis atbalstam (turpmāk – regula Nr. 2023/2831) (ne garāku par 30.06.2031, jo nevar pārsniegt regulas Nr. 2023/2831 7. panta 3. punktā un 8. pantā noteikto darbības termiņu, kas ir 30.06.2031).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valsts atbalstu saistītie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w:t>
            </w:r>
            <w:r w:rsidR="00000000" w:rsidRPr="00000000" w:rsidDel="00000000">
              <w:rPr>
                <w:rtl w:val="0"/>
              </w:rPr>
              <w:t xml:space="preserve">651/2014</w:t>
            </w:r>
            <w:r w:rsidR="00000000" w:rsidRPr="00000000" w:rsidDel="00000000">
              <w:rPr>
                <w:rtl w:val="0"/>
              </w:rPr>
              <w:t xml:space="preserve"> 46. panta 3. un 6. punktu šo noteikumu </w:t>
            </w:r>
            <w:r w:rsidR="00000000" w:rsidRPr="00000000" w:rsidDel="00000000">
              <w:rPr>
                <w:rtl w:val="0"/>
              </w:rPr>
              <w:t xml:space="preserve">​</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darbībām, kopējā atbalsta intensitāte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651/2014 46. panta 6. punktu attiecināmās izmaksas ir ieguldījumu izmaksas, kas saistītas ar energoefektīvas centralizētās siltumapgādes un/vai aukstumapgādes sistēmas izbūvi vai modernizēšanu, savukārt, atbalsta intensitāte ir noteikta tā paša panta 7. un 8.punktā, kā arī regulas Nr. 651/2014 46. panta 2. un 3. punktā noteikts, kādiem mērķiem atbalstu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viennozīmīgai normu interpretācijai, lūdzam precizēt noteikumu Nr. 20 68.punktu precizējot,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nosakot atbalsta intensitāti nav piemērojama arī regulas Nr. 651/2014 46. panta 8. punktā noteiktā iespēja, iekļaujot arī atsauci uz šo regulas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651/2014 46. panta 2. un 3. punktu šo noteikumu ​27. punktā minētajām darbībām, ievērojot regulas Nr. 651/2014 46. panta 6. punktā noteikto, kopējā atbalsta intensitāte, saskaņā ar regulas Nr. 651/2014 7. punktu,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68.punktā.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w:t>
            </w:r>
            <w:r w:rsidR="00000000" w:rsidRPr="00000000" w:rsidDel="00000000">
              <w:rPr>
                <w:rtl w:val="0"/>
              </w:rPr>
              <w:t xml:space="preserve">651/2014</w:t>
            </w:r>
            <w:r w:rsidR="00000000" w:rsidRPr="00000000" w:rsidDel="00000000">
              <w:rPr>
                <w:rtl w:val="0"/>
              </w:rPr>
              <w:t xml:space="preserve"> 46. panta 2. un 3. punktu šo noteikumu </w:t>
            </w:r>
            <w:r w:rsidR="00000000" w:rsidRPr="00000000" w:rsidDel="00000000">
              <w:rPr>
                <w:rtl w:val="0"/>
              </w:rPr>
              <w:t xml:space="preserve">​</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darbībām, ievērojot regulas Nr. 651/2014 46. panta 6. punktā noteikto, kopējā atbalsta intensitāte, saskaņā ar regulas Nr. 651/2014 46. panta 7. un 8. punktu,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Atbalstu, ko piešķir šo noteikumu ietvaros, var kumulēt ar citu komercdarbības atbalstu, kas piešķirts saskaņā ar regulu Nr. 651/2014 vai kas apstiprināts ar Eiropas Komisijas lēmumu un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plānots piešķirt atbalstu saskaņā ar Līguma par Eiropas Savienības darbību 108. panta 3. punktā noteikto paziņošanas prasību un EK lēmumu, lūdzam svītrot noteikumu Nr. 20 72. punkta plānotās redakcijas ievaddaļā vārdus "kas apstiprināts ar Eiropas Komisijas lēmumu un". Pēc analoģijas lūdzam precizēt arī noteikumu Nr. 20 plānoto 72.1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noteikumos nodrošinātu korektu kumulācijas prasību ievērošanu, lūdzam noteikumu projektā paredzēt atsevišķas kumulācijas normas attiecībā uz atbalsta, kas piešķirts saskaņā ar regulu Nr. 651/2014, un attiecībā uz de minimis atbalsta, kas piešķirts ar regulu Nr. 2023/2831, kumulāciju,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kas piešķirts saskaņā ar šiem noteikumiem saskaņā ar regulas Nr. 651/2014 46. pantu, tai skaitā attiecībā uz vienām un tām pašām attiecināmajām izmaksām, var apvienot ar citas atbalsta programmas vai ad-hoc atbalsta projekta ietvaros piešķirto finansējumu un ar de minimis atbalstu, ievērojot nosacījumu, ka šo noteikumu ietvaros piešķirtais komercdarbības atbalsts kopā ar citas atbalsta programmas vai ad-hoc atbalsta projekta ietvaros piešķirto komercdarbības atbalstu nepārsniedz maksimāli pieļaujamo atbalsta finansējuma intensitāti, kas noteikta šo noteikumu 68.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72.punktā.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Atbalstu, ko piešķir šo noteikumu ietvaros, saskaņā ar regulas Nr. 651/2014 46. pantu, tai skaitā attiecībā uz vienām un tām pašām attiecināmajām izmaksām, var apvienot ar citas atbalsta programmas vai ad-hoc atbalsta projekta ietvaros piešķirto finansējumu un ar</w:t>
            </w:r>
            <w:r w:rsidR="00000000" w:rsidRPr="00000000" w:rsidDel="00000000">
              <w:rPr>
                <w:i w:val="1"/>
                <w:rtl w:val="0"/>
              </w:rPr>
              <w:t xml:space="preserve"> de minimis</w:t>
            </w:r>
            <w:r w:rsidR="00000000" w:rsidRPr="00000000" w:rsidDel="00000000">
              <w:rPr>
                <w:rtl w:val="0"/>
              </w:rPr>
              <w:t xml:space="preserve"> atbalstu, ievērojot nosacījumu, ka šo noteikumu ietvaros piešķirtais komercdarbības atbalsts kopā ar citas atbalsta programmas vai ad-hoc atbalsta projekta ietvaros piešķirto komercdarbības atbalstu nepārsniedz maksimāli pieļaujamo atbalsta finansējuma intensitāti, kas noteikta šo noteikumu 68.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visus ar </w:t>
            </w:r>
            <w:r w:rsidR="00000000" w:rsidRPr="00000000" w:rsidDel="00000000">
              <w:rPr>
                <w:i w:val="1"/>
                <w:rtl w:val="0"/>
              </w:rPr>
              <w:t xml:space="preserve">de minimis </w:t>
            </w:r>
            <w:r w:rsidR="00000000" w:rsidRPr="00000000" w:rsidDel="00000000">
              <w:rPr>
                <w:rtl w:val="0"/>
              </w:rPr>
              <w:t xml:space="preserve">saistītos datus glabā 10 gadus no dienas, kad saskaņā ar šiem noteikumiem piešķirts pēdējais</w:t>
            </w:r>
            <w:r w:rsidR="00000000" w:rsidRPr="00000000" w:rsidDel="00000000">
              <w:rPr>
                <w:i w:val="1"/>
                <w:rtl w:val="0"/>
              </w:rPr>
              <w:t xml:space="preserve"> de minimis </w:t>
            </w:r>
            <w:r w:rsidR="00000000" w:rsidRPr="00000000" w:rsidDel="00000000">
              <w:rPr>
                <w:rtl w:val="0"/>
              </w:rPr>
              <w:t xml:space="preserve">atbalsts atbilstoši Komisijas regulas Nr. 2023/2831  6. panta 3. un 7.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2023/2831 6. pantā noteikto datu glabāšanas nosacījumu ievērošanu gan attiecībā uz atbalsta sniedzēju, gan attiecībā uz atbalsta saņēmēju, lūdzam precizēt noteikumu Nr. 20 plānoto 78.5.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Atbalsta sniedzējs uzglabā visus ar de minimis atbalsta piešķiršanu saistītos datus 10 (desmit) gadus, sākot no dienas, kurā saskaņā ar šiem noteikumiem piešķirts pēdējais de minimis atbalsts. Savukārt de minimis atbalsta saņēmējs uzglabā visus ar de minimis atbalsta piešķiršanu saistītos datus 10 (desmit) gadus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78.5.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78.6. atbalsta sniedzējs uzglabā visus ar </w:t>
            </w:r>
            <w:r w:rsidR="00000000" w:rsidRPr="00000000" w:rsidDel="00000000">
              <w:rPr>
                <w:i w:val="1"/>
                <w:rtl w:val="0"/>
              </w:rPr>
              <w:t xml:space="preserve">de minimis </w:t>
            </w:r>
            <w:r w:rsidR="00000000" w:rsidRPr="00000000" w:rsidDel="00000000">
              <w:rPr>
                <w:rtl w:val="0"/>
              </w:rPr>
              <w:t xml:space="preserve">atbalsta piešķiršanu saistītos datus 10 gadus, sākot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Savukārt </w:t>
            </w:r>
            <w:r w:rsidR="00000000" w:rsidRPr="00000000" w:rsidDel="00000000">
              <w:rPr>
                <w:i w:val="1"/>
                <w:rtl w:val="0"/>
              </w:rPr>
              <w:t xml:space="preserve">de minimis</w:t>
            </w:r>
            <w:r w:rsidR="00000000" w:rsidRPr="00000000" w:rsidDel="00000000">
              <w:rPr>
                <w:rtl w:val="0"/>
              </w:rPr>
              <w:t xml:space="preserve"> atbalsta saņēmējs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no </w:t>
            </w:r>
            <w:r w:rsidR="00000000" w:rsidRPr="00000000" w:rsidDel="00000000">
              <w:rPr>
                <w:i w:val="1"/>
                <w:rtl w:val="0"/>
              </w:rPr>
              <w:t xml:space="preserve">de minimis</w:t>
            </w:r>
            <w:r w:rsidR="00000000" w:rsidRPr="00000000" w:rsidDel="00000000">
              <w:rPr>
                <w:rtl w:val="0"/>
              </w:rPr>
              <w:t xml:space="preserve">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Nr. 20  tiek veikti grozījumi, kas nosaka, ka atbalsta programma ietvaros atbalsts tiks sniegts arī ar regulas Nr. 651/2014 41. pantu, lūdzam papildināt anotāciju ar informāciju, ka Klimata un enerģētikas ministrija 20 darba dienu laikā pēc grozījumu spēkā stāšanās iesniegs kopsavilkuma informāciju Eiropas Komisijā,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veiktos precizējumus noteikumu projektā, lūdzam atbilstoši precizēt anotācijas 5.4. sadaļas 1. tabulu, iekļaujot aktuālu noteikumu projekta punktu izvērtējumu atbilstoši  regulas Nr. 2023/2831 pantiem un to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4.punktā sniegto viedokli, ka šo noteikumu ietvaros atbalsts ar Eiropas Komisijas 2014. gada 17. jūnija Regulas (ES) Nr. 651/2014, ar ko noteiktas atbalsta kategorijas atzīst par saderīgām ar iekšējo tirgu, piemērojot Līguma 107. un 108. pantu 41. pantu netiks sniegts, informējam, ka attiecīgi anotācijā netiek iekļauta informāciju, ka Klimata un enerģētikas ministrija 20 darba dienu laikā pēc grozījumu spēkā stāšanās iesniegs kopsavilkuma informāciju Eiropas Komisijā, izmantojot SANI2 sistēmu. Vienlaikus veikti attiecīgi precizējumi anotācijas 5.4.sadaļas 1.tabulā.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 sadaļas apakšsadaļas "Sabiedrības līdzdalība uz šo tiesību akta projektu neattiecas" atbilstošajā apakšsadaļā "Skaidrojums" sniegto informāciju, ņemot vērā, ka Ministru kabineta 2009. gada 25. augusta noteikumi Nr. 970 "Sabiedrības līdzdalības kārtība attīstības plānošanas procesā" zaudējuši spēku ar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6.sadaļas apakšsadaļā "Sabiedrības līdzdalība uz šo tiesību akta projektu neattiecas".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 2.1.1. specifiskā atbalsta mērķa "Energoefektivitātes veicināšana un siltumnīcefekta gāzu emisiju samazināšana" 2.1.1.3. pasākuma "AER izmantošana un energoefektivitātes paaugstināšana centralizētajā siltumapgādē un aukstumapgādē" (turpmāk – 2.1.1.3. pasākums)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uztveramībai, kā arī ņemot vērā, ka šie noteikumi Nr.20 atrunā īstenošanas nosacījumus 2.1.1.3.pasākuma "AER izmantošana un energoefektivitātes paaugstināšana centralizētajā siltumapgādē un aukstumapgādē" otrajai kārtai, aicinām precizēt noteikumu Nr. 20 1.1.apakšpunktu, atrunājot pasākuma saīsinājumu aiz vārdiem "otro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1.1.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 2.1.1. specifiskā atbalsta mērķa "Energoefektivitātes veicināšana un siltumnīcefekta gāzu emisiju samazināšana" 2.1.1.3. pasākuma "AER izmantošana un energoefektivitātes paaugstināšana centralizētajā siltumapgādē un aukstumapgādē" otro kārtu (turpmāk – 2.1.1.3.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līdz 2026. gada 31. decembrim šo noteikumu 7.2. apakšpunktā minētais finansējums netiek pilnībā izmantots, tad sabiedrība “Altum” atlikušo finansējumu var pārdalīt šo noteikumu 7.1. apakšpunktā noteikto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20  plānotajā 7.2 punktā iekļautās atsauces uz 7.2. un 7.1. apakšpunktu un tās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7.</w:t>
            </w:r>
            <w:r w:rsidR="00000000" w:rsidRPr="00000000" w:rsidDel="00000000">
              <w:rPr>
                <w:vertAlign w:val="superscript"/>
                <w:rtl w:val="0"/>
              </w:rPr>
              <w:t xml:space="preserve">1 </w:t>
            </w:r>
            <w:r w:rsidR="00000000" w:rsidRPr="00000000" w:rsidDel="00000000">
              <w:rPr>
                <w:rtl w:val="0"/>
              </w:rPr>
              <w:t xml:space="preserve">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2.1.1.3. pasākuma ietvaros atbalstu sniedz kombinēta finanšu instrumenta veidā ar kapitāla atlaidi pamatsummas daļējam samazinājumam, kas tiek piemērots, ja ir ievēroti šajos noteikumos minētie nosacījumi. Var tikt piešķirts viens no šādiem atbalstiem: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 14. punkta ievaddaļā plānotie grozījumi paredz, ka </w:t>
            </w:r>
            <w:r w:rsidR="00000000" w:rsidRPr="00000000" w:rsidDel="00000000">
              <w:rPr>
                <w:u w:val="single"/>
                <w:rtl w:val="0"/>
              </w:rPr>
              <w:t xml:space="preserve">var tikt</w:t>
            </w:r>
            <w:r w:rsidR="00000000" w:rsidRPr="00000000" w:rsidDel="00000000">
              <w:rPr>
                <w:rtl w:val="0"/>
              </w:rPr>
              <w:t xml:space="preserve"> piešķirts viens no 14.1. vai 14.2. apakšpunktā minētajiem atbalstiem. Lūdzam izvērtēt un, lai nodrošinātu regulējuma viennozīmīgu interpretāciju, saglabāt spēkā esošo redakciju, proti, ka </w:t>
            </w:r>
            <w:r w:rsidR="00000000" w:rsidRPr="00000000" w:rsidDel="00000000">
              <w:rPr>
                <w:u w:val="single"/>
                <w:rtl w:val="0"/>
              </w:rPr>
              <w:t xml:space="preserve">tiek</w:t>
            </w:r>
            <w:r w:rsidR="00000000" w:rsidRPr="00000000" w:rsidDel="00000000">
              <w:rPr>
                <w:rtl w:val="0"/>
              </w:rPr>
              <w:t xml:space="preserve"> piešķirts viens no attiecīgajiem atbalstiem.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14.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pirms ir iesniegts atbalsta pieteikums atbalsta saņemšanai, ievērojot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63.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Nr. 20 šobrīd spēkā esošo 22.7. apakšpunktu, ņemot vērā,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"Finanšu instrumenti" 2. punkta otrā daļa paredz, ka "Šādu atbalstu sniedz tikai par tiem investīciju elementiem, </w:t>
            </w:r>
            <w:r w:rsidR="00000000" w:rsidRPr="00000000" w:rsidDel="00000000">
              <w:rPr>
                <w:u w:val="single"/>
                <w:rtl w:val="0"/>
              </w:rPr>
              <w:t xml:space="preserve">kas investīciju lēmuma pieņemšanas dienā</w:t>
            </w:r>
            <w:r w:rsidR="00000000" w:rsidRPr="00000000" w:rsidDel="00000000">
              <w:rPr>
                <w:rtl w:val="0"/>
              </w:rPr>
              <w:t xml:space="preserve"> nav fiziski pabeigti vai pilnībā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22.7.apakšpunktā un veiktos precizējumus anotācijas 1.3. sadaļa "Pašreizējā situācija, problēmas un risinājumi" 4.punktā.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lēmuma par atbalsta piešķiršanu dienā, ievērojot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Atbalsta projekta īstenošanas laikā, atbalsta saņēmējs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noteikumu projekta 1.31.apakšpunktā ietverto grozījumu atbilstību regulas Nr.2021/1060 73.panta 2.punkta “j” apakšpunktam un 65.panta prasībām par darbību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1.3.apakšsadaļas "Pašreizējā situācija, problēmas un risinājumi" 3.punktu "Ilgtspējas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Atbalsta projekta īstenošanas laikā, atbalsta saņēmējs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 42. punktā plānotie grozījumi paredz, ka gadījumā, ja noteiktajā termiņā nav iesniegta pilnīga un korekta tehniskā dokumentācija, akciju sabiedrība "Attīstības finanšu institūcija Altum" (turpmāk - sabiedrība "Altum") </w:t>
            </w:r>
            <w:r w:rsidR="00000000" w:rsidRPr="00000000" w:rsidDel="00000000">
              <w:rPr>
                <w:u w:val="single"/>
                <w:rtl w:val="0"/>
              </w:rPr>
              <w:t xml:space="preserve">var pieņemt</w:t>
            </w:r>
            <w:r w:rsidR="00000000" w:rsidRPr="00000000" w:rsidDel="00000000">
              <w:rPr>
                <w:rtl w:val="0"/>
              </w:rPr>
              <w:t xml:space="preserve"> lēmumu par atbalsta pieteikuma noraidīšanu. Lai nodrošinātu regulējuma viennozīmīgu interpretāciju un skaidrību, aicinām izvērtēt iespēju paredzēt noteikumos Nr. 20, pie kādiem apstākļiem šādā gadījumā sabiedrība "Altum" </w:t>
            </w:r>
            <w:r w:rsidR="00000000" w:rsidRPr="00000000" w:rsidDel="00000000">
              <w:rPr>
                <w:u w:val="single"/>
                <w:rtl w:val="0"/>
              </w:rPr>
              <w:t xml:space="preserve">nepieņem</w:t>
            </w:r>
            <w:r w:rsidR="00000000" w:rsidRPr="00000000" w:rsidDel="00000000">
              <w:rPr>
                <w:rtl w:val="0"/>
              </w:rPr>
              <w:t xml:space="preserve"> lēmumu par atbalsta pieteikuma noraidīšanu, ņemot vērā anotācijas 1.3. sadaļas apakšsadaļā "Risinājuma apraksts" minēto: "</w:t>
            </w:r>
            <w:r w:rsidR="00000000" w:rsidRPr="00000000" w:rsidDel="00000000">
              <w:rPr>
                <w:i w:val="1"/>
                <w:rtl w:val="0"/>
              </w:rPr>
              <w:t xml:space="preserve">Vienlaikus, nav izslēgts, ka uz lēmuma pieņemšanas brīdi par atbalsta pieteikumu ir apstākļi, kas nav atkarīgi no komersanta un var pārsniegt divpadsmit mēnešus nepieciešamās dokumentācijas iesniegšanai - piemēram,  vēl nav saņemts saskaņojums no Eiropas Komisijas par izstrādāto vienoto metodiku garantijas subsīdijas ekvivalenta aprēķinam lielajiem komersantiem. </w:t>
            </w:r>
            <w:r w:rsidR="00000000" w:rsidRPr="00000000" w:rsidDel="00000000">
              <w:rPr>
                <w:i w:val="1"/>
                <w:u w:val="single"/>
                <w:rtl w:val="0"/>
              </w:rPr>
              <w:t xml:space="preserve">Attiecīgajā situācijā sabiedrība "Altum" sniedz tehnisko atzinumu, informējot, ka lēmums par atbalsta piešķiršanu netiek pieņemts līdz brīdim, kad tiek saņemts Eiropas Komisijas saskaņojums par minēto metodiku</w:t>
            </w:r>
            <w:r w:rsidR="00000000" w:rsidRPr="00000000" w:rsidDel="00000000">
              <w:rPr>
                <w:i w:val="1"/>
                <w:rtl w:val="0"/>
              </w:rPr>
              <w:t xml:space="preserve">. Gaidīšanas laiks var pārsniegt divpadsmit mēnešus kopš atbalsta pieteikuma iesniegšanas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42.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 Lēmumu par atbalsta pieteikuma nenoraidīšanu sabiedrība "Altum" var pieņemt, ja uz lēmuma pieņemšanas brīdi iestājušies apstākļi, kas nav atkarīgi no komersanta un var pārsniegt 12 mēnešus nepieciešamās dokumentācijas iesniegšanai, bet neilgāk kā 18 mēnešu laikā kopš atbalsta pieteikuma iesniegšanas dienas sabiedrībā "Altum".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Atbalsta saņēmējs iesniedz sabiedrībā "Altum" aizdevuma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svītrot noteikumu Nr. 20 54. punktu, kas spēkā esošajā redakcijā paredz, ka "</w:t>
            </w:r>
            <w:r w:rsidR="00000000" w:rsidRPr="00000000" w:rsidDel="00000000">
              <w:rPr>
                <w:i w:val="1"/>
                <w:rtl w:val="0"/>
              </w:rPr>
              <w:t xml:space="preserve">Atbalsta saņēmējs iesniedz sabiedrībā "Altum" aizdevuma pieteikumu</w:t>
            </w:r>
            <w:r w:rsidR="00000000" w:rsidRPr="00000000" w:rsidDel="00000000">
              <w:rPr>
                <w:rtl w:val="0"/>
              </w:rPr>
              <w:t xml:space="preserve">", anotācijas 1.3. sadaļas apakšsadaļā "Risinājuma apraksts" sniegts skaidrojums: "</w:t>
            </w:r>
            <w:r w:rsidR="00000000" w:rsidRPr="00000000" w:rsidDel="00000000">
              <w:rPr>
                <w:i w:val="1"/>
                <w:rtl w:val="0"/>
              </w:rPr>
              <w:t xml:space="preserve">Lai efektīvi organizētu procesu kredītiestāžu un sabiedrības “Altum” sadarbībai garantiju ieviešanā, MK noteikumos Nr.20 ir noteikts, ka komersantam ir iespēja izvēlēties, pie kā vērsties vispirms – pie kredītiestādes vai pie sabiedrības “Altum” aizdevuma saņemšanai. Sākotnēji komersants sabiedrībā “Altum” iesniedz atbalsta pieteikumu, norādot, vai piesakās sabiedrības “Altum” aizdevumam, vai sabiedrības “Altum” garantijai. Sabiedrības “Altum”  aizdevuma pieteikuma gadījumā atbalsta pieteikums ir arī aizdevuma pieteikums. Garantijas gadījumā komersants iesniedz kredītiestādē aizdevuma pieteikumu un kredītiestāde piesakās sabiedrības “Altum”  garantijai.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20 skaidri nenosaka komersanta iespējas izvēlēties, pie kā vērsties vispirms - pie sabiedrības "Altum" vai pie cita finansētāja. Piemēram, noteikumu Nr. 20 46. punkts paredz, ka, </w:t>
            </w:r>
            <w:r w:rsidR="00000000" w:rsidRPr="00000000" w:rsidDel="00000000">
              <w:rPr>
                <w:i w:val="1"/>
                <w:rtl w:val="0"/>
              </w:rPr>
              <w:t xml:space="preserve">ja komersants projekta attiecināmo izmaksu segšanai plāno saņemt cita finansētāja aizdevumu, </w:t>
            </w:r>
            <w:r w:rsidR="00000000" w:rsidRPr="00000000" w:rsidDel="00000000">
              <w:rPr>
                <w:i w:val="1"/>
                <w:u w:val="single"/>
                <w:rtl w:val="0"/>
              </w:rPr>
              <w:t xml:space="preserve">tad papildus šo noteikumu 39. punktā minēto dokumentu iesniegšanai sabiedrībā "Altum" komersants piesakās aizdevumam pie cita finansētāja</w:t>
            </w:r>
            <w:r w:rsidR="00000000" w:rsidRPr="00000000" w:rsidDel="00000000">
              <w:rPr>
                <w:i w:val="1"/>
                <w:rtl w:val="0"/>
              </w:rPr>
              <w:t xml:space="preserve">. Cits finansētājs pieņem lēmumu par projekta attiecināmo izmaksu finansēšanu un iesniedz sabiedrībā "Altum" garantijas pieteikumu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piemēram, noteikumu Nr. 20 17. punkta pirmais teikums paredz, ka </w:t>
            </w:r>
            <w:r w:rsidR="00000000" w:rsidRPr="00000000" w:rsidDel="00000000">
              <w:rPr>
                <w:i w:val="1"/>
                <w:rtl w:val="0"/>
              </w:rPr>
              <w:t xml:space="preserve">izmaksas ir attiecināmas </w:t>
            </w:r>
            <w:r w:rsidR="00000000" w:rsidRPr="00000000" w:rsidDel="00000000">
              <w:rPr>
                <w:i w:val="1"/>
                <w:u w:val="single"/>
                <w:rtl w:val="0"/>
              </w:rPr>
              <w:t xml:space="preserve">no dienas, kad komersants ir iesniedzis sabiedrībā "Altum" atbalsta pieteikumu</w:t>
            </w:r>
            <w:r w:rsidR="00000000" w:rsidRPr="00000000" w:rsidDel="00000000">
              <w:rPr>
                <w:i w:val="1"/>
                <w:rtl w:val="0"/>
              </w:rPr>
              <w:t xml:space="preserve">, vienlaikus nodrošinot šo noteikumu 39. punktā minētos nosacījumus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un nepieciešamības gadījumā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54. punkts saglabāts kā svītrots, ņemot vērā, ka šajā programmā plānots viens pieteikums, kurā komersants norāda, vai piesakās sabiedrības "Altum" aizdevumam vai garantijai - ja garantiju nesaņem, banka nefinansē, tad joprojām to pašu pieteikumu izmanto aizdevumam. Viennozīmīgai normu interpretācijai veikti precizējumi anotācija 1.3. sadaļas "Pašreizējā situācija, problēmas un risinājumi" 5.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71.2.2.punkts stājas spēkā vienlaikus ar pozitīvu Eiropas Komisijas saskaņojuma saņemšanu metodikai par garantijas subsīdijas ekvivalenta aprēķinu lielajiem komersantiem un tās atbilstību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noteikumi Nr. 20 nav papildināmi ar normu, kā trešās personas uzzinās par to, ka EK saskaņojums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noteikumu Nr. 20 plānoto 79. punktu, aizstājot skaitļus un vārdus "71.2.2.punkts stājas spēkā vienlaikus ar pozitīvu Eiropas Komisijas saskaņojuma saņemšanu" ar skaitļiem un vārdiem "71.2.2.punktu piemēro no pozitīva Eiropas Komisijas saskaņojuma saņemšanas brīža", lai attiecīgo normu līdz ar noteikumu projekta apstiprināšanu iekļautu noteikumu Nr. 20 redakcijā bez atliekoša vēlāka nosacījuma.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79. punktā. Vienlaikus informējam, ka noteikumi papildināti ar jaunu 80.punktu.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71.2.2. apakšpunktu piemēro no pozitīva Eiropas Komisijas saskaņojuma saņemšanas brīža par garantijas subsīdijas ekvivalenta aprēķinu lielajiem komersantiem metodiku un tās atbilstību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25-TA-1375</w:t>
    </w:r>
    <w:r>
      <w:br/>
    </w:r>
    <w:r w:rsidR="00000000" w:rsidRPr="00000000" w:rsidDel="00000000">
      <w:rPr>
        <w:rtl w:val="0"/>
      </w:rPr>
      <w:t xml:space="preserve">24.10.2025. 17.03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25-TA-1375</w:t>
    </w:r>
    <w:r>
      <w:br/>
    </w:r>
    <w:r w:rsidR="00000000" w:rsidRPr="00000000" w:rsidDel="00000000">
      <w:rPr>
        <w:rtl w:val="0"/>
      </w:rPr>
      <w:t xml:space="preserve">24.10.2025. 17.03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Izziņa_25-TA-1375.docx</dc:title>
</cp:coreProperties>
</file>

<file path=docProps/custom.xml><?xml version="1.0" encoding="utf-8"?>
<Properties xmlns="http://schemas.openxmlformats.org/officeDocument/2006/custom-properties" xmlns:vt="http://schemas.openxmlformats.org/officeDocument/2006/docPropsVTypes"/>
</file>