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21-TA-1121: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2014. gada 23. decembra noteikumos Nr. 791 "Noteikumi par kārtību, kādā Valsts robežsardze izsniedz un anulē speciālās caurlaides, un speciālo caurlaižu paraugiem"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2014. gada 23. decembra noteikumos Nr. 791 "Noteikumi par kārtību, kādā Valsts robežsardze izsniedz un anulē speciālās caurlaides, un speciālo caurlaižu paraugiem"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- 18.03.2022.)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paredzēt lietot e-adresi caurlaides izsniegšanai.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1. un 2. pielikumi.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norādīt, ka caurlaidi un izziņu iespējams pieprasīt e-pakalpojumā "Pierobežas joslas speciālo caurlaižu un reģistrācijas izziņu pieteikšana un saņemšana" Latvija.lv (https://latvija.lv/lv/Epakalpojumi/EP142/Apraksts). Kā arī norādīt, vai var pakalpojumu pietekt e-adresē. Tāpat lūdzam skaidrot caurlaides un izziņas saņemšanas kanālus, t.sk. iekļaujot oficiālās elektroniskās adreses prioritāti.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skatīt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Persona, kurai izsniegta pastāvīgā caurlaide un kura atsavinājusi sev piederošu nekustamo īpašumu pierobežas joslā, nākamajā dienā pēc nekustamā īpašuma atsavināšanas paziņo par to Valsts robežsardzes struktūrvienībai, kura izsniedza caurlaidi.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pants pārkāpj t.s. vienreizes principu. Saskaņā ar Valsts pārvaldes iekārtas likuma 10. panta 8. punktu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jāparedz, ka nevis persona, bet valsts institūcija paziņo par atsavināšanas faktu Robežsardzei.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Zemesgrāmata nākamajā dienā pēc nekustamā īpašuma atsavināšanas par labu personai, kurai izsniegta pastāvīgā caurlaide un kura atsavinājusi sev piederošu nekustamo īpašumu pierobežas joslā, paziņo par to Valsts robežsardzes struktūrvienībai, kura izsniedza caurlaidi.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skatīt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Svītrots.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1</w:t>
            </w:r>
            <w:r w:rsidR="00000000" w:rsidRPr="00000000" w:rsidDel="00000000">
              <w:rPr>
                <w:rtl w:val="0"/>
              </w:rPr>
              <w:t xml:space="preserve"> Terminētās caurlaides, kas izsniegtas līdz grozījumu, kas nosaka terminētās caurlaides paraugu, lai uzturētos pierobežas joslā, patrulēšanas joslā un robežzīmju uzraudzības joslā, spēkā stāšanās dienai, ir derīgas līdz to derīguma termiņa beigām, lai uzturētos pierobežas joslā, patrulēšanas joslā un robežzīmju uzraudzības joslā.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šo punktu izteikt kā noteikumu 14.punktu, jo pārejas regulējumu raksta secīgi noslēguma jautājumu pēdējos punktos.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vērtēt, vai vārdi ", lai uzturētos pierobežas joslā, patrulēšanas joslā un robežzīmju uzraudzības joslā" teikuma beigās nav lieki un ja ir lieki, lūdzam svītrot.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skatīt 14.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par noteikumu 1.pielikumu: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Kontekstā ar Valsts iestāžu juridisko dienestu vadītāju 14.11.2019. sanāksmē nolemto (protokols Nr. 3 2. §), lūdzam izvērtēt iespēju noteikumos noteikt 1. pielikuma iesnieguma veidlapā iekļaujamās informācijas saturu un apjomu, savukārt veidlapu dizainu un formu kā ilustratīvu materiālu publicēt institūcijas tīmekļvietnē vai vietnē, kur piedāvā e-pakalpojumu, ņemot par piemēru Komerclikumā ietverto regulējumu attiecībā uz Uzņēmumu reģistra veidlapām.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šo risinājumu attiecībā uz noteikumu 1. pielikumā ietverto iesnieguma veidlapu, ņemot vērā to, ka šo veidlapu esat pievienojuši kā atsevišķu datni (*docx), bez atbilstošas strukturēšanas.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Minētais risinājums prasītu papildināt projektu ar vismaz diviem punktiem. Viens - iesnieguma veidlapā iekļaujamās informācijas saturs, apjoms, teksta valodas u.c., bet otrs - kur veidlapa pieejama un kam to ir pienākums izstrādāt, uzturēt aktuālu u.c.. Tāpat būtu noteikumos svītrojama atsauce uz pielikumu un svītrojams pats pielikums.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Piemēram papildus skatīt Ministru kabineta 2017. gada 6. jūnija noteikumu Nr. 313 "Traktortehnikas, tās piekabes, maināmās velkamās iekārtas un maināmā tehnoloģiskā agregāta reģistrācijas kārtība" 83.2 2. apakšpunktu un 83.5 punktu vai Ministru kabineta 2021. gada 1. jūnija noteikumu Nr. 352 "Latvijas Goda ģimenes apliecības programmas īstenošanas kārtība" 3.6.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2020. gada 14. jūlija noteikumu Nr. 445 "Kārtība, kādā iestādes ievieto informāciju internetā" 8.punkts noteic, ja iestāde oficiālajā tīmekļvietnē vai mobilajā lietotnē publicē veidlapas, tās tiek veidotas vismaz datņu formātā, kas nodrošina iespēju veidlapu lejupielādēt no tīmekļvietnes, aizpildīt un saglabāt bez ierobežojumiem. Iestāde nodrošina skaidrojumu par veidlapu aizpildīšanu.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augstākminētais risinājums netiek atbalstīts, lūdzam nodrošināt noteikumu 1. pielikuma strukturēšanu TAP portāla vidē.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Iesniegumā pastāvīgās caurlaides saņemšanai norādāmā informācija ir labāk pārskatāma veidlapas veidā. TAP portāla vidē šāda veida pielikumu tehniski nav iespējams strukturēt. Līdz ar to pielikumu nepieciešams saglabāt kā atsevišķu datni.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par projekta 1.pielikumu (noteikumu 2.pielikumu):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Kontekstā ar Valsts iestāžu juridisko dienestu vadītāju 14.11.2019. sanāksmē nolemto (protokols Nr. 3 2. §), lūdzam izvērtēt iespēju projektā noteikt tikai projekta 1. pielikuma iesnieguma veidlapā iekļaujamās informācijas saturu un apjomu, savukārt veidlapu dizainu un formu kā ilustratīvu materiālu publicēt institūcijas tīmekļvietnē vai vietnē, kur piedāvā e-pakalpojumu, ņemot par piemēru Komerclikumā ietverto regulējumu attiecībā uz Uzņēmumu reģistra veidlapām.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šo risinājumu attiecībā uz projekta 1. pielikumā ietverto iesnieguma veidlapu, ņemot vērā to, ka šo veidlapu esat pievienojuši kā atsevišķu datni (*docx), bez atbilstošas strukturēšanas.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Minētais risinājums prasītu papildināt projektu ar vismaz diviem punktiem. Viens - iesnieguma veidlapā iekļaujamās informācijas saturs, apjoms, teksta valodas u.c., bet otrs - kur veidlapa pieejama un kam to ir pienākums izstrādāt, uzturēt aktuālu u.c. Tāpat būtu projektā svītrojama atsauce uz pielikumu un svītrojams pats pielikums.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Piemēram papildus skatīt Ministru kabineta 2017. gada 6. jūnija noteikumu Nr. 313 "Traktortehnikas, tās piekabes, maināmās velkamās iekārtas un maināmā tehnoloģiskā agregāta reģistrācijas kārtība" 83.</w:t>
            </w:r>
            <w:r w:rsidR="00000000" w:rsidRPr="00000000" w:rsidDel="00000000">
              <w:rPr>
                <w:vertAlign w:val="superscript"/>
                <w:rtl w:val="0"/>
              </w:rPr>
              <w:t xml:space="preserve">2</w:t>
            </w:r>
            <w:r w:rsidR="00000000" w:rsidRPr="00000000" w:rsidDel="00000000">
              <w:rPr>
                <w:rtl w:val="0"/>
              </w:rPr>
              <w:t xml:space="preserve"> 2. apakšpunktu un 83.</w:t>
            </w:r>
            <w:r w:rsidR="00000000" w:rsidRPr="00000000" w:rsidDel="00000000">
              <w:rPr>
                <w:vertAlign w:val="superscript"/>
                <w:rtl w:val="0"/>
              </w:rPr>
              <w:t xml:space="preserve">5</w:t>
            </w:r>
            <w:r w:rsidR="00000000" w:rsidRPr="00000000" w:rsidDel="00000000">
              <w:rPr>
                <w:rtl w:val="0"/>
              </w:rPr>
              <w:t xml:space="preserve"> punktu vai Ministru kabineta 2021. gada 1. jūnija noteikumu Nr. 352 "Latvijas Goda ģimenes apliecības programmas īstenošanas kārtība" 3.6.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2020. gada 14. jūlija noteikumu Nr. 445 "Kārtība, kādā iestādes ievieto informāciju internetā" 8.punkts noteic, ja iestāde oficiālajā tīmekļvietnē vai mobilajā lietotnē publicē veidlapas, tās tiek veidotas vismaz datņu formātā, kas nodrošina iespēju veidlapu lejupielādēt no tīmekļvietnes, aizpildīt un saglabāt bez ierobežojumiem. Iestāde nodrošina skaidrojumu par veidlapu aizpildīšanu.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augstākminētais risinājums netiek atbalstīts, lūdzam nodrošināt projekta 1. pielikuma strukturēšanu TAP portāla vidē.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Iesniegumā terminētās caurlaides saņemšanai norādāmā informācija ir labāk pārskatāma veidlapas veidā. TAP portāla vidē šāda veida pielikumu tehniski nav iespējams strukturēt. Līdz ar to pielikumu nepieciešams saglabāt kā atsevišķu datni.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Pastāvīgās caurlaides paraugs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nodrošināt pielikuma strukturēšanu TAP portāla vidē.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TAP portāla vidē šāda veida pielikumu tehniski nav iespējams strukturēt. Līdz ar to pielikumu nepieciešams saglabāt kā atsevišķu datni.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Pastāvīgās caurlaides paraugs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Terminētās caurlaides paraugs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nodrošināt pielikuma strukturēšanu TAP portāla vidē.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TAP portāla vidē šāda veida pielikumu tehniski nav iespējams strukturēt. Līdz ar to pielikumu nepieciešams saglabāt kā atsevišķu datni.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Terminētās caurlaides paraugs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2014. gada 23. decembra noteikumos Nr. 791 "Noteikumi par kārtību, kādā Valsts robežsardze izsniedz un anulē speciālās caurlaides, un speciālo caurlaižu paraugiem"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- 18.03.2022.)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Izsakām priekšlikumu atteikties no caurlaides fiziskas formas izsniegšanas, tās vietā izmantojot digitālu caurlaidi, kas pastāv vien kā ieraksts VRS informācijas sistēmā.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2021. gadā 25% gadījumos speciālās caurlaides tika izsniegtas papīra formā, uzskatāms, ka šobrīd nav iespējams atteikties no speciālo caurlaižu izsniegšanas papīra formā.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21-TA-1121</w:t>
    </w:r>
    <w:r>
      <w:br/>
    </w:r>
    <w:r w:rsidR="00000000" w:rsidRPr="00000000" w:rsidDel="00000000">
      <w:rPr>
        <w:rtl w:val="0"/>
      </w:rPr>
      <w:t xml:space="preserve">19.06.2022. 23.49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21-TA-1121</w:t>
    </w:r>
    <w:r>
      <w:br/>
    </w:r>
    <w:r w:rsidR="00000000" w:rsidRPr="00000000" w:rsidDel="00000000">
      <w:rPr>
        <w:rtl w:val="0"/>
      </w:rPr>
      <w:t xml:space="preserve">19.06.2022. 23.49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Izziņa_21-TA-1121.docx</dc:title>
</cp:coreProperties>
</file>

<file path=docProps/custom.xml><?xml version="1.0" encoding="utf-8"?>
<Properties xmlns="http://schemas.openxmlformats.org/officeDocument/2006/custom-properties" xmlns:vt="http://schemas.openxmlformats.org/officeDocument/2006/docPropsVTypes"/>
</file>