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23-TA-731: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pašvaldība – tās īpašumā vai valdījumā esošas infrastruktūras izveidei, kā arī jaunu pamatlīdzekļu iegādei un uzstādīšanai, kopīgi ar fiziskām un juridiskām personām, kas veic saimniecisku darbību, ja starp kopprojekta dalībniekiem ir noslēgts līgums un projektu īsteno lauku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Konsultācijās ar zemkopības ministriju pašvaldībām sniegts skaidrojums, ka tās var realizēt projektus aktivitātē "Kopienu spēcinošas un vietas attīstību sekmējošas iniciatīvas" visā pašvaldības teritorijā nevis tikai pašvaldības lauku teritorijā. No esošās redakcijas izriet, ka pašvaldība kvalificējas vien tad, ja projektu īsteno lauku teritorijā. Lai novērstu pretrunu ir nepieciešams svītrot vai precizēt (paplašināt) noteikumu projektā izmantoto pašvaldības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pašvaldība – tās īpašumā vai valdījumā esošas infrastruktūras izveidei, kā arī jaunu pamatlīdzekļu iegādei un uzstādīšanai, kopīgi ar fiziskām un juridiskām personām, kas veic saimniecisku darbību, ja starp kopprojekta dalībniekiem ir noslēgts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pretendenti aktivitātē "Kopienu spēcinošas un vietas attīstības sekmējošas iniciatīvas" ir noteikti noteikumu projekta 25. un 26. punktā. Savukārt, atbilstoši noteikumu projekta 11.1.4.apakšpunktam 6.4.3.apakšpunktā minēto kopprojektu lauku teritorijā pašvaldība ar fiziskām un juridiskām personām, kas veic saimniecisku darbību, var īstenot tikai aktivitātē "Vietējās ekonomikas stiprināšanas iniciatīvas".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pašvaldība – tās īpašumā vai valdījumā esošas infrastruktūras izveidei, kā arī jaunu pamatlīdzekļu iegādei un uzstādīšanai, kopīgi ar fiziskām un juridiskām personām, kas veic saimniecisku darbību, ja starp kopprojekta dalībniekiem ir noslēgts sadarbības līgums un projektu īsteno lauku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pašvaldība – tās īpašumā vai valdījumā esošas infrastruktūras izveidei, kā arī jaunu pamatlīdzekļu iegādei un uzstādīšanai, kopīgi ar fiziskām un juridiskām personām, kas veic saimniecisku darbību, ja starp kopprojekta dalībniekiem ir noslēgts līgums un projektu īsteno lauku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norādot līgumu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 tās īpašumā vai valdījumā esošas infrastruktūras izveidei, kā arī jaunu pamatlīdzekļu iegādei un uzstādīšanai, kopīgi ar fiziskām un juridiskām personām, kas veic saimniecisku darbību, ja starp kopprojekta dalībniekiem ir noslēgts sadarbības līgums un projektu īsteno lauku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pašvaldība – tās īpašumā vai valdījumā esošas infrastruktūras izveidei, kā arī jaunu pamatlīdzekļu iegādei un uzstādīšanai, kopīgi ar fiziskām un juridiskām personām, kas veic saimniecisku darbību, ja starp kopprojekta dalībniekiem ir noslēgts sadarbības līgums un projektu īsteno lauku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biedrība vai nodibinājums sadarbībā ar pašvaldību – aktivitātē "Kopienu spēcinošas un vietas attīstību sekmējošas iniciatīvas", ja pašvaldības īpašumā vai valdījumā esošā infrastruktūrā īsteno sabiedriskā labuma projektu un starp kopprojekta dalībniekiem ir noslēgts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norādot līgumu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vai nodibinājums sadarbībā ar pašvaldību – aktivitātē "Kopienu spēcinošas un vietas attīstību sekmējošas iniciatīvas", ja pašvaldības īpašumā vai valdījumā esošā infrastruktūrā īsteno sabiedriskā labuma projektu un starp kopprojekta dalībniekiem ir noslēgts sadarbības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biedrība vai nodibinājums sadarbībā ar pašvaldību – aktivitātē "Kopienu spēcinošas un vietas attīstību sekmējošas iniciatīvas", ja pašvaldības īpašumā vai valdījumā esošā infrastruktūrā īsteno sabiedriskā labuma projektu un starp kopprojekta dalībniekiem ir noslēgts sadarbības līgums;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saistīti uzņēmumi atbilst regulas 2022/2472 I pielikuma 3. panta 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visu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termina "uzņēmums" vietā lietojot terminu "saimnieciskās darbības veicējs".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saistītas personas – saimnieciskās darbības veicēji, kas atbilst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(turpmāk – regula 2022/2472) I pielikuma 3. panta 3. 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nodrošinātu 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aktivitāšu īstenošanu, vietējā rīcības grupa, Lauku atbalsta dienests un atbalsta pretendents apstrādā personas datus – personas vārdu, uzvārdu, personas kodu, tālruņa numuru, e-pasta adresi, Lauku atbalsta dienesta klienta numuru, nekustamā īpašuma adresi un nekustamā īpašuma kadastra numuru, lai identificētu personu, administrējot pasākumu. Saskaņā ar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fiziskās personas datus uzglabā līdz 2037. gada 31. decembrim un pēc tam iznīcina saskaņā ar Arhīvu likumā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6.7. apakšpunktā sniegts vārdu savienojuma "atbalsta pretendents" skaidrojums, proti, tā ir juridiska vai fiziska persona, kura veic saimniecisko darbību.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juridisko personu dati atrodas ārpus Eiropas Parlamenta un Padomes 2016. gada 27. aprīļa Regulas (ES) 2016/679 par fizisku personu aizsardzību attiecībā uz personas datu apstrādi un šādu datu brīvu apriti un ar ko atceļ Direktīvu 95/46/EK (Vispārīgā datu aizsardzības regula) (turpmāk - Datu regula) tvēruma. Par izņēmumu nevar uzskatīt pašnodarbināto personu datus, jo tie arī ir saistīti ar komercdarbību un ir iekļauti publiskajos reģistros (skat. https://www6.vid.gov.lv/SDV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norādītie datu veidi, īsti nav pielīdzināmi fizisko personu datiem, bet gan juridiskā veidojuma datiem un vai šajā gadījumā personas kods ir tas, kas būtu jāapstrādā, jo veicot saimniecisko darbību, personai tiek piešķirts identifikators (reģistrācijas numurs,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apakšpunkta redakcijas rodas priekšstats, ka datu subjekts (atbalsta pretendents) pats veic savu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lasot projektu kopsakarā, nav saprotams, kurā brīdī un cik lielā apjomā atbalsta pretendenta (fiziskas personas dati) nonāk vietējās rīcības grupas un Lauku atbalsta dienesta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vai tiešām būtu uzskatāms, ka atbalsta pretendents pats par sevi apstrādā datus, un vai norādītais apstrādājamo ziņu apjoms ir atbilstošs. Kā arī kopsakarā izvērtēt faktu, ja atbalsta pretendents var būt tikai juridiska persona vai fiziska persona, kura veic saimniecisko darbību (proti, arī juridisks veidojums, uz kuru nav attiecināms Datu regulas tvērums) vai vispār šīs punkts būtu iekļaujams projektā, vai pārveidojams, ka dati būtu iesniedzami, lai šo pasākumu administrētu (nevis no datu aizsardzības viedokļa, bet no personas identificēšanas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lūdzam vērst uzmanību arī uz projekta 50.1. un 51.1. apakšpunktiem un, iespējams, papildināt tos ar informāciju par iesniedzamo datu apjomu identificēšanas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projekta redakcijas nav saprotams, kas ir "vietējā rīcības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Atbalsta piešķiršanas, administrēšanas un uzraudzības vispārējo kārtību nosaka arī Ministru kabineta 2023. gada 7. marta noteikumi Nr. 113 "Valsts un Eiropas Savienības atbalsta piešķiršanas, administrēšanas un uzraudzības vispārējā kārtība lauku un zivsaimniecības attīstībai"  un tie ietver nosacījumu par fiziskas personas datu apstrādi un uzglabāšanu. Lai nedublētu normas, punkts no noteikumu projekts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šis noteikumu projekts ir papildus spēkā esošajiem MK noteikumiem Nr. 509 "Valsts un Eiropas Savienības atbalsta piešķiršanas kārtība sabiedrības virzītas vietējās attīstības stratēģiju 2023.–2027. gadam sagatavošanai un īstenošanai" (turpmāk - MKN509) un saskaņā ar MKN509 4. punktu vietējās attīstības stratēģiju sagatavo un īsteno biedrība vai nodibinājums (turpmāk – vietējā rīcības grupa), kas atbilst MKN509 noteiktiem atbalsta saņemšanas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jaunu produktu un pakalpojumu radīšanai, esošo produktu un pakalpojumu attīstīšanai, to realizēšanai tirgū, atpazīstamības tēla veidošanai, kvalitatīvu darba apstākļu radīšanai un darbinieku produktivitātes kāpināšanai;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6. punktu ar jēdzienu "jauns produkts" un "jauns pakalpojums" definīcijām.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Jēdzienu "jauns produkts" un "jauns pakalpojums" ietver noteikumu projekta 6.11.apakšpunktā noteiktā inovācijas definīcija, bet minētajā darbībā atbalstu var saņemt arī plašāk -  uzsākot kāda produkta (piemēram, konditorejas izstrādājumu) ražošanu vai pakalpojuma sniegšanu (piemēram, frizētavas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produktu un pakalpojumu radīšanai, esošo produktu un pakalpojumu attīstīšanai, to realizēšanai tirgū, atpazīstamības tēla veidošanai, kvalitatīvu darba apstākļu radīšanai un darbinieku produktivitātes kāpināšanai;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Nosakot atbalsta pretendenta apgrozījuma apmēru, ņem vērā tā saistītos uzņēmumus.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nepārprotami skaidrs, kā saistītie uzņēmumi ietekmē atbalsta pretendenta apgrozījumu apmēru. Lūdzam precizēt projekta 13. punktu, norādot kā tieši projekta ietvaros tiek ņemti vērā sastītie uzņēmumi attiecībā uz pretendenta apgrozījuma apmēru (piemēram, pretendeta apgrozīmumā iekļauj visu sasitīto uzņēmumu apgrozījumu).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Nosakot atbalsta pretendenta apgrozījuma apmēru, iekļauj visu tā saistīto personu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ja projekts saistīts ar darbinieku produktivitātes kāpināšanu, atbalsta pretendents vienojas ar darbiniekiem turpināt darba attiecības vismaz 18 mēnešus pēc projekta īstenošanas, un par darbiniekiem tiek maksātas valsts sociālās apdrošināšanas obligātās iemaksas.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ietekme uz atbalsta saņēmēju būs gadījumos, kad darbinieks pārtrauc darba attiecības pirms pagājuši 18 mēneši pēc projekta īstenošanas. Ievērojot minēto, lūdzam izvērtēt nepieciešamību papildināt projekta 17.5. apakšpunktu ar regulējumu, sekām gadījumos, kad darbinieks pārtrauc darba attiecības pirms pagājuši 18 mēneši pēc projekta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tiesiskās sekas noteikumu projekta 17.5.apakšpunkta neizpildes gadījumā ir noteiktas noteikumu projekta 67.punktā - , ja projekta uzraudzības laikā sasniedzamie rādītāji netiek sasniegti, Lauku atbalsta dienests pieņem lēmumu par piešķirtā atbalsta atmaksu proporcionāli nesasniegtajam apmēram saskaņā ar Ministru kabineta 2023. gada 7. marta noteikumu Nr. 113 "Valsts un Eiropas Savienības atbalsta piešķiršanas, administrēšanas un uzraudzības vispārējā kārtība lauku un zivsaimniecības attīstībai" 68.punktā minētām Zemkopības ministrijas apstiprinātajām vadlīnijām par finanšu korekcijas piemērošanu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ja projekts saistīts ar darbinieku produktivitātes kāpināšanu, atbalsta pretendents vienojas ar darbiniekiem turpināt darba attiecības vismaz 18 mēnešus pēc projekta īstenošanas, un par darbiniekiem tiek maksātas valsts sociālās apdrošināšanas obligātās iemaksas.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Atbalstu nepiešķir, ja atbalsta pretendentam vai kādam no kopprojekta dalībniekiem ar tiesas spriedumu ir pasludināts maksātnespējas process vai ar tiesas spriedumu tiek īstenots tiesiskās aizsardzības process, vai ar tiesas lēmumu tiek īstenots ārpustiesas tiesiskās aizsardzības process, tam uzsākta bankrota procedūra, piemērota sanācija vai mierizlīgums, vai tā saimnieciskā darbība ir izbeigta, vai tas atbilst valsts tiesību aktos noteiktiem kritērijiem, lai tam pēc kreditoru pieprasījuma piemērotu maksātnespējas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punkts noteic, ka atbalstu nepiešķir, ja ar tiesas spriedumu ir pasludināts maksātnespējas process vai ar tiesas spriedumu tiek īstenots tiesiskās aizsardzības process, ir uzsākta bankrota procedūra, piemērota sanācija vai mierizlīgums, tā saimnieciskā darbība ir izbeigta, vai saimnieciskās darbības veicēji atbilst normatīvajos aktos noteiktajiem kritērijiem, uz kuriem pamatojoties kreditors var pieprasīt maksātnespējas procedūru. Ievērojot minēto, norādām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precizēt noteikumu projekta 34. punktā lietoto terminoloģiju atbilstoši Maksātnespējas likumā lietotajai: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dzēšot, precizējot vai arī skaidrojot atsauci uz sanāciju un mierizlīgumu, jo šādi maksātnespējas risinājumi nav paredzēti spēkā esošajā Maksātnespējas likumā. Šādi maksātnespējas risinājumi bija paredzēti Maksātnespējas likumā, kas bija spēkā līdz 2010. gada 31. oktobrim un likumā "Par uzņēmumu un uzņēmējsabiedrību maksātnespēju";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dzēšot vai precizējot formulējumu "uzsākta bankrota procedūra". Proti, spēkā esošais Maksātnespējas likums juridiskās personas maksātnespējas procesā neparedz bankrota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attiecībā uz normā ietverto formulējumu "vai saimnieciskās darbības veicēji atbilst normatīvajos aktos noteiktajiem kritērijiem, uz kuriem pamatojoties kreditors var pieprasīt maksātnespējas procedūru" norādām, ka jēdziens "maksātnespējas procedūra" netiek lietots maksātnespējas jomu regulējošos nacionālajos normatīvajos aktos. Proti, tas tiek lietots Eiropas Savienības tiesību aktos. Turklāt tā tvērums tajos ir plašāks – aptverot arī tiesiskās aizsardzības procesu. Papildus norādām, ka Maksātnespējas likuma 57. panta pirmajā daļā ietvertas juridiskās personas maksātnespējas procesa pasludināšanas pazīmes. Vēršam uzmanību apstāklim, ka atsevišķu pazīmju konstatēšana var būt problemātiska, jo par tām var pastāvēt strīds par tiesībām. Piemēram, Maksātnespējas likuma 57. panta pirmās daļas 2., 3., 4.,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precizēts. Atbalsta piešķiršanas, administrēšanas un uzraudzības vispārējo kārtību nosaka arī Ministru kabineta 2023. gada 7. marta noteikumi Nr. 113 "Valsts un Eiropas Savienības atbalsta piešķiršanas, administrēšanas un uzraudzības vispārējā kārtība lauku un zivsaimniecības attīstībai" un tie ietver nosacījumu par atbalsta nepiešķiršanu atbalsta pretendentiem, kuriem ar tiesas spriedumu ir pasludināts maksātnespējas process, ar tiesas spriedumu tiek īstenots tiesiskās aizsardzības process vai tā saimnieciskā darbība ir izbeigta. Lai nedublētu normas, punkts no noteikumu projekts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Vietējā rīcības grupa mēneša laikā pēc projektu iesniegumu iesniegšanas termiņa beigām vai, ja attiecīgā kārta ilgst vairāk par 30 kalendāra dienām, mēneša laikā pēc katra attiecīgās kārtas mēneša beigām izvērtē projekta atbilstību vietējās attīstības stratēģijas rīcības plānā iekļautajai rīcībai šādā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projektu ar attiecināmo vietējās attīstības stratēģijas rīcības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šis noteikumu projekts ir papildus spēkā esošajiem MK noteikumiem Nr. 509 "Valsts un Eiropas Savienības atbalsta piešķiršanas kārtība sabiedrības virzītas vietējās attīstības stratēģiju 2023.–2027. gadam sagatavošanai un īstenošanai" (turpmāk - MKN509) un saskaņā ar MKN509 4. punktu vietējās attīstības stratēģiju sagatavo un īsteno biedrība vai nodibinājums (turpmāk – vietējā rīcības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janvārī tika apstiprināti 33 vietējo rīcības grupu projektu iesniegumi atbalsta saņemšanai vietējās attīstības stratēģijas 2023.–2027.gadam sagatavošanai. Vietējās rīcības grupas to sagatavo sešu mēnešu laikā pēc Lauku atbalsta dienesta lēmuma saņemšanas atbilstoši MKN509 prasībām, un četru mēnešu laikā pēc vietējās attīstības stratēģijas iesniegšanas tiks pieņemts lēmums par vietējās attīstības stratēģijas apstiprināšanu un atbalsta piešķiršanu vietējās attīstības stratēģijas īstenošanai. Ņemot vērā iepriekš minēto, vietējās attīstības stratēģijas vēl tiek izstrādātas, turklāt tās nav nepieciešams pievienot noteikumu projektam .Ievērojot to, ka minētais rīcības plāns ir vietējās attīstības stratēģijas sastāvdaļa, atsauce uz to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Vietējā rīcības grupa mēneša laikā pēc projektu iesniegumu iesniegšanas termiņa beigām vai, ja attiecīgā kārta ilgst vairāk par 30 kalendāra dienām, mēneša laikā pēc katra attiecīgās kārtas mēneša beigām izvērtē projekta atbilstību vietējās attīstības stratēģijā iekļautajai rīcībai šādā kārtībā: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lēmējinstitūcijas pārstāvju un paraksttiesīgās personas interešu deklarāciju, uzsākot pildīt valsts amatpersonas pienākumus. Interešu deklarāciju iesniedz arī persona, kas protokolē lēmējinstitūcijas sēdes;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punktu, ka finansējuma saņēmējs izstrādā kārtību, kā pārliecinās par interešu konflikta, krāpšanas un korupcijas risku neesamību.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nav nepieciešams papildināt ar šādu punktu, jo saskaņā ar MK noteikumu Nr. 509 "Valsts un Eiropas Savienības atbalsta piešķiršanas kārtība sabiedrības virzītas vietējās attīstības stratēģiju 2023.–2027. gadam sagatavošanai un īstenošanai" (turpmāk - MKN509) 7.13. apakšpunktu jau ir paredzēts, ka vietējās attīstības stratēģijā ir jāietver pārvaldības, uzraudzības un izvērtēšanas pasākumi, kas apliecina vietējās rīcības grupas spēju īstenot vietējās attīstības stratēģiju, un nosaka caurskatāmu un nediskriminējošu projektu atlases un lēmumu pieņemšanas procedūru, tostarp paredzot arī interešu konflikta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57.4. lēmējinstitūcijas pārstāvju un paraksttiesīgās personas interešu deklarāciju, uzsākot pildīt valsts amatpersonas pienākumus. Interešu deklarāciju iesniedz arī persona, kas protokolē lēmējinstitūcijas sēdes;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lauksaimniecības produktu pārstrāde atbilst Komisijas 2022. gada 14. decembra Regulas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(turpmāk – regula 2022/2472), 2. panta 45. punktā sniegtajai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6. punkta apakšpunktus izteikt vienotā stilistikā.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lauksaimniecības produktu pārstrāde - atbilst Komisijas 2022. gada 14. decembra Regulas (ES) 2022/2472,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(turpmāk – regula 2022/2472), 2. panta 45. punktā sniegtajai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saistīti uzņēmumi atbilst regulas 2022/2472 I pielikuma 3. panta 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6. punkta apakšpunktus izteikt vienotā stilistikā.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uzņēmumi - atbilst regulas 2022/2472 I pielikuma 3. panta 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saistītas personas – saimnieciskās darbības veicēji, kas atbilst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(Dokuments attiecas uz EEZ) (Eiropas Savienības Oficiālais Vēstnesis, 2022. gada 21. decembris, Nr. L 327), (turpmāk – regula 2022/2472) I pielikuma 3. panta 3. 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interešu konflikts atbilst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6. punkta apakšpunktus izteikt vienotā stilistikā.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konflikts - atbilst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3. punkta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interešu konflikts – atbilst Eiropas Parlamenta un Padomes 2018. gada 18. jūlija Regulas (ES, </w:t>
            </w:r>
            <w:r w:rsidR="00000000" w:rsidRPr="00000000" w:rsidDel="00000000">
              <w:rPr>
                <w:i w:val="1"/>
                <w:rtl w:val="0"/>
              </w:rPr>
              <w:t xml:space="preserve">Euratom</w:t>
            </w:r>
            <w:r w:rsidR="00000000" w:rsidRPr="00000000" w:rsidDel="00000000">
              <w:rPr>
                <w:rtl w:val="0"/>
              </w:rPr>
              <w:t xml:space="preserve">)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3. 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neienesīgās investīcijas atbilst regulas 2022/2472 2. panta 39. punktā sniegtajai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projekta 6. punkta apakšpunktus izteikt vienotā stilistikā.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neienesīgās investīcijas - atbilst regulas 2022/2472 2. panta 39. punktā sniegtajai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neienesīgās investīcijas – atbilst regulas </w:t>
            </w:r>
            <w:r w:rsidR="00000000" w:rsidRPr="00000000" w:rsidDel="00000000">
              <w:rPr>
                <w:rtl w:val="0"/>
              </w:rPr>
              <w:t xml:space="preserve">2022/2472</w:t>
            </w:r>
            <w:r w:rsidR="00000000" w:rsidRPr="00000000" w:rsidDel="00000000">
              <w:rPr>
                <w:rtl w:val="0"/>
              </w:rPr>
              <w:t xml:space="preserve"> 2. panta 39. punktā sniegtajai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šo noteikumu </w:t>
            </w:r>
            <w:r w:rsidR="00000000" w:rsidRPr="00000000" w:rsidDel="00000000">
              <w:rPr>
                <w:rtl w:val="0"/>
              </w:rPr>
              <w:t xml:space="preserve">6.4.3. </w:t>
            </w:r>
            <w:r w:rsidR="00000000" w:rsidRPr="00000000" w:rsidDel="00000000">
              <w:rPr>
                <w:rtl w:val="0"/>
              </w:rPr>
              <w:t xml:space="preserve">apakšpunktā</w:t>
            </w:r>
            <w:r w:rsidR="00000000" w:rsidRPr="00000000" w:rsidDel="00000000">
              <w:rPr>
                <w:rtl w:val="0"/>
              </w:rPr>
              <w:t xml:space="preserve"> minētajā gadījumā –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priekšnosacījums, ka projektam jābūt īstenotam pašvaldības lauku teritorijā attiecināms uz šo konkrēto punktu, tad izteikt 12.1.4.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šo noteikumu 6.4.3. apakšpunktā minētajā gadījumā – pašvaldība, kuras projektu īsteno lauku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11.1.4.punkts nosaka, ka aktivitātes "Vietējās ekonomikas stiprināšanas iniciatīvas" darbībā "produktu un pakalpojumu radīšanai, esošo produktu un pakalpojumu attīstīšanai, to realizēšanai tirgū, atpazīstamības tēla veidošanai, kvalitatīvu darba apstākļu radīšanai un darbinieku produktivitātes kāpināšanai;" (noteikumu projekta 10.1.apakšpunkts) pašvaldība atbalstu var saņemt tikai 6.4.3.apakšpunktā minētā kopprojekta īstenošanai kopīgi ar fiziskām un juridiskām personām, kas veic saimniecisku darbību, ja projektu īsteno lauku teritorijā. Noteikumu projekta 6.4.3.apakšpuktā minētais kopprojekts nav atbalstāms nevienā citā darbībā vai aktivitātē.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 šo noteikumu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minētajā gadījumā – pašvaldība;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Atbalstu jauniešu iniciatīvām, ja projektu īsteno lauku teritorijā un to paredz vietējās attīstības stratēģija, var saņemt kā fiksētas summas maksājumu "Jauniešu iniciatīvas", izmantojot Zemkopības ministrijas apstiprināto metodiku fiksētās summas maksājuma piemērošanai.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kāpēc šo aktivitāti var realizēt tikai lauku teritorijās, jo jauniešu iniciatīvas būtu atbalstāmas visā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ir sagatavots atbilstoši Kopējās lauksaimniecības politikas stratēģiskā plāna 2023.-2027.gadam (turpmāk - KLP SP) intervencei "Darbību īstenošana saskaņā ar sabiedrības virzītas vietējās attīstības stratēģiju, tostarp sadarbības aktivitātes un to sagatavošana" (intervences kods – LA19.), kas nosaka pamatnosacījumus atbalsta saņemšanai, tostarp darbību īstenošanas teritoriju.  KLP SP izstrādes laikā tika organizētas tematiskās darba grupas ar plašu ieinteresēto pārstāvju iesaisti un darba grupā "Lauku telpa" tika apspriesti minētās intervences atbalsta saņemšanas nosacījumi, tostarp par atbalstu jauniešu iniciatīvām.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Atbalstu jauniešu iniciatīvām, ja projektu īsteno lauku teritorijā un to paredz vietējās attīstības stratēģija, var saņemt kā fiksētas summas maksājumu "Jauniešu iniciatīvas", izmantojot Zemkopības ministrijas apstiprināto metodiku fiksētās summas maksājuma piemērošanai.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aktivitātē "Vietējās ekonomikas stiprināšanas iniciatīvas" ir 40 procentu, bet vietējā attīstības stratēģijā noteiktos gadījumos tā var tikt paaugstināta līdz 65 vai līdz 75 procentiem, ja to paredz vietējās attīstības stratēģija, šādos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 lūdz precizēt pamatlikmi 65%, ņemot vērā, ka Regula (ES) 2021/2115 73.panta 4. apakšpunkts nosaka, ka dalībvalstis atbalstam nosaka vienu vai vairākas likmes, kas nepārsniedz 65 % no attiecināmajām izmaksām līdz 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MVU darbības stimulēšana ir nozīmīga Latgales reģiona un pierobežas attīstībai (Latgales attīstības programmas 2023.-2027. 3.4.1. prioritāte “Iesācēji”), sevišķi pierobežas zonā, kur Krāslavas novadā ir strauja iedzīvotāju skaita samazināšanās un, piemēram, tūrisma nozarē darbojošies MVU nesaņem papildus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aktivitātē "Vietējās ekonomikas stiprināšanas iniciatīvas" ir 65 procenti, bet vietējā attīstības stratēģijā noteiktos gadījumos tā var tik paaugstināta līdz 65 procentiem vai līdz 85 procentiem, ja to paredz vietējās attīstības stratēģija,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ir sagatavots atbilstoši Kopējās lauksaimniecības politikas stratēģiskā plāna 2023.-2027.gadam (turpmāk - KLP SP) intervencei "Darbību īstenošana saskaņā ar sabiedrības virzītas vietējās attīstības stratēģiju, tostarp sadarbības aktivitātes un to sagatavošana" (intervences kods – LA19.), kas nosaka pamatnosacījumus atbalsta saņemšanai, tostarp atbalsta intensitātes. KLP SP izstrādes laikā tika organizētas tematiskās darba grupas ar plašu ieinteresēto pārstāvju iesaisti un darba grupā "Lauku telpa" tika apspriesti minētās intervences atbalsta saņemšanas nosacījumi, tostarp atbalsta intensitātes noteikšanas pamatprincipi, ievērojot Eiropas Parlamenta un Padomes 2021. gada 2. decembra Regulā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noteiktās maksimālās atbalsta intensitātes.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aktivitātē "Vietējās ekonomikas stiprināšanas iniciatīvas" ir 40 procentu, bet vietējā attīstības stratēģijā noteiktos gadījumos tā var tikt paaugstināta līdz 65 vai līdz 75 procentiem, ja to paredz vietējās attīstības stratēģija,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29.1.3. investīcijas paredzētas pamatpakalpojumiem lauku teritorijā izglītības, sociālās palīdzības vai veselības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iekļaujot arī tūrisma jomu. MVU darbības stimulēšana ir nozīmīga Latgales reģiona un pierobežas attīstībai (Latgales attīstības programmas 2023.-2027. 3.4.1. prioritāte “Iesācēji”), sevišķi pierobežas zonā, kur Krāslavas novadā ir strauja iedzīvotāju skaita samazināšanās un, piemēram, tūrisma nozarē darbojošies MVU nesaņem papildus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29.1.3. investīcijas paredzētas pamatpakalpojumiem lauku teritorijā izglītības, sociālās palīdzības, tūrisma vai veselības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ir sagatavots atbilstoši Kopējās lauksaimniecības politikas stratēģiskā plāna 2023.-2027.gadam (turpmāk - KLP SP) intervencei "Darbību īstenošana saskaņā ar sabiedrības virzītas vietējās attīstības stratēģiju, tostarp sadarbības aktivitātes un to sagatavošana" (intervences kods – LA19.), kas nosaka pamatnosacījumus atbalsta saņemšanai, tostarp atbalsta intensitātes, ievērojot Eiropas Parlamenta un Padomes 2021. gada 2. decembra Regulā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noteiktās maksimālās atbalsta intensitātes. Vēršam uzmanību, ka atbalsta intensitātes tiks piemērotas atbilstoši konkrētās vietējās rīcības grupas sagatavotai sabiedrības virzītas vietējās attīstības stratēģijai.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28.1.3. investīcijas paredzētas pamatpakalpojumiem lauku teritorijā izglītības, sociālā vai veselības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 projekta iesnieguma sagatavošanas izmaksas un vispārējās izmaksas (tajā skaitā arhitektu, inženieru un konsultantu honorāri, ekspertīzes, būvuzraudzības un autoruzraudzības pakalpojumu, juridisko pakalpojumu, tehniski ekonomiskā pamatojuma, patentu un licenču saņemšanas un energoefektivitātes audita sagatavošanas izmaksas, kā arī maksa par nomas līguma reģistrāciju zemesgrāmatā), kas ir tieši saistītas ar projekta sagatavošanu vai īstenošanu, piemērojot Zemkopības ministrijas apstiprināto vienotās likmes aprēķina metodiku, ja vien atbalsta pretendents nav Publisko iepirkumu likuma 1. panta 19. punktā minētais pasūtītājs;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Ludzas novada pašvaldība ierosina papildināt un iekļaut attiecināmajās izmaksās tehniskās dokumentācijas izstrādes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37.7.apakšpunktā minētās izmaksas ietver visas projekta sagatavošanai un būvniecības gadījumā - būvniecības dokumentācijas sagatavošanai nepieciešamās izmaksas atbilstoši Zemkopības ministrijas apstiprinātai vienotās likmes aprēķina metodikai. To piemēros arī pašvaldības un valsts iestāžu iesniegtajiem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projekta iesnieguma sagatavošanas izmaksas un vispārējās izmaksas (tajā skaitā arhitektu, inženieru un konsultantu honorāri, ekspertīzes, būvuzraudzības un autoruzraudzības pakalpojumu, juridisko pakalpojumu, tehniski ekonomiskā pamatojuma, patentu un licenču saņemšanas un energoefektivitātes audita sagatavošanas izmaksas, kā arī maksa par nomas līguma reģistrāciju zemesgrāmatā), kas ir tieši saistītas ar projekta sagatavošanu vai īstenošanu, piemērojot Zemkopības ministrijas apstiprināto vienotās likmes aprēķina metodiku;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48.7. ja tiek īstenots kopprojekts šo noteikumu </w:t>
            </w:r>
            <w:r w:rsidR="00000000" w:rsidRPr="00000000" w:rsidDel="00000000">
              <w:rPr>
                <w:rtl w:val="0"/>
              </w:rPr>
              <w:t xml:space="preserve">6.4.2.</w:t>
            </w:r>
            <w:r w:rsidR="00000000" w:rsidRPr="00000000" w:rsidDel="00000000">
              <w:rPr>
                <w:rtl w:val="0"/>
              </w:rPr>
              <w:t xml:space="preserve"> ​​​​​un </w:t>
            </w:r>
            <w:r w:rsidR="00000000" w:rsidRPr="00000000" w:rsidDel="00000000">
              <w:rPr>
                <w:rtl w:val="0"/>
              </w:rPr>
              <w:t xml:space="preserve">6.4.3. </w:t>
            </w:r>
            <w:r w:rsidR="00000000" w:rsidRPr="00000000" w:rsidDel="00000000">
              <w:rPr>
                <w:rtl w:val="0"/>
              </w:rPr>
              <w:t xml:space="preserve">apakšpunktā</w:t>
            </w:r>
            <w:r w:rsidR="00000000" w:rsidRPr="00000000" w:rsidDel="00000000">
              <w:rPr>
                <w:rtl w:val="0"/>
              </w:rPr>
              <w:t xml:space="preserve"> minētajā gadījumā – kopprojekta dalībnieku līgumu,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un nepieciešamību projekta 48.7. un 49.9. apakšpunktā norādīt līguma veidu. Proti, ja apakšpunktā domāts 6.4. punkta apakšpunktos minētais sadarbības līgums, aicinām izvērtēt iespēju un nepieciešamību skaidrības labad to norādīt arī 48.7. un 49.9.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48.7. ja tiek īstenots kopprojekts šo noteikumu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 </w:t>
            </w:r>
            <w:r w:rsidR="00000000" w:rsidRPr="00000000" w:rsidDel="00000000">
              <w:rPr>
                <w:rtl w:val="0"/>
              </w:rPr>
              <w:t xml:space="preserve">apakšpunktā</w:t>
            </w:r>
            <w:r w:rsidR="00000000" w:rsidRPr="00000000" w:rsidDel="00000000">
              <w:rPr>
                <w:rtl w:val="0"/>
              </w:rPr>
              <w:t xml:space="preserve"> minētajā gadījumā – kopprojekta dalībnieku sadarbības līgumu, 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51.7. informācija par Būvniecības informācijas sistēmā pieejamu būvvaldes saskaņojumu vai izziņu par projektā paredzēto atsevišķu labiekārtojuma elementu ierīkošanu un novietošanu, kuriem nav vajadzīga būvniecības ieceres dokumentācija;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51.7. punktā norādīts, ka informācija par Būvniecības informācijas sistēmā pieejamu būvvaldes saskaņojumu vai izziņu par projektā paredzēto atsevišķu labiekārtojuma elementu ierīkošanu un novietošanu, kuriem nav vajadzīga būvniecības ieceres dokumentācija. No šī nav skaidri saprotams: vai pietiek, ja projekta pieteikumam pielikumā pievienota Būvvaldes izziņa, ka būvniecības ieceres dokumentācija nav nepieciešama, vai tomēr kāds cits dokuments BIS? Un vai tehniski būs iespējams to izdarīt , jo BIS būvniecības lieta veidojas tad, kad ir nepieciešama tehniskā dokumentācija. Lūgums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49.7. par šo noteikumu </w:t>
            </w:r>
            <w:r w:rsidR="00000000" w:rsidRPr="00000000" w:rsidDel="00000000">
              <w:rPr>
                <w:rtl w:val="0"/>
              </w:rPr>
              <w:t xml:space="preserve">35.4. </w:t>
            </w:r>
            <w:r w:rsidR="00000000" w:rsidRPr="00000000" w:rsidDel="00000000">
              <w:rPr>
                <w:rtl w:val="0"/>
              </w:rPr>
              <w:t xml:space="preserve">apakšpunktā</w:t>
            </w:r>
            <w:r w:rsidR="00000000" w:rsidRPr="00000000" w:rsidDel="00000000">
              <w:rPr>
                <w:rtl w:val="0"/>
              </w:rPr>
              <w:t xml:space="preserve"> minētajiem būvdarbiem – būvvaldes izziņu par to, ka tiem nav nepieciešams izstrādāt būvniecības ieceres dokumentāciju;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59.5. projektu vērtētāju individuālo vērtējumu par katru projektu un projektu vērtētāju interešu deklarāciju.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punktu ar vārdu "konflikta" aiz vārda "interešu".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vērtētāju individuālo vērtējumu par katru projektu un projektu vērtētāju interešu konflikta deklarāciju.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projektu vērtētāju individuālo vērtējumu par katru projektu un projektu vērtētāju interešu konflikta deklarāciju, ja vien projektu vērtētājs nav šo noteikumu </w:t>
            </w:r>
            <w:r w:rsidR="00000000" w:rsidRPr="00000000" w:rsidDel="00000000">
              <w:rPr>
                <w:rtl w:val="0"/>
              </w:rPr>
              <w:t xml:space="preserve">57.4. </w:t>
            </w:r>
            <w:r w:rsidR="00000000" w:rsidRPr="00000000" w:rsidDel="00000000">
              <w:rPr>
                <w:rtl w:val="0"/>
              </w:rPr>
              <w:t xml:space="preserve">apakšpunktā</w:t>
            </w:r>
            <w:r w:rsidR="00000000" w:rsidRPr="00000000" w:rsidDel="00000000">
              <w:rPr>
                <w:rtl w:val="0"/>
              </w:rPr>
              <w:t xml:space="preserve"> minētā persona.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atbalsta apmēru vietējās attīstības stratēģijas īstenošanai nosaka Ministru kabineta 2022. gada 16. augusta noteikumi Nr. 509 "Valsts un Eiropas Savienības atbalsta piešķiršanas kārtība sabiedrības virzītas vietējās attīstības stratēģiju 2023.–2027. gadam sagatavošanai un īstenošanai", lūdzam anotācijas 3.sadaļā dzēst sniegto informāciju un punktā “Cita informācija” norādīt, ka informācija par noteikumu projekta īstenošanai pieejamo atbalsta apmēru vietējo rīcības grupu darbības nodrošināšanai un sabiedrības virzītas vietējās attīstības stratēģijas 2023.–2027. gadam iedzīvināšanas pārvaldībai, uzraudzībai un novērtēšanai jau sniegta Ministru kabineta 2022. gada 16. augusta noteikumu Nr. 509 "Valsts un Eiropas Savienības atbalsta piešķiršanas kārtība sabiedrības virzītas vietējās attīstības stratēģiju 2023.–2027. gadam sagatavošanai un īstenošanai"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svītrojot anotācijas 3.sadaļā norādīto informāciju un precizējot informāciju punktā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norādīto, ka 2023. gada otrajā pusgadā tiks sagatavots Ministru kabineta noteikumu projekts "Valsts un Eiropas Savienības atbalsta piešķiršanas kārtība starpvalstu un starpteritoriālai sadarbībai Eiropas Lauksaimniecības fonda lauku attīstībai intervencē "Darbību īstenošana saskaņā ar sabiedrības virzītas vietējās attīstības stratēģiju, tostarp sadarbības aktivitātes un to sagatavošanu"", kas noteiks atbalsta piešķiršanas kārtību vietējām rīcības grupām starpvalstu un starpteritoriālai sadarbībai, aicinām izvērtēt, vai nav aizpildāma anotācijas 4.2.sadaļa.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aizpildot 4.2.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23-TA-731</w:t>
    </w:r>
    <w:r>
      <w:br/>
    </w:r>
    <w:r w:rsidR="00000000" w:rsidRPr="00000000" w:rsidDel="00000000">
      <w:rPr>
        <w:rtl w:val="0"/>
      </w:rPr>
      <w:t xml:space="preserve">26.09.2023. 13.34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23-TA-731</w:t>
    </w:r>
    <w:r>
      <w:br/>
    </w:r>
    <w:r w:rsidR="00000000" w:rsidRPr="00000000" w:rsidDel="00000000">
      <w:rPr>
        <w:rtl w:val="0"/>
      </w:rPr>
      <w:t xml:space="preserve">26.09.2023. 13.34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Izziņa_23-TA-731.docx</dc:title>
</cp:coreProperties>
</file>

<file path=docProps/custom.xml><?xml version="1.0" encoding="utf-8"?>
<Properties xmlns="http://schemas.openxmlformats.org/officeDocument/2006/custom-properties" xmlns:vt="http://schemas.openxmlformats.org/officeDocument/2006/docPropsVTypes"/>
</file>