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24-TA-797: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5. septembra noteikumos Nr. 510 "Eiropas Savienības kohēzijas politikas programmas 2021.–2027. gadam finanšu instrumentu kopīgie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(08.09.2023.)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5. septembra noteikumos Nr. 510 "Eiropas Savienības kohēzijas politikas programmas 2021.–2027. gadam finanšu instrumentu kopīgie īstenošanas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Iebilstam pret finansējuma pārdali no SAM 2.1.4. “Atjaunojamo energoresursu enerģijas veicināšana – saules enerģija u.c. AER elektroenerģija” uz investīciju pasākumu (1.2.3.7. pasākums "Atbalsts jaunu darba vietu radīšanai uz eksportu orientētiem komersantiem"), kas nav saistīts ar klimata mērķu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saprotama nepieciešamība valstij atbalstīt eksportējošus uzņēmumus, tas nekādā ziņā nevar notikt uz to investīciju rēķina, kas paredzētas klimata mērķu sasniegšanai, atjaunīgās enerģijas ražošanas un valsts enerģētiskās neatkarības veicināšanai. Valstij ir saistoši pienākumi siltumnīcefekta gāzu (SEG) emisiju samazināšanas mērķu sasniegšanai, kuru nesasniegšanai būs finansiālas sekas, nemaz nerunājot par citiem negatīviem efektiem.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grozījumu anotācijā minēts: "Ņemot vērā faktisko pieprasījumu pēc līdzvērtīgām ANM atbalsta programmām, paredzēto finansējumu būtu nepieciešams novirzīt citām aktivitātēm". Veidojot nākamās atbalsta programmas, nenoliedzami ir jāņem vērā iepriekšējo programmu pieredze, taču tas nenozīmē šādu programmu automātisku izslēgšanu, samazinot kopējo finansējuma apjomu atjaunīgajiem energoresursiem/klimata mērķiem. Balstoties uz iepriekšējo atbalsta programmu pieredzi, nākamās programmas būtu jāpilnveido, novēršot konkrētas nepilnības, vai arī jānovirza pasākumiem, kuriem ir tāds pats galamērķis, šajā gadījumā SEG emisiju samazināšana.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anotācijā minēts: "Turklāt jāatzīmē, ka šobrīd Klimata un enerģētikas ministrijas izstrādātā Modernizācijas fonda ietvaros tiek plānots atbalsts enerģētiskajām kopienām". Arī Modernizācijas fonda līdzekļi ir ierobežoti un visdrīzāk fakts, ka atbalsts enerģētiskajām kopienām izslēgts no Kohēzijas fondu atbalsta loka, automātiski nenozīmēs attiecīgu finansējuma pieaugumu Modernizācijas fonda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lai gan klimata mērķu sasniegšana ir svarīga, valstij vienlaikus jānodrošina arī ilgtspējīga ekonomiskā izaugsme. Atbalsts eksportējošiem uzņēmumiem tieši veicina jaunu darba vietu radīšanu, kas ir svarīgi tautsaimniecības attīstībai un Latvijas ekonomiskās konkurētspējas nostiprināšanai globālajos tirgos. Investīcijas uzņēmumos, kas orientēti uz eksportu, ilgtermiņā rada lielāku pievienoto vērtību un palielina valsts budžeta ieņēmumus, kas savukārt var tikt novirzīti arī vides un klimata mērķu finansēšanai. Šī pārdale ir nepieciešama, lai nodrošinātu valsts ekonomisko stabilitāti un konkurētspēju globālajos tirgos, vienlaikus izmantojot resursus tā, lai tie kalpotu vairākiem ilgtermiņa mērķiem. Klimata mērķi joprojām ir būtiski, un to sasniegšana tiks nodrošināta ar citiem fondiem un programmām, tādējādi saglabājot līdzsvaru starp ekonomiskajiem un vides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5. septembra noteikumos Nr. 510 "Eiropas Savienības kohēzijas politikas programmas 2021.–2027. gadam finanšu instrumentu kopīgie īstenošanas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iebilst pret tādiem Eiropas Savienības kohēzijas politikas programmas 2021.–2027. gadam grozījumiem, kuriem nav ļoti nopietnas nepieciešamības, ņemot vērā, ka sākotnējā programmas izveide un saskaņošana ir bijis garš, dažādas intereses līdzsvarojošs process. SAM 2.1.4. finansējuma pārdale uz jaunu pasākumu, kam ir pilnīgi citi, un, iespējams, pat pretēji mērķi, nav pieļaujama.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sākotnējā programmas izveide un saskaņošana, lai gan balstīta uz rūpīgiem procesiem un līdzsvarojot dažādas intereses, nevar pilnībā paredzēt nākotnes apstākļus un izmaiņas ekonomikas un sabiedrības vajadzībās. Ekonomiskie apstākļi un prioritātes mainās, un, lai efektīvi reaģētu uz šīm izmaiņām, programmu pielāgošana un pārdale ir nepieciešama. Tādējādi ierosinātās izmaiņas nav vērstas uz to, lai mazinātu klimata politikas nozīmīgumu, bet gan lai valstij nodrošinātu elastību un spēju reaģēt uz ekonomiskajiem izaicinājumiem, kas ir būtiski arī ilgtermiņa attīstībai un stabilitātei.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paredzēto grozījumu Anotācijas apraksts ir grūti uztverams un izsekojams, kas var liegt sabiedrībai pilnvērtīgi izprast grozījumu sekas.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anotācijas 1.sadaļa ir sadalīta pa apakšnodaļām, lai ir vieglāk orientēties par kādiem grozījumiem noteikumu projekts tiek izstrādāts.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1.2.3.5. pasākumam MK noteikumu Nr. 510 ietvaros bija paredzēts publiskais finansējums 15 662 858 euro apmērā, kas arī ir paziņots Eiropas Komisijai, iesniedzot kopsavilkuma informāciju izmantojot SANI2 sistēmu. MKN grozījumu projekts paredz finansējuma pārdali, novirzot 12 400 000 euro finansējumu uz 1.2.3.5. pasākumu. Ņemot vērā, ka shēmas kopējais budžets tiek palielināts par 20%, ir jāiesniedz kopsavilkuma informācija Eiropas Komisijai par shēmas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anotāciju ar informāciju, ka Ekonomikas ministrija 20 darba dienu laikā pēc šo noteikumu spēkā stāšanās iesniegs kopsavilkuma informāciju Eiropas Komisijai par shēmas 1.2.3.5. grozījumiem, izmantojot SANI2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anotācijas 1.3. apakšpunkta 2.punktu ar tekstu, ka iesneigs paziņojumu SANI2 par pasākumu 1.2.3.5.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skaidrojumu, kā tiks izpildīts Ministru kabineta 2023. gada 7. novembra sēdes protokollēmuma Nr. 56, 32. §. 7.punktā dotais uzdevums (23-UZ-585), kas nosaka visiem 1.2.1. specifiskā atbalsta mērķa pasākumu (tai skaitā 1.2.1.2.pasākumam "Produktivitātes aizdevumi (t. sk. ar kapitāla atlaidi) inovatīvām iekārtām, pētniecībai un attīstībai, tehnoloģiju pārnesei") ietvaros atbalstītiem uzņēmumiem panākt eksporta apjomu palielināšanu par vismaz 10% un produktivitātes kāpumu par vismaz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grozījumu pirmajā redakcijā bija iekļauti minētie rādītāji, tāpat anotācijā tika sniegts atbilstošs skaidrojums par šiem rādītājiem, taču šajā redakcijā rādītāji ir izņemti, anotācijas skaidrojums ir dzēsts. Tāpat izziņā nav sniegts attiecīgs precizējumu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2023. gada 7. novembra sēdes protokollēmuma Nr. 56, 32. §. 7.punktā dotais uzdevums (23-UZ-585), kas nosaka visiem 1.2.1. specifiskā atbalsta mērķa pasākumu ietvaros atbalstītiem uzņēmumiem panākt eksporta apjomu palielināšanu par vismaz 10% un produktivitātes kāpumu par vismaz 10% tiks izpildīts attiecīgajos MK noteikumos (  1.2.1.2.pasākumam "Produktivitātes aizdevumi (t. sk. ar kapitāla atlaidi) inovatīvām iekārtām, pētniecībai un attīstībai, tehnoloģiju pārnesei")TAP ID 23-TA-2315).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skaidrojumu par 1.2.3.7.pasākuma atbilstību tirgus nepilnību izvērtējumam finanšu pieejamības jomā (Ex-ante). Vēršam uzmanību, ka mūsu ieskatā Ekonomikas ministrijai ir jāizstrādā papildinājums tirgus nepilnību analīzei, pamatojot 1.2.3.7.pasākumā paredzēto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izstrādājot atbalsta 1.2.3.7. pasākuma programmu iesniegs Finanšu ministrijai tirgus nepilnības novērtējumu, ko izskatīs Eiropas Savienības fondu Uzraudzības komitejā.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1.3.sadaļā sniegto skaidrojumu par 1.2.3.7. pasākumu "Atbalsts jaunu darba vietu radīšanai uz eksportu orientētiem komersantiem", norādot arī informāciju par finansējuma pārdali no 1.1.1.2. pasākuma "RIS3 pētniecības un inovācijas centri".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anotācijas 1.3. sadaļas 3.punktu ar 1.1.1.2. pasākuma "RIS3 pētniecības un inovācijas centri"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veiktas finansējuma pārdales starp 1.2.3.2.pasākuma "Iespējkapitāla ieguldījumi" un 1.2.3.5.pasākumu "Aizdevumi, produktivitātes kāpināšanai (investīcijas un apgrozāmie līdzekļi)", ka arī izveidots jauns 1.2.3.7.pasākums "Atbalsts jaunu darba vietu radīšanai uz eksportu orientētiem komersantiem", lūdzam papildināt anotācijas 1.3.sadaļu ar skaidrojumu kādas izdevumu pozīcijas atbilst kādiem intervences kodiem.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anotācijas 1.3.sadaļu ar skaidrojumu kādas izdevumu pozīcijas atbilst kādiem intervences kodiem.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vērtēt iespēju atteikties no neesoša atskaites punkta noteikšanas risinājuma aprakstā - komersants neiesniedz noslēguma atskaites, nav skaidrs arī tas, vai tālāk tekstā pieminētais komersanta noslēguma pārskats ir tas pats dokuments, kas noslēguma atskaite. Ja nepastāv noslēguma atskaite, tad nav iespējams definēt arī termiņu nākamajai darbībai - komersanta eksporta apjoma un produktivitātes apjoma monitorēšanai.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 anotācijas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w:t>
            </w:r>
            <w:r w:rsidR="00000000" w:rsidRPr="00000000" w:rsidDel="00000000">
              <w:rPr>
                <w:u w:val="single"/>
                <w:rtl w:val="0"/>
              </w:rPr>
              <w:t xml:space="preserve">aizpildīt</w:t>
            </w:r>
            <w:r w:rsidR="00000000" w:rsidRPr="00000000" w:rsidDel="00000000">
              <w:rPr>
                <w:rtl w:val="0"/>
              </w:rPr>
              <w:t xml:space="preserve"> anotācijas 3.sadaļu, sniedzot detalizētu informāciju par projekta ietekmi uz valsts budžetu, ievērojot Ministru kabineta 2023.gada 5.septembra noteikumu Nr.510 “Eiropas Savienības kohēzijas politikas programmas 2021.–2027. gadam finanšu instrumentu kopīgie īstenošanas noteikumi” (turpmāk - noteikumi Nr.510) 6.punkta plānotajā redakcijā noteikumu projekta 6.punktā paredzēto līdzdalības fondu finansējuma palielinājumu 101 539 922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anotācijas 3 sadaļu par  projekta ietekmi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6.punktam līdzdalības fondu finansējums tiks palielināts 12 497 225 euro apmērā, lūdzam aizpildīt anotācijas 3.sadaļu, atspoguļojot finansējuma palielinājumu, ka arī sniedzot skaidrojošo informāciju par ietekmi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finansējuma sadale pa gadiem tiks atspoguļota attiecīgajos MK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Ierosinātie grozījumi attiecībā uz datu par atbalsta saņēmējiem dalījumā pa dzimumiem vākšanu veicinās sieviešu un vīriešu līdztiesību un iekļaus dzimumu līdztiesības aspektu ES fondu īstenošanas normatīvajā aktā.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vākšana dalījumā pēc dzimuma ir priekšnoteikums, lai veidotu uz pierādījumiem balstītu dzimumu līdztiesības politiku un integrētu dzimumu līdztiesības aspektu visos ES fondu plānošanas, ieviešanas un izvērtēšanas procesos. Vienlaikus dati dalījumā pēc dzimuma ļauj analizēt padziļinātāk to, kāda ir sieviešu un vīriešu iesaiste uzņēmējdarbībā vai pētniecībā dažādās nozarēs un jomās, kāda ir sieviešu un vīriešu proporcija dažādās vecuma grupās, kā arī to, kādus amatus izņēmumos vai zinātniskajās institūcijās ieņem sievietes un vīrieši. Dati dalījumā pēc dzimuma dod daudz plašāku un padziļinātāku skatījumu uz dzimumu līdztiesības situāciju ietekmējošiem aspektiem un ļauj politikas veidotājiem plānot mērķētākus pasākumus dzimumu līdztiesības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dzēsusi informāciju par RIS3 datu uzkrāšanu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5. septembra noteikumos Nr. 510 "Eiropas Savienības kohēzijas politikas programmas 2021.–2027. gadam finanšu instrumentu kopīgie īstenošanas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Eiropas Komisijas puses vēl nav apstiprināti Eiropas Savienības kohēzijas politikas programmas 2021.–2027.gadam (turpmāk - programma) grozījumi, tad lūdzam papildināt MK sēdes protokollēmuma projektu ar atļauju Ekonomikas ministrijai veikt finansējuma pārdali, kā arī ar Ekonomikas ministrijas rīcību, gadījumā, ja Eiropas komisija neapstiprina programmas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sēdes protokollēmuma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5. septembra noteikumos Nr. 510 "Eiropas Savienības kohēzijas politikas programmas 2021.–2027. gadam finanšu instrumentu kopīgie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Līdzdalības fondu ietvaros plānotais kopējais attiecināmais finansējums šo noteikumu 2. punktā minētajiem mērķiem un pasākumiem ir 518 894 709 </w:t>
            </w:r>
            <w:r w:rsidR="00000000" w:rsidRPr="00000000" w:rsidDel="00000000">
              <w:rPr>
                <w:i w:val="1"/>
                <w:rtl w:val="0"/>
              </w:rPr>
              <w:t xml:space="preserve">euro </w:t>
            </w:r>
            <w:r w:rsidR="00000000" w:rsidRPr="00000000" w:rsidDel="00000000">
              <w:rPr>
                <w:rtl w:val="0"/>
              </w:rPr>
              <w:t xml:space="preserve">(detalizēts plānotā finansējuma sadalījums pieejams šo noteikumu </w:t>
            </w:r>
            <w:r w:rsidR="00000000" w:rsidRPr="00000000" w:rsidDel="00000000">
              <w:rPr>
                <w:rtl w:val="0"/>
              </w:rPr>
              <w:t xml:space="preserve">​pielikumā</w:t>
            </w:r>
            <w:r w:rsidR="00000000" w:rsidRPr="00000000" w:rsidDel="00000000">
              <w:rPr>
                <w:rtl w:val="0"/>
              </w:rPr>
              <w:t xml:space="preserve">), tajā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6.punktā noteikto plānotā kopējā pieejamā finansējuma summu, nodrošinot tās atbilstību 6.punkta apakšpunktos noteiktajām 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finansējums MK noteikumu 6.punktā un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Līdzdalības fondu ietvaros plānotais kopējais attiecināmais finansējums šo noteikumu 2. punktā minētajiem mērķiem un pasākumiem ir 607 937 406 </w:t>
            </w:r>
            <w:r w:rsidR="00000000" w:rsidRPr="00000000" w:rsidDel="00000000">
              <w:rPr>
                <w:i w:val="1"/>
                <w:rtl w:val="0"/>
              </w:rPr>
              <w:t xml:space="preserve">euro </w:t>
            </w:r>
            <w:r w:rsidR="00000000" w:rsidRPr="00000000" w:rsidDel="00000000">
              <w:rPr>
                <w:rtl w:val="0"/>
              </w:rPr>
              <w:t xml:space="preserve">(detalizēts plānotā finansējuma sadalījums pieejams šo noteikumu </w:t>
            </w:r>
            <w:r w:rsidR="00000000" w:rsidRPr="00000000" w:rsidDel="00000000">
              <w:rPr>
                <w:rtl w:val="0"/>
              </w:rPr>
              <w:t xml:space="preserve">​pielikumā</w:t>
            </w:r>
            <w:r w:rsidR="00000000" w:rsidRPr="00000000" w:rsidDel="00000000">
              <w:rPr>
                <w:rtl w:val="0"/>
              </w:rPr>
              <w:t xml:space="preserve">), tajā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politikas programmas 1.2. prioritātei "Atbalsts uzņēmējdarbībai" – 260 967 539 </w:t>
            </w:r>
            <w:r w:rsidR="00000000" w:rsidRPr="00000000" w:rsidDel="00000000">
              <w:rPr>
                <w:i w:val="1"/>
                <w:rtl w:val="0"/>
              </w:rPr>
              <w:t xml:space="preserve">euro </w:t>
            </w:r>
            <w:r w:rsidR="00000000" w:rsidRPr="00000000" w:rsidDel="00000000">
              <w:rPr>
                <w:rtl w:val="0"/>
              </w:rPr>
              <w:t xml:space="preserve">(tai skaitā elastības finansējums 38 012 767 </w:t>
            </w:r>
            <w:r w:rsidR="00000000" w:rsidRPr="00000000" w:rsidDel="00000000">
              <w:rPr>
                <w:i w:val="1"/>
                <w:rtl w:val="0"/>
              </w:rPr>
              <w:t xml:space="preserve">euro</w:t>
            </w:r>
            <w:r w:rsidR="00000000" w:rsidRPr="00000000" w:rsidDel="00000000">
              <w:rPr>
                <w:rtl w:val="0"/>
              </w:rPr>
              <w:t xml:space="preserve">), ko veido Eiropas Reģionālās attīstības fonda (turpmāk – ERAF) finansējums  221 822 402 </w:t>
            </w:r>
            <w:r w:rsidR="00000000" w:rsidRPr="00000000" w:rsidDel="00000000">
              <w:rPr>
                <w:i w:val="1"/>
                <w:rtl w:val="0"/>
              </w:rPr>
              <w:t xml:space="preserve">euro </w:t>
            </w:r>
            <w:r w:rsidR="00000000" w:rsidRPr="00000000" w:rsidDel="00000000">
              <w:rPr>
                <w:rtl w:val="0"/>
              </w:rPr>
              <w:t xml:space="preserve">apmērā (tai skaitā elastības finansējums 32 310 851 </w:t>
            </w:r>
            <w:r w:rsidR="00000000" w:rsidRPr="00000000" w:rsidDel="00000000">
              <w:rPr>
                <w:i w:val="1"/>
                <w:rtl w:val="0"/>
              </w:rPr>
              <w:t xml:space="preserve">euro</w:t>
            </w:r>
            <w:r w:rsidR="00000000" w:rsidRPr="00000000" w:rsidDel="00000000">
              <w:rPr>
                <w:rtl w:val="0"/>
              </w:rPr>
              <w:t xml:space="preserve">) un valsts budžeta līdzfinansējums 39 145 137 </w:t>
            </w:r>
            <w:r w:rsidR="00000000" w:rsidRPr="00000000" w:rsidDel="00000000">
              <w:rPr>
                <w:i w:val="1"/>
                <w:rtl w:val="0"/>
              </w:rPr>
              <w:t xml:space="preserve">euro </w:t>
            </w:r>
            <w:r w:rsidR="00000000" w:rsidRPr="00000000" w:rsidDel="00000000">
              <w:rPr>
                <w:rtl w:val="0"/>
              </w:rPr>
              <w:t xml:space="preserve">apmērā (tai skaitā elastības finansējums 5 701 916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6.1.apakšpunktā ietvertā finansējuma atbilstību noteikumu pielikumam. Vēršam uzmanību, ka saskaitot visu 1.2.prioritātes pasākumu finansējumu kopā, veidojas starpība starp 6.1.punktā noteikto kopējo finansējumu 4 EUR (1.2.1.2.pasākumam par 4 EUR ir noteikts lielāks valsts budžeta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7.1.apakšpunktā noteikto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politikas programmas 1.2. prioritātei "Atbalsts uzņēmējdarbībai" – 260 967 535 </w:t>
            </w:r>
            <w:r w:rsidR="00000000" w:rsidRPr="00000000" w:rsidDel="00000000">
              <w:rPr>
                <w:i w:val="1"/>
                <w:rtl w:val="0"/>
              </w:rPr>
              <w:t xml:space="preserve">euro </w:t>
            </w:r>
            <w:r w:rsidR="00000000" w:rsidRPr="00000000" w:rsidDel="00000000">
              <w:rPr>
                <w:rtl w:val="0"/>
              </w:rPr>
              <w:t xml:space="preserve">(tai skaitā elastības finansējums 46 244 158 </w:t>
            </w:r>
            <w:r w:rsidR="00000000" w:rsidRPr="00000000" w:rsidDel="00000000">
              <w:rPr>
                <w:i w:val="1"/>
                <w:rtl w:val="0"/>
              </w:rPr>
              <w:t xml:space="preserve">euro</w:t>
            </w:r>
            <w:r w:rsidR="00000000" w:rsidRPr="00000000" w:rsidDel="00000000">
              <w:rPr>
                <w:rtl w:val="0"/>
              </w:rPr>
              <w:t xml:space="preserve">), ko veido Eiropas Reģionālās attīstības fonda (turpmāk – ERAF) finansējums  221 822 402 </w:t>
            </w:r>
            <w:r w:rsidR="00000000" w:rsidRPr="00000000" w:rsidDel="00000000">
              <w:rPr>
                <w:i w:val="1"/>
                <w:rtl w:val="0"/>
              </w:rPr>
              <w:t xml:space="preserve">euro </w:t>
            </w:r>
            <w:r w:rsidR="00000000" w:rsidRPr="00000000" w:rsidDel="00000000">
              <w:rPr>
                <w:rtl w:val="0"/>
              </w:rPr>
              <w:t xml:space="preserve">apmērā (tai skaitā elastības finansējums 32 310 851 </w:t>
            </w:r>
            <w:r w:rsidR="00000000" w:rsidRPr="00000000" w:rsidDel="00000000">
              <w:rPr>
                <w:i w:val="1"/>
                <w:rtl w:val="0"/>
              </w:rPr>
              <w:t xml:space="preserve">euro</w:t>
            </w:r>
            <w:r w:rsidR="00000000" w:rsidRPr="00000000" w:rsidDel="00000000">
              <w:rPr>
                <w:rtl w:val="0"/>
              </w:rPr>
              <w:t xml:space="preserve">) un valsts budžeta līdzfinansējums 39 145 133 </w:t>
            </w:r>
            <w:r w:rsidR="00000000" w:rsidRPr="00000000" w:rsidDel="00000000">
              <w:rPr>
                <w:i w:val="1"/>
                <w:rtl w:val="0"/>
              </w:rPr>
              <w:t xml:space="preserve">euro </w:t>
            </w:r>
            <w:r w:rsidR="00000000" w:rsidRPr="00000000" w:rsidDel="00000000">
              <w:rPr>
                <w:rtl w:val="0"/>
              </w:rPr>
              <w:t xml:space="preserve">apmērā (tai skaitā elastības finansējums 5 701 915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Līdzdalības fondu ietvaros plānoto kopējo attiecināmo finansējumu šo noteikumu 2. punktā minētajiem mērķiem un pasākumiem ir iespēja to mainīt (palielināt vai samazināt), nepārsniedzot kopējo specifiskā atbalsta mērķim pieejamo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Savienības kohēzijas politikas programmas 2021.-2027.gadam (turpmāk - programma) grozījumi ir jāveic, ja veic finansējuma pārdales starp programmas prioritātēm, tad lūdzam izteikt noteikumu projekta 6.</w:t>
            </w:r>
            <w:r w:rsidR="00000000" w:rsidRPr="00000000" w:rsidDel="00000000">
              <w:rPr>
                <w:vertAlign w:val="superscript"/>
                <w:rtl w:val="0"/>
              </w:rPr>
              <w:t xml:space="preserve">1</w:t>
            </w:r>
            <w:r w:rsidR="00000000" w:rsidRPr="00000000" w:rsidDel="00000000">
              <w:rPr>
                <w:rtl w:val="0"/>
              </w:rPr>
              <w:t xml:space="preserve">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veicot finansējuma pārdales, vienlaikus ir jāizvērtē šo pārdaļu ietekmi uz iznākuma un rezultāta rādītājiem. Savukārt, veicot izmaiņas rādītāju vērtībās, programmas grozījumi ir jāveic obligāti.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fondu ietvaros plānoto kopējo attiecināmo finansējumu šo noteikumu 2. punktā minētajiem mērķiem un pasākumiem ir iespējams palielināt vai samazināt, nepārsniedzot kopējo specifiskā atbalsta mērķim pieejamo finansējumu un vienas šo noteikumu 7.punktā minētās prioritātes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izteikusi noteikumu projekta 6</w:t>
            </w:r>
            <w:r w:rsidR="00000000" w:rsidRPr="00000000" w:rsidDel="00000000">
              <w:rPr>
                <w:vertAlign w:val="superscript"/>
                <w:rtl w:val="0"/>
              </w:rPr>
              <w:t xml:space="preserve">1 </w:t>
            </w:r>
            <w:r w:rsidR="00000000" w:rsidRPr="00000000" w:rsidDel="00000000">
              <w:rPr>
                <w:rtl w:val="0"/>
              </w:rPr>
              <w:t xml:space="preserve">punktu pēc piedāvātās redakcijas.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Līdzdalības fondu ietvaros plānoto kopējo attiecināmo finansējumu šo noteikumu 2. punktā minētajiem mērķiem un pasākumiem ir iespējams palielināt vai samazināt, nepārsniedzot kopējo specifiskā atbalsta mērķim pieejamo finansējumu un vienas šo noteikumu 7.punktā minētās prioritātes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politikas programmas 2.1. prioritātei "Klimata pārmaiņu mazināšana un pielāgošanās klimata pārmaiņām" –182 536 215  </w:t>
            </w:r>
            <w:r w:rsidR="00000000" w:rsidRPr="00000000" w:rsidDel="00000000">
              <w:rPr>
                <w:i w:val="1"/>
                <w:rtl w:val="0"/>
              </w:rPr>
              <w:t xml:space="preserve">euro</w:t>
            </w:r>
            <w:r w:rsidR="00000000" w:rsidRPr="00000000" w:rsidDel="00000000">
              <w:rPr>
                <w:rtl w:val="0"/>
              </w:rPr>
              <w:t xml:space="preserve">,  ko veido ERAF finansējums 155 155 782  </w:t>
            </w:r>
            <w:r w:rsidR="00000000" w:rsidRPr="00000000" w:rsidDel="00000000">
              <w:rPr>
                <w:i w:val="1"/>
                <w:rtl w:val="0"/>
              </w:rPr>
              <w:t xml:space="preserve">euro </w:t>
            </w:r>
            <w:r w:rsidR="00000000" w:rsidRPr="00000000" w:rsidDel="00000000">
              <w:rPr>
                <w:rtl w:val="0"/>
              </w:rPr>
              <w:t xml:space="preserve">apmērā un valsts budžeta līdzfinansējums 27 380 433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7.2.apakšpunktā norādīto pieejamo finansējumu, ņemot vērā, ka atbilstoši noteikumu 6.2.apakšpunktā norādītajam plānotā finansējuma apmēram un elastības finansējuma apmēram kopējais pieejamais finansējums ir 182 272 827 euro (t.sk. attiecīgi kopējais ERAF pieejamais finansējums 154 931 902 euro un valsts budžeta līdzfinansējums 27 340 925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politikas programmas 2.1. prioritātei "Klimata pārmaiņu mazināšana un pielāgošanās klimata pārmaiņām" – 247 432 948 </w:t>
            </w:r>
            <w:r w:rsidR="00000000" w:rsidRPr="00000000" w:rsidDel="00000000">
              <w:rPr>
                <w:i w:val="1"/>
                <w:rtl w:val="0"/>
              </w:rPr>
              <w:t xml:space="preserve">euro</w:t>
            </w:r>
            <w:r w:rsidR="00000000" w:rsidRPr="00000000" w:rsidDel="00000000">
              <w:rPr>
                <w:rtl w:val="0"/>
              </w:rPr>
              <w:t xml:space="preserve">,  ko veido ERAF finansējums 194 955 613  </w:t>
            </w:r>
            <w:r w:rsidR="00000000" w:rsidRPr="00000000" w:rsidDel="00000000">
              <w:rPr>
                <w:i w:val="1"/>
                <w:rtl w:val="0"/>
              </w:rPr>
              <w:t xml:space="preserve">euro </w:t>
            </w:r>
            <w:r w:rsidR="00000000" w:rsidRPr="00000000" w:rsidDel="00000000">
              <w:rPr>
                <w:rtl w:val="0"/>
              </w:rPr>
              <w:t xml:space="preserve">apmērā, KF finansējums 15 362 390 </w:t>
            </w:r>
            <w:r w:rsidR="00000000" w:rsidRPr="00000000" w:rsidDel="00000000">
              <w:rPr>
                <w:i w:val="1"/>
                <w:rtl w:val="0"/>
              </w:rPr>
              <w:t xml:space="preserve">euro </w:t>
            </w:r>
            <w:r w:rsidR="00000000" w:rsidRPr="00000000" w:rsidDel="00000000">
              <w:rPr>
                <w:rtl w:val="0"/>
              </w:rPr>
              <w:t xml:space="preserve">apmērā un valsts budžeta līdzfinansējums 37 114 945 </w:t>
            </w:r>
            <w:r w:rsidR="00000000" w:rsidRPr="00000000" w:rsidDel="00000000">
              <w:rPr>
                <w:i w:val="1"/>
                <w:rtl w:val="0"/>
              </w:rPr>
              <w:t xml:space="preserve">euro </w:t>
            </w:r>
            <w:r w:rsidR="00000000" w:rsidRPr="00000000" w:rsidDel="00000000">
              <w:rPr>
                <w:rtl w:val="0"/>
              </w:rPr>
              <w:t xml:space="preserve">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9.2.3.1. 1.2.3.2. pasākumā "Iespējkapitāla ieguldījumi" – 27 509 400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veiktās izmaiņas rezultāta un iznākuma rādītājos, tai skaitā ņemot vērā finanšu pārdales no 1.2.3.2.pasākuma "Iespējkapitāla ieguldījumi" uz 1.2.3.5.pasākumu "Aizdevumi, produktivitātes kāpināšanai (investīcijas un apgrozāmie līdzekļi)". Lūdzam Ekonomikas ministrijai steidzami iesniegt ES fondu vadošajai iestādei precizētās 1.2.1.SAM un 1.2.3.SAM rādītāju pases.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iesniegusi ES fondu vadošajai iestādei precizētās 1.2.1. SAM un 1.2.3. SAM rādītāju pases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9.2.3.1. 1.2.3.2. pasākumā "Iespējkapitāla ieguldījumi" – 27 509 400 </w:t>
            </w:r>
            <w:r w:rsidR="00000000" w:rsidRPr="00000000" w:rsidDel="00000000">
              <w:rPr>
                <w:i w:val="1"/>
                <w:rtl w:val="0"/>
              </w:rPr>
              <w:t xml:space="preserve">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līdz 2029. gada 31. decembrim 2.1.4. SAM ietvaros – 9 649 MWh/gadā;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2.1.4.SAM “Atjaunojamo energoresursu enerģijas veicināšana – saules enerģija u.c. AER elektroenerģija” finansējums ir pārdalīts jaunajam 1.2.3.7.pasākumam "Atbalsts jaunu darba vietu radīšanai uz eksportu orientētiem komersantiem", lūdzam svītrot noteikumu 15.1.apakšpunktu.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atbilstošu skaidrojumu lūdzam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līdz 2029. gada 31. decembrim 2.1.4. SAM ietvaros – 9 649 MWh/gadā;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 vismaz divas reizes gadā kopā ar maksājuma pieprasījumu vadības informācijas sistēmā par katru komersantu vai pēc atbildīgās iestādes pieprasījuma 10 darbdienu laikā iesniedz atbildīgajai iestādei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26.10.apakšpunktu, nosakot, ka šajā apakšpunktā noteiktie rādītāji ir jāuzkrāj tikai 1.2.prioritates "Atbalsts uzņēmējdarbībai"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dzēsusi 26.10.apakšpunktu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26.10.1. atbalstu saņēmušo komersantu eksporta apjomu, vienlaikus informējot, vai eksporta apjoms atbalstītajos komersantos sasniedz vismaz 10 % piecu gadu laikā no gala labuma guvēju noslēguma pārskata iesniegšanas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noteikumu projekta 26.10.1. un 26.10.2.apakšpunktā noteiktie rādītāji ir jāuzkrāj par visām šo noteikumu ietvaros noteiktiem atbalsta pasākumiem vai tikai 1.2.3.7.pasākuma "Atbalsts jaunu darba vietu radīšanai uz eksportu orientētiem komersantiem"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MK 2023. gada 7. novembra sēdes protokola Nr. 56 32.paragrāfa 7.punkta uzdevums ir attiecināms tikai uz 1.2.1.SAM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ņemt vērā, ka Ekonomikas ministrijas izstrādātajā noteikumu projektā "Noteikumi par produktivitātes aizdevumiem uzņēmumu inovācijām" (23-TA-2315), ar kuriem īsteno 1.2.1.2. pasākumu “Produktivitātes aizdevumi uzņēmumu inovācijām”, jau ir iekļauti abi augstāk minētie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dzēsusi 26.10.apakšpunktu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26.10.1. atbalstu saņēmušo komersantu eksporta apjomu, vienlaikus informējot, vai eksporta apjoms atbalstītajos komersantos sasniedz vismaz 10 % piecu gadu laikā no gala labuma guvēju noslēguma pārskata iesniegšanas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dzēst punktu, jo: (i) finanšu instrumentiem nav pēcuzraudzības perioda - finansējuma saņēmējs iesniedz noslēguma maksājumua pieprasījumu un pēc tā apstiprināšanas līdzdalības fonds tiek slēgts; (ii) gala saņēmējs nesniedz ne Altum ne CFLA noslēguma pārskatus.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dzēsusi 26.10.apakšpunktu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 atbalstu saņēmušo komersantu produktivitātes apjomu, vienlaikus informējot, vai produktivitātes apjoms atbalstītajos komersantos sasniedz vismaz 10 % piecu gadu laikā no gala labuma guvēju noslēguma pārskata iesniegšanas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dzēst punktu, jo: (i) finanšu instrumentiem nav pēcuzraudzības perioda - finansējuma saņēmējs iesniedz noslēguma maksājumua pieprasījumu un pēc tā apstiprināšanas līdzdalības fonds tiek slēgts; (ii) gala saņēmējs nesniedz ne Altum ne CFLA noslēguma pārskatus.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dzēsusi 26.10.apakšpunktu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26.10.13.3. kopējie P&amp;A izdevumi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26.10.13.3., 26.10.13.3.1., 26.10.13.4. un 26.10.13.5. apakšpunktā noteiktie rādītāji nav paredzēti kopējā RIS3 rādītāju sarakstā, kas 2024.gada sākumā saskaņots starp EM, IZM, CFLA un VI. Tāpat vēršam uzmanību, ka nenodrošinot vienotu pieeju RIS3 rādītāju noteikšanā, dati nebūs savstarpēji salīdzināmi un analizējami. Aicinām svītrot 26.10.13.3 un tā pirmo apakšpunktu vai gadījumā, ja ir nepieciešama šāda papildus informācija, tad to iekļaut MK noteikumu 26.10.apakšpunktā kā papildus uzkrājamo informāciju, nevis kā RIS3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kopējais P&amp;A izdevumu apjoms ir iegūstams saskaitot P&amp; A izdevumu apjoma publisko finansējumu ar privāto investīciju apjomu, kā arī P&amp;A iekšējo izdevumu apjoms ir iegūstams no kopējā P&amp;A izdevumu apjoma atņemot ārpakalpojumu izdevumu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aicinām EM organizēt kopīgu sarunu ar VI, IZM un CFLA dalību.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dzēsusi 26.10.apakšpunktu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26.10.13.4. kopējais P&amp;A personāls (pilna laika ekvivalents):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punktu ar vārdiem "dalījumā pēc dzimuma" pēc analoģijas kā tas ir noteikts šī noteikumu projekta 26.10.9. apakšpunktā. Paskaidrojam, ka datu vākšana dalījumā pēc dzimuma ir priekšnoteikums, lai veidotu uz pierādījumiem balstītu dzimumu līdztiesības politiku un integrētu dzimumu līdztiesības aspektu visos ES fondu plānošanas, ieviešanas un izvērtēšanas procesos. Vienlaikus dati dalījumā pēc dzimuma ļauj analizēt padziļinātāk to, kāda ir sieviešu un vīriešu iesaiste uzņēmējdarbībā vai pētniecībā dažādās nozarēs un jomās, kāda ir sieviešu un vīriešu proporcija dažādās vecuma grupās, kā arī to, kādus amatus uzņēmumos vai zinātniskajās institūcijās ieņem sievietes un vīrieši. Vēlamies uzsvērt un arī skaidrot, ka dati dalījumā pēc dzimuma dod daudz plašāku un padziļinātāku skatījumu uz dzimumu līdztiesības situāciju ietekmējošiem aspektiem un ļauj politikas veidotājiem plānot mērķētākus pasākumus dzimumu līdztiesības veicināšanai.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"26.10.13.4. kopējais P&amp;A personāls (pilna laika ekvivalents) </w:t>
            </w:r>
            <w:r w:rsidR="00000000" w:rsidRPr="00000000" w:rsidDel="00000000">
              <w:rPr>
                <w:b w:val="1"/>
                <w:rtl w:val="0"/>
              </w:rPr>
              <w:t xml:space="preserve">dalījumā pēc dzimuma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dzēsusi 26.10.apakšpunktu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26.10.13.7. fundamentālie pētījumi (P&amp;A izdevumu apjoms,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apakšpunktu, ņemot vēra to, ka FI netiek paredzēts atbalsts fundamentālo pētījumu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dzēsusi 26.10.apakšpunktu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26.10.13.14. atbalstīto komersantu skaits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 rast iespēju izteikt apakšpunktu redekcijā, kas ir analoģiska šī noteikumu projekta 26.10.9. apakšpunktam.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26.10.13.14. atbalstu saņēmušo komersantu dalībnieku – sieviešu un vīriešu skaits valdēs.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dzēsusi 26.10.apakšpunktu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26.10.13.14. atbalstīto komersantu skaits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26.10.13.14. apakšpunktu, jo tas dublē šo noteikumu 10.punktu.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dzēsusi 26.10.apakšpunktu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26.10.13.16. publikācijas WoS un SCOPUS vai konferences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finanšu instrumentu atbalsta pasākumos šis RIS3 rādītājs būs aktuāls, pretējā gadījumā lūdzam svītrot noteikumu projekta 26.10.13.16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dzēsusi 26.10.apakšpunktu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26.10.13.17. ar projekta īstenošanu saistīto jaunradīto darba vietu P&amp;A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26.10.13.17. -26.10.13.19. apakšpunktu rādītāji neatbilst RIS3 rādītāju sarakstam, kas saskaņots starp EM, IZM, CFLA un VI. Gadījumā, ja ir nepieciešami no RIS3 rādītājiem atšķirīgi dati, tad tos lūdzam iekļaut MK noteikumu 26.10.apakšpunktā kā papildus uzkrājamo informāciju, nevis kā RIS3 rādītājus.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dzēsusi 26.10.apakšpunktu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Plānotais finansējuma sadalījums šo noteikumu 2. punktā noteikto specifiskā atbalsta mērķu un pasākumu finanšu instrumentos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viss 1.2.prioritātes elastības finansējums ir noteikts 1.2.1.2.pasākuma ietvaros, kā arī ņemot vērā finansējuma pārdali no 1.1.1.2.pasākuma "RIS3 pētniecības un inovācijas centri" un no 2.1.4.SAM "Atjaunojamo energoresursu enerģijas veicināšana – saules enerģija u. c. AER elektroenerģija" uz jaunu 1.2.3.7.pasākumu "Atbalsts jaunu darba vietu radīšanai uz eksportu orientētiem komersantiem", lūdzam palielināt ERAF elastības finansējumu līdz 32 310 851 EUR un valsts budžeta elastības finansējumu līdz 5 701 916 EUR. Vienlaikus lūdzam precizēt kopējā elastības finansējuma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dzēsusi 26.10.apakšpunktu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Plānotais finansējuma sadalījums šo noteikumu 2. punktā noteikto specifiskā atbalsta mērķu un pasākumu finanšu instrumentos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13.1.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salīdzināmībai un labākai izsekojamībai būtu nepieciešams pieturēties pie vienas mērvienības (MWh, nevis kWh).</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izteikt 13.1. 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2.1.1.1. pasākumā – 21 162 MWh/gadā;"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izteikusi mērvienībā MWh/gadā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Izteikt 13.2.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salīdzināmībai un labākai izsekojamībai būtu nepieciešams pieturēties pie vienas mērvienības (MWh, nevis kWh).</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2.1.1.2. pasākumā – 18,5 MWh/gadā;".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ņēmusi vērā izteikto priekšlikumu un izsaka MWh/gadā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detalizētāk skaidrot nepieciešamību rādītāju precizēšanai, t.i. būtiskam rezultātu samazinājumam: 2.1.1.1.pasākumam " Energoefektivitātes paaugstināšana dzīvojamās ēkās, tai skaitā attīstot ESKO tirgu (daudzdzīvokļu, privātās un neliela dzīvokļu skaita ēku kompleksos)", samazinot mājokļu skaitu ar uzlabotu energoefektivitāti  no 13 450 uz 10 653 mājokļiem, kā arī samazinot mājokļu skaitu ar uzlabotu energoefektivitāti, kuros dzīvo enerģētikas nabadzības riskam pakļautas personas no kopējā skaita 3017 uz 1697.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SAM 2.1.4. "Atjaunojamo energoresursu enerģijas veicināšana - saules enerģija, AER, elektroenerģija" ietvaros tika paredzēts atbalsts saules enerģijas ražošanas attīstībai Latvijā. Vienlaicīgi skaidrojam, ka esošajā ANM atbalsta programmā 1.2.1.2.i.1. pasākuma "Energoefektivitātes paaugstināšana uzņēmējdarbībā (ietverot pāreju uz atjaunojamo energoresursu tehnoloģiju izmantošanu siltumapgādē)" ietvaros, kā arī plānotajā ESF 2021.-2027. SAM 2.1.1.2. pasākumā "Energoefektivitātes uzlabošanas un pārejas uz AER programmu komersantiem " ir paredzēts līdzvērtīgs atbalsts komersantiem AER, tai skaitā, saules enerģijas ražošanas jaudu attīstībai. Līdz ar to SAM 2.1.4. ietvaros plānotais atbalsts tiks nodrošināts ANM 1.2.1.2.i.1 un  ESF 2.1.1.2. pasākuma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izvērtējumu, kā ierosinātās izmaiņas ietekmē prasību 37% no kopējiem Kohēzijas fondu līdzekļiem atvēlēt klimata mērķu sasniegšanai.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Ierosinātās izmaiņas neizslēdz klimata mērķu sasniegšanu ar citiem pasākumiem un programmām, kas joprojām tiek finansētas no Kohēzijas fondiem. Līdzekļi, kas citādi tiktu piešķirti saules enerģijai vai citiem specifiskiem AER projektiem, var tikt novirzīti citiem ar klimata mērķiem saistītiem pasākumiem. Šāds elastīgums nodrošina, ka kopējais 37% līmenis tiek uzturēts, bet tiek panākts efektīvāks līdzekļu izlietojums.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1.2.sadaļu, papildinot mērķi ar skaidrojumu par finansējuma pārdalēm un 2.1.4.SAM "Atjaunojamo energoresursu enerģijas veicināšana – saules enerģija u. c. AER elektroenerģija" dzēšanu.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papildinājums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anotācijas 1.3.sadaļā un protokollēmumā nelietot jēdzienu "darbības programma" un lietot korektu plānošanas dokumenta nosaukumu - Eiropas Savienības kohēzijas politikas programma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dzēsusi jēdzienu "darbības 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neizmantot vārdus "darbības programma" Eiropas Savienības kohēzijas politikas programmas 2021.–2027.gadam kontekstā. Lūdzam aizstāt vārdus "Eiropas Savienības struktūrfondu un Kohēzijas fonda 2021.-2027.gada plānošanas perioda darbības programmas" ar vārdiem "Eiropas Savienības kohēzijas politikas programmas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informāciju par noteikumu Nr.510 grozījumiem, kurus ietekmē Eiropas Savienības kohēzijas politikas programmas 2021.–2027.gadam grozījumi, precizēt atbilstoši Ministru kabineta sēdes protokollēmuma projektā pievienotajam komentāram.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"Darbības programmas" ar vārdiem "Eiropas Savienības kohēzijas politikas programma 2021.–2027.gadam". Papildus vēršam uzmanību, ka termins "Darbības programma" un abreviatūra "DP" ir attiecināmi tikai uz Eiropas Savienības struktūrfondu un Kohēzijas fonda 2014.-2020.gada plānošanas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produktivitāte jeb ražīgums ir jēdziens, kas raksturo attiecību starp saražoto produktu (sniegto pakalpojumu) un resursiem, kuri šim mērķim izmantoti. Attiecīgi atalgojuma palielinājums neraksturo produktivitāti. Lūdzam precizēt attiecīgo skaidrojumu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papildinājuma anotācijā skaidrojot,ka Produktivitāte ir jēdziens, kas raksturo efektivitāti, ar kādu resursi tiek izmantoti, lai saražotu produktus vai sniegtu pakalpojumus. To mēra kā attiecību starp saražoto produkciju (vai sniegto pakalpojumu) un izmantotajiem resursiem, piemēram, darbaspēku, kapitālu vai izejvielas. Produktivitāte uzsver, cik efektīvi tiek izmantoti resursi, lai iegūtu vēlamo rezultātu. Svarīgi ir atzīmēt, ka atalgojuma palielinājums vien nedod priekšstatu par produktivitāti. Atalgojuma līmenis ir saistīts ar darbinieku motivāciju un izmaksām, bet tas nenodrošina tiešu saikni ar to, cik efektīvi resursi tiek izmantoti ražošanas procesā. Tāpat mazā un atvērtā ekonomikā produktivitāte ir atkarīga no eksportējamās produkcijas pievienotās vērtības. Tieši eksporta preces nosaka Latvijas konkurētspēju starptautiskos tirgos, t.i., vai Latvijas ekonomika spēj pelnīt, balstoties uz augstām tehnoloģijām. Eksporta apjoma pieaugumu nosaka ar šādu formulu: komersanta eksporta apjoms pie projekta pieteikuma iesniegšanas pret komersanta eksporta apjomu piecu gadu griezumā pēc komersanta noslēguma pārskata iesniegšanas.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detalizētāku informāciju par finansējuma pārdalēm 2.1. prioritātes "Klimata pārmaiņu mazināšana un pielāgošanās klimata pārmaiņām" ietvaros, nodrošinot skaidri izsekojamu informāciju un vienotu pieeju informācijas sniegšanā ar 1.2. prioritāti "Atbalsts uzņēmējdarbībai".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izvairīties no vispārināšanas un nepamatotu prasību izvirzīšanas, ņemot vērā specifiskā atbalsta mērķa pasākumu specifiku. Risinājuma aprakstā minētais, ka "komersants līdz ar projekta pieteikuma iesniegšanu apliecina, ka saņemtais atbalsts tiks vērsts uz eksporta apjoma un produktivitātes kāpināšanu" nav korekti attiecināms uz, piemēram 1.2.3.3. pasākumu, kura mērķis ir samazināt tirgus nepilnības un veicināt jaunu komercdarbības veicēju izveidi un esošu – izaugsmi, nodrošinot pieeju finansējumam perspektīvu un dzīvotspējīgu biznesa projektu (investīcijām un apgrozāmajiem līdzekļiem)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RIS3 rādītāju uzkrāšanu atrunāt katra specifiskā atbalsta mērķa mērķa pasākuma MK noteikumos un finansējuma saņēmēja pienākumu datus iesniegt formulēt līdzīgi kā 1.2.1.4. pasākuma "Atbalsts tehnoloģiju pārneses sistēmas pilnveidošanai" īstenošanas noteikumos.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dzēsusi 26.10.apakšpunktu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anotācijas 3.sadaļas “Tiesību akta projekta ietekme uz valsts budžetu un pašvaldību budžetiem” 6.punktā papildu izdevumu sadalījums pa gadiem veido kopsummu 104 042 701 euro, savukārt atbilstoši noteikumu projekta 6.punktam līdzdalības fondu finansējuma palielinājums ir plānots 101 539 922 euro apmērā. Lūdzam precizēt minētajā punktā sniegto informāciju, skaidrojot tikai līdzdalības fondu finansējuma palielinājuma apmēru, attiecīgi precizējot anotācijas 3.sadaļas “Tiesību akta projekta ietekme uz valsts budžetu un pašvaldību budžetiem” 1.-5.punktos atspoguļoto ietekmi. Vienlaikus, ievērojot sniegto informāciju 2.ailē, lūdzam papildināt punktu “Cita informāciju”, norādot kuras ministrijas budžeta programmā/apakšprogrammā 2024.gadā ir paredzēts finansējums 151 919 245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anotācijas 3.sadaļu, vienlaikus “Cita informācija” ir papildinājusi, ka Likumā “Par valsts budžetu 2024. gadam un budžeta ietvaru 2024., 2025. un 2026. gadam” Finanšu ministrijas budžeta apakšprogrammā 62.10.00 “Eiropas Reģionālās attīstības fonda (ERAF) avansa maksājumi un atmaksas finansējuma saņēmējiem (2021-2027)” 2025. un 2026.gadā finansējums nav ieplānots.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3.sadaļas “Tiesību akta projekta ietekme uz valsts budžetu un pašvaldību budžetiem” 6.punktā “Detalizēts ieņēmumu un izdevumu aprēķins” ietverto redakciju atsaucē uz 2.5.1.specifisko atbalsta mērķi "Ieguldījumi, kas atbalsta STEP mērķu sasniegšanu", svītrojot vārdus un iekavu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esam veikuši labojumus antoācijas 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Līdzdalības fondu ietvaros plānotais kopējais attiecināmais finansējums šo noteikumu 2. punktā minētajiem mērķiem un pasākumiem ir 607 937 406 </w:t>
            </w:r>
            <w:r w:rsidR="00000000" w:rsidRPr="00000000" w:rsidDel="00000000">
              <w:rPr>
                <w:i w:val="1"/>
                <w:rtl w:val="0"/>
              </w:rPr>
              <w:t xml:space="preserve">euro </w:t>
            </w:r>
            <w:r w:rsidR="00000000" w:rsidRPr="00000000" w:rsidDel="00000000">
              <w:rPr>
                <w:rtl w:val="0"/>
              </w:rPr>
              <w:t xml:space="preserve">(detalizēts plānotā finansējuma sadalījums pieejams šo noteikumu </w:t>
            </w:r>
            <w:r w:rsidR="00000000" w:rsidRPr="00000000" w:rsidDel="00000000">
              <w:rPr>
                <w:rtl w:val="0"/>
              </w:rPr>
              <w:t xml:space="preserve">​pielikumā</w:t>
            </w:r>
            <w:r w:rsidR="00000000" w:rsidRPr="00000000" w:rsidDel="00000000">
              <w:rPr>
                <w:rtl w:val="0"/>
              </w:rPr>
              <w:t xml:space="preserve">), tajā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6.punkta apakšpunktos paredzētais kopējais attiecināmais finansējums veido kopsummu  607 9</w:t>
            </w:r>
            <w:r w:rsidR="00000000" w:rsidRPr="00000000" w:rsidDel="00000000">
              <w:rPr>
                <w:u w:val="single"/>
                <w:rtl w:val="0"/>
              </w:rPr>
              <w:t xml:space="preserve">2</w:t>
            </w:r>
            <w:r w:rsidR="00000000" w:rsidRPr="00000000" w:rsidDel="00000000">
              <w:rPr>
                <w:rtl w:val="0"/>
              </w:rPr>
              <w:t xml:space="preserve">7 406 euro, nevis 607 9</w:t>
            </w:r>
            <w:r w:rsidR="00000000" w:rsidRPr="00000000" w:rsidDel="00000000">
              <w:rPr>
                <w:u w:val="single"/>
                <w:rtl w:val="0"/>
              </w:rPr>
              <w:t xml:space="preserve">3</w:t>
            </w:r>
            <w:r w:rsidR="00000000" w:rsidRPr="00000000" w:rsidDel="00000000">
              <w:rPr>
                <w:rtl w:val="0"/>
              </w:rPr>
              <w:t xml:space="preserve">7 406 euro, attiecīgi lūdzam novērst minēto neatbilstību.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noteikumu projekta 6.punktu kopējo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Līdzdalības fondu ietvaros plānotais kopējais attiecināmais finansējums šo noteikumu 2. punktā minētajiem mērķiem un pasākumiem ir 607 937 406 </w:t>
            </w:r>
            <w:r w:rsidR="00000000" w:rsidRPr="00000000" w:rsidDel="00000000">
              <w:rPr>
                <w:i w:val="1"/>
                <w:rtl w:val="0"/>
              </w:rPr>
              <w:t xml:space="preserve">euro </w:t>
            </w:r>
            <w:r w:rsidR="00000000" w:rsidRPr="00000000" w:rsidDel="00000000">
              <w:rPr>
                <w:rtl w:val="0"/>
              </w:rPr>
              <w:t xml:space="preserve">(detalizēts plānotā finansējuma sadalījums pieejams šo noteikumu </w:t>
            </w:r>
            <w:r w:rsidR="00000000" w:rsidRPr="00000000" w:rsidDel="00000000">
              <w:rPr>
                <w:rtl w:val="0"/>
              </w:rPr>
              <w:t xml:space="preserve">​pielikumā</w:t>
            </w:r>
            <w:r w:rsidR="00000000" w:rsidRPr="00000000" w:rsidDel="00000000">
              <w:rPr>
                <w:rtl w:val="0"/>
              </w:rPr>
              <w:t xml:space="preserve">), tajā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Līdzdalības fondu ietvaros plānotais kopējais attiecināmais finansējums šo noteikumu 2. punktā minētajiem mērķiem un pasākumiem ir 607 937 406 </w:t>
            </w:r>
            <w:r w:rsidR="00000000" w:rsidRPr="00000000" w:rsidDel="00000000">
              <w:rPr>
                <w:i w:val="1"/>
                <w:rtl w:val="0"/>
              </w:rPr>
              <w:t xml:space="preserve">euro </w:t>
            </w:r>
            <w:r w:rsidR="00000000" w:rsidRPr="00000000" w:rsidDel="00000000">
              <w:rPr>
                <w:rtl w:val="0"/>
              </w:rPr>
              <w:t xml:space="preserve">(detalizēts plānotā finansējuma sadalījums pieejams šo noteikumu </w:t>
            </w:r>
            <w:r w:rsidR="00000000" w:rsidRPr="00000000" w:rsidDel="00000000">
              <w:rPr>
                <w:rtl w:val="0"/>
              </w:rPr>
              <w:t xml:space="preserve">​pielikumā</w:t>
            </w:r>
            <w:r w:rsidR="00000000" w:rsidRPr="00000000" w:rsidDel="00000000">
              <w:rPr>
                <w:rtl w:val="0"/>
              </w:rPr>
              <w:t xml:space="preserve">), tajā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pielikumu, skaidri norādot, vai elastības finansējums 34 126 284 EUR (kopā) ir plānots 2.1.1.1.pasākumam “Energoefektivitātes paaugstināšana dzīvojamās ēkās, t. sk. attīstot ESKO tirgu (daudzīvokļu, privātās un neliela dzīvokļu skaita ēku kompleksos)” (turpmāk – 2.1.1.1.pasākums) vai 2.1.1.2.pasākumam “AER izmantošana un energoefektivitātes paaugstināšana rūpniecībā un komersantos”, vai skaidri norādīt, kā minētais elastības finansējums dalās starp abiem minētajiem pasākumiem. Līdz šim Finanšu ministrijas rīcībā pieejamā informācija liecina, ka viss minētais elastības finansējums plānots tikai 2.1.1.1.pasākuma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ir aktualizējusi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Līdzdalības fondu ietvaros plānotais kopējais attiecināmais finansējums šo noteikumu 2. punktā minētajiem mērķiem un pasākumiem ir 607 937 406 </w:t>
            </w:r>
            <w:r w:rsidR="00000000" w:rsidRPr="00000000" w:rsidDel="00000000">
              <w:rPr>
                <w:i w:val="1"/>
                <w:rtl w:val="0"/>
              </w:rPr>
              <w:t xml:space="preserve">euro </w:t>
            </w:r>
            <w:r w:rsidR="00000000" w:rsidRPr="00000000" w:rsidDel="00000000">
              <w:rPr>
                <w:rtl w:val="0"/>
              </w:rPr>
              <w:t xml:space="preserve">(detalizēts plānotā finansējuma sadalījums pieejams šo noteikumu </w:t>
            </w:r>
            <w:r w:rsidR="00000000" w:rsidRPr="00000000" w:rsidDel="00000000">
              <w:rPr>
                <w:rtl w:val="0"/>
              </w:rPr>
              <w:t xml:space="preserve">​pielikumā</w:t>
            </w:r>
            <w:r w:rsidR="00000000" w:rsidRPr="00000000" w:rsidDel="00000000">
              <w:rPr>
                <w:rtl w:val="0"/>
              </w:rPr>
              <w:t xml:space="preserve">), tajā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 1.2.1.2. pasākumā – 40 000 000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Ekonomikas ministrijas iesniegtajā 1.2.1. specifiskā atbalsta mērķa rādītāju pasē pie RCR 02 rādītāja "Publisko atbalstu papildinošās privātās investīcijas (tai skaitā: granti, finanšu instrumenti)" ir sniegts skaidrojums, ka programmā "Aizdevumi ar kapitāla atlaidi inovatīvām iekārtām" plānots līdzfinansējums 40 000 000 EUR un programmā "Aizdevumi tehnoloģiju pārnesei" - 21 428 571 EUR, kas kopsummā veido 61 4</w:t>
            </w:r>
            <w:r w:rsidR="00000000" w:rsidRPr="00000000" w:rsidDel="00000000">
              <w:rPr>
                <w:u w:val="single"/>
                <w:rtl w:val="0"/>
              </w:rPr>
              <w:t xml:space="preserve">28</w:t>
            </w:r>
            <w:r w:rsidR="00000000" w:rsidRPr="00000000" w:rsidDel="00000000">
              <w:rPr>
                <w:rtl w:val="0"/>
              </w:rPr>
              <w:t xml:space="preserve"> 571 EUR. Spēkā esošo MK noteikumu Nr.510 9.2.1.apakšpunktā noteikta rādītāja vērtība 61 4</w:t>
            </w:r>
            <w:r w:rsidR="00000000" w:rsidRPr="00000000" w:rsidDel="00000000">
              <w:rPr>
                <w:u w:val="single"/>
                <w:rtl w:val="0"/>
              </w:rPr>
              <w:t xml:space="preserve">82</w:t>
            </w:r>
            <w:r w:rsidR="00000000" w:rsidRPr="00000000" w:rsidDel="00000000">
              <w:rPr>
                <w:rtl w:val="0"/>
              </w:rPr>
              <w:t xml:space="preserve"> 571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nepieciešamības gadījumā iesniedzot jaunu 1.2.1.SAM pasi, vienlaicīgi sniedzot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Norādam, ka 1.2.1.2. pasākuma "Aizdevumi ar kapitāla atlaidi inovatīvām iekārtām" plānots līdzfinansējums 40 000 000 EUR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 1.2.1.2. pasākumā – 40 000 000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 1.2.1.2. pasākumā – 61 482 571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1.2.1. specifiskā atbalsta mērķa rādītāju pasē pie RCR 02 rādītāja "Publisko atbalstu papildinošās privātās investīcijas (tai skaitā: granti, finanšu instrumenti)" ir sniegts skaidrojums, ka programmā "Aizdevumi ar kapitāla atlaidi inovatīvām iekārtām" plānots līdzfinansējums 40 000 000 EUR un programmā "Aizdevumi tehnoloģiju pārnesei" - 21 428 571 EUR, kas kopsummā veido 61 428 571 EUR. Noteikumu Nr.510 9.2.1.apakšpunktā noteikta minētā rādītāja vērtība 61 482 571 EUR. Lūdzam pārliecināties, vai nav pārrakstīšanās kļūda un attiecīgi veikt nepieciešamos precizējumus vai arī anotācijā sniegt skaidrojumu, kā veidojas minēto vērtību EUR starpība (kas to pamato).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veikusi precizējumu MK noteikumu Nr.510 9.2.1.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 1.2.1.2. pasākumā – 40 000 000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10.1.3. 1.2.3. SAM pasākumos – 109 uzņēmumi,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Ekonomikas ministrijas š.g. 16.augustā iesniegtajā 1.2.3. specifiskā atbalsta mērķa rādītāju pasē joprojām ir norādīta rādītāja vērtība 85 uzņēmumi nevis 109 uzņēmumi. Lūdzam pārliecināties par informācijas pareizību un attiecīgi precizēt 1.2.3. specifiskā atbalsta mērķa pasi, kā arī skaidrot arī anotācijā, kā veidojas minētā starpība (kas to pamato),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10.1.3.apakšpunkta punktus, jo tur norādīta rādītāja kopsumma joprojām veido kopsummu 85.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 atgriežot punktu sākotnējā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 uzkrāt un pēc atbildīgās iestādes pieprasījuma 10 darba dienu laikā iesniegt datus par gala saņēmējiem pēc komersantu lieluma (lieli, vidēji un mazi), atbalstu saņēmušo komersantu nosaukuma un reģistrācijas numuru, atbalstu saņēmušo komersantu līdzfinansējuma avots un apmērs, atbalstu saņēmušo komersantu aizdevumu, garantiju apmērs un piešķirtās kapitāla atlaides apmērs, atbalstu saņēmušo komersantu piesaistīto investīciju apjoms un nozares atbilstoši NACE 2. redakcijai un viedās specializācijas stratēģijas jomai. Uzkrājamo datu apjoms var mainīties, savstarpēji vienojoties ar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administratīvu slogu, lūdzam noteikt, ka atbildīgā iestāde var pieprasīt datus sabiedrībai "Altum" ne biežāk kā reizi gadā. Tāpat lūdzam izvērtēt un noteikt konkrētu datumu, līdz kuram minētā informācija būtu jāiesniedz, piemēram, par iepriekšējo kalendāro gadu - līdz nākamā gada 1.martam.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Finanšu ministrijas pausto priekšlikumu un skaidro, ka ņemot vērā dažādos formātus, nepieciešamību pēc datu apkopojuma, Altum sniedz datus Ekonomikas ministrijai pēc pieprasījuma. Altum un Ekonomikas ministrija var vienoties atsevišķi par katru datu iesniegšanas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 uzkrāt un pēc atbildīgās iestādes pieprasījuma 10 darba dienu laikā iesniegt datus par gala saņēmējiem pēc komersantu lieluma (lieli, vidēji un mazi), atbalstu saņēmušo komersantu nosaukuma un reģistrācijas numuru, atbalstu saņēmušo komersantu līdzfinansējuma avots un apmērs, atbalstu saņēmušo komersantu aizdevumu, garantiju apmērs un piešķirtās kapitāla atlaides apmērs, atbalstu saņēmušo komersantu piesaistīto investīciju apjoms un nozares atbilstoši NACE 2. redakcijai un viedās specializācijas stratēģijas jomai. Uzkrājamo datu apjoms var mainīties, savstarpēji vienojoties ar atbildīgo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 vismaz divas reizes gadā kopā ar maksājuma pieprasījumu vadības informācijas sistēmā par katru komersantu vai pēc atbildīgās iestādes pieprasījuma 10 darbdienu laikā iesniedz atbildīgajai iestādei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MKN grozījumu projekta 26.10. apakšpunkts ir iekļauts, lai risinātu nepieciešamību novērtēt atbalsta programmu ietekmi uz Nacionālās industriālās politikas pamatnostādnēs 2021.-2027. gadam noteiktajiem mērķiem un Viedās specializācijas stratēģijas īstenošanu, kā arī nodrošinātu, ka ar Eiropas Savienības Kohēzijas politikas programmas 1.2.1. specifiskā atbalsta mērķa pasākumiem atbalstītajos uzņēmumos tiek panākta eksporta apjomu palielināšana par 10% un produktivitātes kāpums par 10%. Lūgums skaidrot, vai attiecīgās prasības ir ieviešamas visiem finanšu instrumentiem vai tikai 1.2.1.2. pasākumam, kas ir vienīgais finanšu instruments 1.2.1. specifiskā atbalsta mērķī.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šīs prasības tvēruma, šādu datu iegūšana nozīmēs papildu informācijas pieprasīšanu klientiem, tādējādi būtiski palielinot birokrātisko slogu klientu pusē, kā arī sadārdzinot programmas īstenošanu kopumā, kas, attiecīgi, ietekmētu procentu likmi, kas jāmaksā aizņēmējam par aizdevuma izmantošanu, vai arī, ja šie papildu izdevumi tiek segti no publiskiem resursiem, ilgtermiņā samazina pieejamo publisko finansējumu, kas citādi varētu tikt novirzīts jaunu uzņēmēju projektu līdzfinansēšanai. Papildus vēlamies norādīt, ka, būtiski palielinoties pieteikumā valsts atbalstam iesniedzamās informācijas apjomam, ir bažas, ka arvien lielāks skaits gala saņēmēju informācijas sagatavošanai būs spiesti izmantot ārpakalpojuma sniedzējus, kas ievērojami palielinās gala saņēmēju faktiskās administratīvās izmaksas un tas būs īpašs slogs mazajiem un vidējiem uzņēmējiem. Ņemot vērā, ka ES fondu finansējumam, t.sk. finanšu instrumentos ir noteiktas dažādas prasības, kas saistītas ar finansējuma saņemšanu, izmantošanu un uzraudzību, lūdzam skaidrot nepieciešamību pievienot šādu papildu nacionālu nosacījumu, kas sarežģīs atbalsta saņemšanas procesu un ES fondu finansējuma pievilcīgumu klientu pusē, jo īpaši ņemot vērā, ka šie ir finanšu instrumenti, nevis granti.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norādītais nosacījums, ka sabiedrībai “Altum” jāparedz līgumā ar komersantu atruna, ka komersants trīs gadu laikā sniedz informāciju sabiedrībai “Altum” par eksporta apjoma un produktivitātes pieaugumu, nozīmē, ka ir iespējams scenārijs, ka klients jau ir izpildījis saistība ar sabiedrību “Altum”, bet viņam jāturpina sniegt informācija. Šāda nosacījuma ieviešana ir šķietamā pretrunā mērķim virzīties uz mazāku birokrātisko un administratīvo slogu komersantiem.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Altum fokuss ir atbalsta programmu īstenošana un finansēšana identificētajās tirgus nepilnību jomās. Apjomīgu detalizētu datu apkopošana, ticamības pārbaude un monitorings, kā, piemēram, produktivitātes pieaugums piecu gadu periodā, neto apgrozījuma pieaugums no projekta ieviešanas u.c. nozīmē, ka Altum pusē jāveido jaunas kompetences un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atkārtoti aicinām izvērtēt, vai programmas datu vākšanas un analīzes mērķu sasniegšanai būtu iespējams izmantot Centrālās statistikas pārvaldes kā valsts galvenā statistikas koordinatora iespējas. Vienota, centralizēta datu apkopošanas pieeja, kas nebūtu piesaistīta tikai Eiropas Savienības fondu vai konkrētas programmas, bet jebkuram atbalsta saņēmējam, sniegtu pilnvērtīgu un visaptverošu priekšstatu par publiskā finansējuma veikto investīciju efektivitāti, kā arī nodrošinātu labas pārvaldības principa* ievērošanu. Ņemot vērā, ka ES fondu/konkrētās programmas nosacījumu dēļ ne visiem pretendentiem ir iespēja saņemt paredzēto atbalstu, šauri fokusēti dati par konkrētu finanšu instrumentu ietvaros sniegto atbalstu un tā ietekmi radīs fragmentāru un nepilnīgu priekšstatu.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pārvaldes iekārtas likuma 10. panta sestā daļa nosaka, ka valsts pārvaldes pienākums ir vienkāršot procedūras privātpersonas labā, savukārt astotā daļa – ja informācija, kura nepieciešama, ir citas institūcijas rīcībā, iestāde to iegūst pati, nevis pieprasa no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dzēsusi 26.10.apakšpunktu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 vismaz divas reizes gadā kopā ar maksājuma pieprasījumu vadības informācijas sistēmā par katru komersantu vai pēc atbildīgās iestādes pieprasījuma 10 darbdienu laikā iesniedz atbildīgajai iestādei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Aicinu dzēst apakšpunktus 26.10.3., 26.10.4. un 26.10.5. - minētā informācija jau tāpat iekļauta maksājuma pieprasījumos un nav nepieciešamības dublēt prasību.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dzēsusi 26.10.apakšpunktu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 vismaz divas reizes gadā kopā ar maksājuma pieprasījumu vadības informācijas sistēmā par katru komersantu vai pēc atbildīgās iestādes pieprasījuma 10 darbdienu laikā iesniedz atbildīgajai iestādei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normu piemērošanu, lūdzam precizēt noteikumu projekta 26.10.apakšpunktu, papildinot aiz vārda "pieprasījumu" ar vārdiem " Kohēzijas politikas fondu". No Ministru kabineta 2022.gada 13.decembra noteikumiem Nr.770 "Kārtība, kādā Eiropas Savienības fondu 2021.–2027. gada plānošanas periodā nodrošina ieguldījumu uzraudzību un izvērtēšanu, kā arī izstrādā un uztur Kohēzijas politikas fondu vadības informācijas sistēmu" izriet, ka Eiropas Savienības fondu 2021.-2027.gada plānošanas periodā izmantotās informācijas sistēmas nosaukums ir "</w:t>
            </w:r>
            <w:r w:rsidR="00000000" w:rsidRPr="00000000" w:rsidDel="00000000">
              <w:rPr>
                <w:u w:val="single"/>
                <w:rtl w:val="0"/>
              </w:rPr>
              <w:t xml:space="preserve">Kohēzijas politikas fondu</w:t>
            </w:r>
            <w:r w:rsidR="00000000" w:rsidRPr="00000000" w:rsidDel="00000000">
              <w:rPr>
                <w:rtl w:val="0"/>
              </w:rPr>
              <w:t xml:space="preserve"> vadības informācijas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dzēsusi 26.10.apakšpunktu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26.10.9. saņēmušo komersantu dalībnieku – sieviešu un vīriešu skaits valdēs;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ar vārdu "atbalsts"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26.10.9. </w:t>
            </w:r>
            <w:r w:rsidR="00000000" w:rsidRPr="00000000" w:rsidDel="00000000">
              <w:rPr>
                <w:b w:val="1"/>
                <w:rtl w:val="0"/>
              </w:rPr>
              <w:t xml:space="preserve">atbalstu</w:t>
            </w:r>
            <w:r w:rsidR="00000000" w:rsidRPr="00000000" w:rsidDel="00000000">
              <w:rPr>
                <w:rtl w:val="0"/>
              </w:rPr>
              <w:t xml:space="preserve"> saņēmušo komersantu dalībnieku – sieviešu un vīriešu skaits valdēs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dzēsusi 26.10.apakšpunktu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26.10.13. no RIS3 jomām sadalījumā pa komersanta veidiem šādus RIS3 rādītājus, ja attiecas: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administratīvo slogu, aicinām EM ar sabiedrību "Altum" savstarpējā sarunā vienoties par kuriem no finanšu instrumentu atbalsta pasākumiem pēc būtības ir uzkrājami RIS3 rādītāji (pasākumi, kuri paredz P&amp;A investīcijas).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dzēsusi 26.10.apakšpunktu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26.10.13.2. izdevumu apjoms – privātās investīcijas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jau definētos RIS3 radītājus no RIS3 rādītāju izvēlnes, lai neradītu lieku apmulsumu tos ievadot KPVIS.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26.10.13.2. pētniecības un attīstības (turpmāk – P&amp;A) izdevumu apjoms- privātās investīcijas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dzēsusi 26.10.apakšpunktu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26.10.13.3.2. ārpakalpojumu izdevumi P&amp;A darbiem, kas pasūtīti citās iestādēs, uzņēmumos, organizācijās;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jau definētos RIS3 radītājus no RIS3 rādītāju izvēlnes. Skaidrojam, ka KPVIS tiks ievadīti tikai RIS3 rādītāji, par kuriem ir panākta vienošanās starp EM, IZM, CFLA un 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26.10.13.3.2. ārējie izdevumi pētniecības darbiem, kas pasūtīti citās iestādēs, uzņēmumos, organizācijās (P&amp;A izdevumu apjoms,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dzēsusi 26.10.apakšpunktu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26.10.13.10. eksperimentālās izstrādes (P&amp;A izdevumu apjoms,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26.10.13.10.apakšpunktu, jo tas dublē 26.10.13.9.apakšpunktu.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dzēsusi 26.10.apakšpunktu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26.10.13.15. radītie rūpnieciskā īpašuma objekti: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jau definētos RIS3 radītājus no RIS3 rādītāju izvēlnes. Skaidrojam, ka KPVIS tiks ievadīti tikai RIS3 rādītāji, par kuriem ir panākta vienošanās starp EM, IZM, CFLA un 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26.10.13.15. radītie rūpnieciskā īpašuma objekti- licences līgumi.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dzēsusi 26.10.apakšpunktu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24-TA-797</w:t>
    </w:r>
    <w:r>
      <w:br/>
    </w:r>
    <w:r w:rsidR="00000000" w:rsidRPr="00000000" w:rsidDel="00000000">
      <w:rPr>
        <w:rtl w:val="0"/>
      </w:rPr>
      <w:t xml:space="preserve">02.11.2024. 00.01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24-TA-797</w:t>
    </w:r>
    <w:r>
      <w:br/>
    </w:r>
    <w:r w:rsidR="00000000" w:rsidRPr="00000000" w:rsidDel="00000000">
      <w:rPr>
        <w:rtl w:val="0"/>
      </w:rPr>
      <w:t xml:space="preserve">02.11.2024. 00.01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Izziņa_24-TA-797.docx</dc:title>
</cp:coreProperties>
</file>

<file path=docProps/custom.xml><?xml version="1.0" encoding="utf-8"?>
<Properties xmlns="http://schemas.openxmlformats.org/officeDocument/2006/custom-properties" xmlns:vt="http://schemas.openxmlformats.org/officeDocument/2006/docPropsVTypes"/>
</file>