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22-TA-585: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Autortiesību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Autortiesību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Autortiesību likuma 1.panta terminu "kultūras mantojuma institūcija" aiz vārda "institūcija" ar vārdiem "citu starpā arī nacionālās bibliotēkas un nacionālie arhīvi, un, ciktāl runa ir par to arhīviem un publiski pieejamām bibliotēkām, – izglītības iestādes, pētniecības organizācijas un sabiedriskās raidorganizācijas" atbilstoši  Digitālās vienotās tirgus direktīvas 13.apsvērumā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Autortiesību likuma 1. panta 12.</w:t>
            </w:r>
            <w:r w:rsidR="00000000" w:rsidRPr="00000000" w:rsidDel="00000000">
              <w:rPr>
                <w:vertAlign w:val="superscript"/>
                <w:rtl w:val="0"/>
              </w:rPr>
              <w:t xml:space="preserve">2</w:t>
            </w:r>
            <w:r w:rsidR="00000000" w:rsidRPr="00000000" w:rsidDel="00000000">
              <w:rPr>
                <w:rtl w:val="0"/>
              </w:rPr>
              <w:t xml:space="preserve">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kultūras mantojuma institūcija – publiski pieejama bibliotēka vai muzejs, arhīvs, tostarp izglītības iestādes, pētniecības organizācijas vai sabiedriskās raidorganizācijas bibliotēka un arhīvs, kā arī filmu vai skaņu ierakstu mantojuma saglabāšanas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Autortiesību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 panta pirmo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nepiekrīt piedāvājai otrā teikuma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civiltiesisko līgumu klasifikācijas viedokļa darba līgums ir divpusējs (savstarpējs), konsensuāls (līgums tiek noslēgts, panākot vienošanos) un atlīdzības līgums (Autoru kolektīvs prof. K.Torgāna visp. zin. redakcijā, Civillikuma komentāri. Saistību tiesības (1401.-2400.p.). Otrs papild.izd., Rīga, Mans īpašums, 2000, 503.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28.pantā ir noteikts, ka ar darba līgumu darbinieks uzņemas veikt noteiktu darbu, pakļaujoties noteiktai darba kārtībai un darba devēja rīkojumiem, bet darba devējs — maksāt nolīgto darba samaksu un nodrošināt taisnīgus, drošus un veselībai nekaitīgus darba apstākļus. Savukārt, Darba likuma 40.pantā ir noteikts pienākums vienoties par vispārīgu nolīgtā darba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līgumā nav iespējams aprakstīt visus darbinieka pienākumus, atbilstoši Darba likuma 56.pantam, darba devējs ar saviem rīkojumiem var precizēt darbinieka darba pienākumus, bet tam ir sava robeža, proti, rīkojumi pieļaujamai tikai darba līguma ietvaros. Ja darba devējs vēlas uzdot darbiniekam veikt darbu, kas “iziet” ārpus nolīgtajiem pienākumiem, par to, atbilstoši Darba likuma 97.pantam ir jāvienojas.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tieši tāpat ir jāvienojas (nevis uz likuma pamata jāpiešķir) par to, ka darba devējs iegūst un kādā apjomā iegūst tiesības izmantot darba tiesisko attiecību ietvarā radītos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tiesībās vispārēji ir atzīts, ka viena no līguma pusēm – darbinieks – atrodas ekonomiskajā ziņā vājākā pozīcijā, tādēļ tai papildus nepieciešama īpaša tiesiskā aizsardzība (sk. Satversmes tiesas 2005.gada 17.janvāra sprieduma lietā Nr.2004-10-01 9.3.1.punktu). Līdz ar to, nebūtu atbalstāms, ka likumprojekts pasliktina darbinieku tiesisko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piedāvātā redakcija ir kompromisa risinājums attiecībā uz Ārvalstu investoru padomes Latvijā ierosinājumu paredzēt, ka autora mantiskās tiesības uz darba attiecību ietvaros radītu darbu pieder darba devējam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ņemot vērā darba devēja ieguldījumu darba tapšanā (darba vietas, materiālu, rīku nodrošināšanu u.tml.) un ekonomiskās ekvivalences principu, ir pamatoti noteikt, ka darba devējs iegūst attiecīgā darba izmantošanas tiesības uz likuma pamata, saglabājot iespēju iegūt arī autora mantiskās tiesības līgumiskā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 panta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autors, būdams darba attiecībās ar darba devēju, ir radījis darbu, pildot darba pienākumus, personiskās un mantiskās tiesības uz šo darbu pieder autoram, izņemot šā panta otrajā daļā noteikto gadījumu. Darba devējs ar darba radīšanas brīdi iegūst tiesības izmantot minēto darbu mērķim, kādam tas radīts, un šim mērķim atbilstošā apjomā, ja vien līgumā nav paredzēts citādi. Autors var vienoties ar darba devēju par autora mantisko tiesību pāreju darba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12.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darba tiesisko attiecību ietvaros tiek slēgti darba līgumi, arī ja darbinieku pienākumi aptver autortiesību objekta radīšanu, tāpēc būtiski norādīt, ka tiesiskās attiecības tiek regulētas ar darba līgumu. Lai neradītu šaubas par vēl kāda cita līguma nepieciešamību, jāprecizē, ka citāda vienošanās pieļaujama tikai darba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panta pirmās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ar darba radīšanas brīdi iegūst tiesības izmantot minēto darbu mērķim, kādam tas radīts, un šim mērķim atbilstošā apjomā, ja vien darba līgumā nav paredzēts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12. panta pirmās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autors, būdams darba attiecībās ar darba devēju, ir radījis darbu, pildot darba pienākumus, personiskās un mantiskās tiesības uz šo darbu pieder autoram, izņemot šā panta otrajā daļā noteikto gadījumu. Darba devējs ar darba radīšanas brīdi iegūst tiesības izmantot minēto darbu mērķim, kādam tas radīts, un šim mērķim atbilstošā apjomā, ja vien darba līgumā nav paredzēts citādi. Autors var vienoties ar darba devēju par autora mantisko tiesību pāreju darba devējam.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 panta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autors, būdams darba attiecībās ar darba devēju, ir radījis darbu, pildot darba pienākumus, personiskās un mantiskās tiesības uz šo darbu pieder autoram, izņemot šā panta otrajā daļā noteikto gadījumu. Darba devējs ar darba radīšanas brīdi iegūst tiesības izmantot minēto darbu mērķim, kādam tas radīts, un šim mērķim atbilstošā apjomā, ja vien līgumā nav paredzēts citādi. Autors var vienoties ar darba devēju par autora mantisko tiesību pāreju darba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nepiekrīt piedāvājai otrā teikuma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civiltiesisko līgumu klasifikācijas viedokļa darba līgums ir divpusējs (savstarpējs), konsensuāls (līgums tiek noslēgts, panākot vienošanos) un atlīdzības līgums (Autoru kolektīvs prof. K.Torgāna visp. zin. redakcijā, Civillikuma komentāri. Saistību tiesības (1401.-2400.p.). Otrs papild.izd., Rīga, Mans īpašums, 2000, 503.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28.pantā ir noteikts, ka ar darba līgumu darbinieks uzņemas veikt noteiktu darbu, pakļaujoties noteiktai darba kārtībai un darba devēja rīkojumiem, bet darba devējs — maksāt nolīgto darba samaksu un nodrošināt taisnīgus, drošus un veselībai nekaitīgus darba apstākļus. Savukārt, Darba likuma 40.pantā ir noteikts pienākums vienoties par vispārīgu nolīgtā darba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līgumā nav iespējams aprakstīt visus darbinieka pienākumus, atbilstoši Darba likuma 56.pantam, darba devējs ar saviem rīkojumiem var precizēt darbinieka darba pienākumus, bet tam ir sava robeža, proti, rīkojumi pieļaujamai tikai darba līguma ietvaros. Ja darba devējs vēlas uzdot darbiniekam veikt darbu, kas “iziet” ārpus nolīgtajiem pienākumiem, par to, atbilstoši Darba likuma 97.pantam ir jāvienojas.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tieši tāpat ir jāvienojas (nevis uz likuma pamata jāpiešķir) par to, ka darba devējs iegūst un kādā apjomā iegūst tiesības izmantot darba tiesisko attiecību ietvarā radītos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tiesībās vispārēji ir atzīts, ka viena no līguma pusēm – darbinieks – atrodas ekonomiskajā ziņā vājākā pozīcijā, tādēļ tai papildus nepieciešama īpaša tiesiskā aizsardzība (sk. Satversmes tiesas 2005.gada 17.janvāra sprieduma lietā Nr.2004-10-01 9.3.1.punktu). Līdz ar to, nebūtu atbalstāms, ka likumprojekts pasliktina darbinieku tiesisko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turpina uzturēt 10.05.2022. atzinumā pausto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 panta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Autortiesību likuma 21.panta pirmās daļas 1.punktu (attiecīgi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Digitālā vienotā tirgus direktīvas 5.panta 1.punkta “a” apakšpunktā ir norādīts “notiek kādas izglītības iestādes pārziņā, tās telpās vai citās vietās[..]”. Ievērojot minēto, anotācijā skaidrot, ko nozīmē "izglītības iestādes pārziņā", jo izglītības jomu regulējošajos normatīvajos aktos šāds termins netiek lietots. Vienlaikus, lūdzam anotācijā skaidrot ar piemēriem, kā izprotami vārdi " tās telpās vai citās vietās", kāds ir šo vārdu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vārdus "kas pieejama tikai izglītības iestādes pedagogiem un izglītojamiem, izmantošanas mērķim atbilstošā apjomā" ar šādiem vārdiem "kas pieejama tikai pedagogiem, akadēmiskajam personālam, izglītojamiem, un vecākiem (personām, kas realizē aizgādību), atbilstoši izglītības mērķim". Pamatojums aizstāšanai: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Izglītības likuma 1.panta 161. punkts nosaka, ka pedagogs ir fiziskā persona, kurai ir šajā vai citā izglītību reglamentējošā likumā noteiktā izglītība un profesionālā kvalifikācija un kura piedalās izglītības programmas īstenošanā izglītības iestādē vai sertificētā privātpraksē. Izglītības likuma 48.panta pirmajā daļā ir noteikts, ka strādāt par pedagogu ir tiesības personai, kurai ir pedagoģiskā izglītība vai kura apgūst pedagoģisko izglītību, kas atbilst Ministru kabineta noteiktajām profesionālās kvalifikācijas prasībām. Šīs prasības neattiecas uz pieaugušo neformālo izglītību. Savukārt, šā panta otrajā daļā ir noteikts, ka pedagoga privātprakses uzsākšanai ir jāsaņem sertifikāts Izglītības kvalitātes valsts dienestā. Trešā daļa paredz, ka visi izglītības iestādēs un privātpraksē strādājošie pedagogi tiek reģistrēti Pedagogu reģistrā. Pedagogu reģistrs ir Valsts izglītības informācijas sistēmas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augstskolā pedagoģisko darbu veic akadēmiskais personāls, kas ir noteikts Augstskolu likuma 27.pantā un šie amati ir pedagoga amati, pamatojoties uz Ministru kabineta 2016. gada 5. jūlija noteikumu Nr. 445 "Pedagogu darba samaksas noteikumi" 1.pielikuma 1.tabulu, izņemot vadošos pētniekus un pētniekus, kuri arī ir augstskolas akadēmiskais personāls un piedalās studējošo izglītošanā. Akadēmiskā personāla uzdevumu apjomu nosaka Augstskolu likums (piem., 28.pants ceturtā daļa, 30.panta piektā daļa, 32.panta piektā daļa) un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pamatojumu, mācību procesā ir iesaistītie ne tikai izglītības iestādes pedagogi, bet arī privātpraksē nodarbinātie pedagogi un akadēmiskais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Izglītības likuma 57. un 58.pantā ir noteikti vecāku (personu, kas realizē aizgādību) tiesības un pienākumi bērna izglītošanas nodrošināšanā, tādējādi ir pamats tiesību normā iekļaut arī šo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ja tiesību normā tiek saglabāts termins "atbilstošā apjomā", tad, lai nodrošinātu viennozīmīgu normas piemērošanu, lūdzam sniegt skaidrojumu anotācijā, kas ietilpst šā termina tvērumā, norādot arī attiecīgus piemērus.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Autortiesību likuma 21.panta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minētā tiesību norma ir attiecināma uz izglītības jomu, vēršam uzmanību, ka Izglītības likuma 1.panta 12. punkts nosaka, kas ir mācību līdzekļu legāldefinīcija, ar visaptverošu uzskaitījumu un tā tvērumu. Viens no mācību līdzekļu veidiem tostarp ir elektroniskie resursi — elektroniskā vidē mācību vajadzībām apkopota tekstuāla, vizuāla vai audiāla informācija. Kā mācību līdzekli izmanto arī interaktīvas mācību platformas (mācību vajadzībām paredzēti īpaši organizēti elektroniskie resursi, kuros iekļauts izglītības programmas īstenošanai nepieciešamais saturs un ir paredzētas mācību satura aktīvas apguves iespējas) un mācību vadības platformas (mācību procesa vadīšanai grupā vai plašākā auditorijā paredzētas interaktīvas mācību platformas ar pedagoga un izglītojamo daudzpusīgas savstarpējās sadarbības iespējām mācību procesā). Ievērojot minēto, vārdus "digitāla mācīšanas vai mācīšanās vide" aizstāt ar vārdiem "elektroniskā vide mācību vajadzībām". Vienlaikus ir precizējams arī to subjektu loks, par kuru izteikts precizējums iepriekš par šā panta pirmās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Fizisko personu elektroniskās identifikācijas likuma 1.panta 1.punktā ir dota definīcija terminam "autentifikācija" un 4.punktā -  “elektroniskās identifikācijas līdzeklis”, bet minētajā likumā nav sniegts "autentifikācijas procedūras" un "autentifikācija ar paroli' tvērums. Līdz ar to, lai nodrošinātu vienveidīgu tiesību normā ietverto procedūru piemērošanu, lūdzam precizēt tiesību normu un sniegt anotācijā skaidrojumu par minēto terminu tvērumu vai anotācija sniegt skaidrojumu, pamatojot tos ar attiecīgo tiesbu aktu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Autortiesību likuma 21. panta pirmās daļas 1. punktu - precizēta norma, kā arī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"Digitālā vienotā tirgus direktīvas 22. apsvērumā skaidrots, ka vārdkopa “izglītības iestādes pārziņā - tās telpās vai citās vietās” attiecas uz mācību procesu (tostarp, eksāmeniem), ko izglītības iestāde īsteno vai nu savās telpās, vai ārpus tām, piemēram, muzejā, bibliotēkā vai citā kultūras mantojuma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Digitālā vienotā tirgus direktīvas 5. panta 1. punkta a) apakšpunkts ļauj šo autortiesību ierobežojumu attiecināt tikai uz drošu elektronisko vidi, kas pieejama skolēniem, studentiem vai mācībspēkiem. Turklāt Izglītības likuma 57. un 58. pantā noteiktās vecāku tiesības un pienākumi tiešā veidā neietver nepieciešamību izmantot autoru darbus mācību procesā. Līdz ar to nav pamata attiecināt Autortiesību likuma 21. panta pirmās daļas 1. punktu arī uz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Ņemams vērā, ka tiesību īpašnieku pārstāvji iebilda pret subjektu loka paplašināšanu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sistēmā pedagoģisko darbu īsteno ne tikai izglītības iestādēs, bet arī pedagogi, kas mācību procesu izglītojamiem nodrošina privātpraksēs, kā arī pedagogi, kas brīvprātīgi darbojas diasporā un nodrošina latviešu valodas un latvietības mācīšanu ārpus Latvijas izglītības iestādēm atbilstoši Latvijā licencētām izglītības programmām. Ņemot vērā šo pedagogu darbības mērķus, tostarp nekomerciālo nolūku (valsts, pašvaldību u.c. finansējumu mācību procesa nodrošinājumam sabiedrības interesēs), Autortiesību likuma 21. pantā minētās tiesības attiecas arī uz iepriekš norādītajām pedagogu grupām atbilstoši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21. panta pirmās daļas 1. punktā ietvertais nosacījums, ka darbus vai to fragmentus atļauts izmantot “izmantošanas mērķim atbilstošā apjomā” nozīmē, ka tos drīkst izmantot tikai ilustrēšanas mērķim atbilstošā apjomā.” (tālāk seko skaidrojums ar piemēriem)".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Autortiesību likuma 21. panta trešo daļu - 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iestādē vai citā vietā,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"Autortiesību un komunicēšanās konsultāciju aģentūra / Latvijas Autoru apvienība"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AKKA/LAA iesniedza Kultūras ministrijai priekšlikumu papildināt Likumprojektā ietverto Autortiesību likuma 21.panta redakciju ar piekto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Šī panta noteikumi neattiecas uz notīm, mācību grāmatām un materiāliem, kas radīti mācību mērķiem, ar nosacījumu, ka attiecīgo autortiesību objektu izmantošanas licences ir brīvi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netika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 norāda, ka nevar piekrist Likumprojekta pavaddokumentācijā un viedokļu apkopojumā ietvertajam Kultūras ministrijas apgalvojumam:“Digitālā vienotā tirgus direktīvas preambulas 23. apsvērumā skaidrots, ka šo izvēles normu mērķis ir nodrošināt iespēju tām dalībvalstīm, kuras iepriekš ir īstenojušas autoru darbu izmantošanu izglītības iestādēs uz licenču pamata vai nodrošinājušas taisnīgu atlīdzību tiesību īpašniekiem, saglabāt un pielāgot esošo kārtību.” Digitālā vienotā tirgus direktīvas preambulas 23.apsvērums tikai norāda uz direktīvas 5.pantā ietvertās izvēles normas izcelsmi, bet nekādi nenosaka, ka attiecīgā izvēles norma būtu pieļaujama tikai tām ES valstīm, kurās attiecīgās iespējas izmantotas jau iepriekš. Ja iespēja izvēlēties  transponēt vai netransponēt attiecīgo normu būtu pieejama tikai daļai dalībvalstu, tas būtu tieši norādīts direktīvas 5.pantā. Arī juridiskajā literatūrā nav rodams pamatojums šādai Digitālā vienotā tirgus direktīvas preambulas 23. apsvēruma interpretācijai, bet ir rodamas norādes uz pretējo – direktīvas 5(2). panta alternatīvās izvēles ir vērstas uz iespēju gan saglabāt vēsturiskās licencēšanas sistēmas, gan nodrošināt mācību materiālu un grāmatu tirgus aizsardzību (This intricate formulation intends to preserve existing licensing systems, that exist in Member States where the educational uses are authorized by specific licensing arrangements with collective management organizations, such as in France.39 It also answers a concern of publishers of textbooks and educational material who feared that the exception would significantly erode their normal market, and asked either to be excluded from the exception or to maintain a licensing possibility.[1])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 norāda, ka mūsu piedāvātā Autortiesību likuma 21.panta 5.daļas redakcija ir izteikti šaura un vērsta uz atsevišķu darbu veidu izslēgšanu no autortiesību ierobežojuma izglītības mērķiem, lai nodrošinātu tādus specifiskus darbu izmantojuma veidus, kuros autoru darbi vispār vai lielākoties tiek izdoti tieši izglītības iestāžu vajadzībām. Ja tie netiks pienācīgi aizsargāti, pastāv risks, ka izdevumu skaits attiecīgajos darbu izmantošanas veidos (mācību grāmatas, mācību materiāli, nošu izdevumi) samazināsies, tādējādi ilgākā laika posmā faktiski nodarot kaitējumu izglītības sistēmai, jo apsīks jaunu mācību materiālu izdevumu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jāpiemin, ka, piemēram, attiecībā uz notīm kā sevišķu darbu veidu Latvijā jau šobrīd pastāv piedāvājums ne tikai izdevniecību (MicRec, Musica Baltica) izdotu nošu partitūru veidā (tās ir pieejamas iegādei drukātā un digitālā formātā), bet ir pieejami arī tādi pakalpojumi kā nošu īre (sk., piem. https://www.musicabaltica.com/lv/veikals/nosu-ire/). Līdz ar to pilnīgi leģitīms ir arī apgalvojums par digitālu risinājumu pieejamību un pastāvēšanu Latvijas tirgū gan Direktīvas pieņemšanas laikā, gan šobrīd.Atsevišķu mācību materiālu iegāde digitālā formātā ir pieejama par cenu zem 2 EUR, savukārt Musica Baltica nodrošina Latvijas skolu orķestriem 50% atlaidi, līdz ar to minētie jau pastāvošie tirgus piedāvājumi ir ne tikai tādi, kas ir vispārīgi pieejami, bet arī piedāvā īpašus licencēšanas sacījumus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Kultūras ministrija Digitālā vienotā tirgus direktīvas transponēšanas ietvaros Autortiesību likuma 21.pantā ir izvēlējusies nepārņemt normu, kura paredz autoriem taisnīgu atlīdzību par viņu tiesību ierobežojumu izglītības mērķiem, kaut gan šāda izvēles iespēja ES dalībvalstīm ir. Saprotot, ka iespēja noteikt taisnīgu atlīdzību par ierobežojumu ir saistīta ar noteiktām valsts budžeta izmaksām, AKKA/LAA neuztur priekšlikumu par nepieciešamību Autortiesību likuma 21.pantā paredzēt taisnīgas atlīdzības samaksu autoriem par ierobežojumu darbu izmantošanai izglītības mērķiem. Tomēr, ja autoriem attiecībā uz viņu darbu izmantošanu izglītības mērķiem netiek paredzēta ne taisnīga atlīdzība, ne arī īpašs regulējums notīm, mācību grāmatām un mācību materiāliem, kas paši par sevi ir šauri nišas produkti, netiks panākts taisnīgs līdzsvars starp sabiedrības interesēm un autoru interesēm, un pastāvēs būtisks risks noteiktiem komersantiem, kuri specializējas atsevišķu izdevumu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Séverine Dusollier. The 2019 Directive on Copyright in the Digital Single Market: Some progress, a few bad choices, and an overall failed ambition. Common Market Law Review, Kluwer Law International, 2020, 57 (4), pp.979 - 1030. ffhal-03230170  990.lpp, https://hal-sciencespo.archives-ouvertes.fr/hal-03230170/document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tiem argumentiem, ko Kultūras ministrija norādīja pēc Publiskās apspriešanas sagatavotajā Viedokļu apkopojumā, vēršam uzmanību, ka Digitālā vienotā tirgus direktīvas 5. panta 2. punktā ietvertās izvēles normas ieviešanas priekšnosacījums ir izglītības iestāžu vajadzībām un specifikai piemērotu licenču viegla pieejamība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preambulas 23. apsvērumā uzsvērts, ka iepriekš norādītās izvēles normas piemērošana nedrīkst radīt izglītības iestādēm juridisko nenoteiktību un administratīvo slogu. Šajā apsvērumā arī skaidrots, ka licenču piedāvājumam jābūt tādam, lai izglītības iestādēm nebūtu individuāli jāvienojas ar autortiesību un blakustiesību īpašniekiem, kā piemēru minot kolektīvo licencēšanu (tātad – licencēšanu ar kolektīvā pārvaldījuma organizāciju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var diskutēt, vai AKKA/LAA iebildumā minēto izdevniecību (MicRec, MusicaBaltica) nošu piedāvājums atbilst iepriekš norādītajiem Digitālā vienotā tirgus direktīvas nosacījumiem, taču Kultūras ministrijas rīcībā nav informācijas par direktīvai atbilstošu mācību literatūras licencēšanas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Kultūras ministrija nevar piekrist iebildumā paustajam apgalvojumam, ka, nepārņemot Digitālā vienotā tirgus direktīvas 5. pantā ietvertās izvēles normas, netiks nodrošināts taisnīgs līdzsvars starp sabiedrības interesēm un autoru interesēm, un pastāvēs būtisks risks noteiktiem komersantiem, kuri specializējas atsevišķu izdevumu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izvēles normas nav vienīgie instrumenti, kas paredzēti direktīvas 5. pantā taisnīga interešu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5. panta 1. punktā jau ietverta virkne ierobežojošu nosacījumu: autoru darbus atļauts izmantot tikai ilustrēšanas mērķim un šim mērķim atbilstošā apjomā (t.i. – lielākoties fragmentu veidā); autoru darbus digitālā formātā var izmantot drošā elektroniskā vidē, kas pieejama tikai izglītības iestādes pedagogiem, akadēmiskajam personālam un izglītojamiem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šie ierobežojošie nosacījumi precīzi pārņemti Autortiesību likuma 21. panta jaunajā redakcijā. Turklāt, piemērojot Autortiesību likuma 21. pantu, jāņem vērā arī likuma 18. panta otrā daļa. Tā paredz, ka autortiesību ierobežojumus piemēro tādā veidā, lai tie nebūtu pretrunā ar autora darba normālas izmantošanas noteikumiem un nepamatoti neierobežotu autora likumīgās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jaunā 21. panta redakcija ir būtiski precīzāka (ar šaurāku tvērumu) nekā spēkā esošā redakcija un, Kultūras ministrijas ieskatā, nodrošina taisnīgu līdzsvaru starp sabiedrības interesēm un autoru (un izdevēju)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iestādē vai citā vietā,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Izpildītāju un producentu apvienība"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Direktīvas 2019/790 par autortiesībām un blakustiesībām digitālajā vienotajā tirgū un ar ko groza Direktīvas 96/9/EK un 2001/29/EK  (turpmāk – Direktīva 2019/790) 5. pantu dalībvalstīm būtu jāievieš obligāti izņēmumi vai ierobežojumi attiecībā uz tekstizraces un datizraces tehnoloģijām, mācīšanas ilustrēšanu digitālajā vidē un kultūras mantojuma saglabāšanu. Joprojām būtu jāpiemēro Savienības tiesību aktos pastāvošie izņēmumi un ierobežojumi, arī tekstizracei un datizracei un izglītības un saglabāšanas darbībām, ciktāl tie neierobežo šajā direktīvā paredzētos obligātos izņēmumus, kas dalībvalstīm jāievieš savos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formulējumu, likumprojekts “Grozījumi Autortiesību likumā”, kas saistīts ar Likumprojektā paredzētajiem grozījumiem Autortiesību likuma 21.pantā neparedz izslēgt atsevišķus darbu vai blakustiesību objektus no ierobežojuma tvēruma, kā to paredz Digitālā vienotā tirgus direktīvas 5. pants. LaIPA ieskatā vismaz divi no ar autortiesībām aizsargātiem objektiem – izglītības iestādēm paredzētie mācību materiāli un nošu izdevumi – būtu tieši izslēdzami no likumprojekta “Grozījumi Autortiesību likumā” 21. panta autortiesību ierobežojuma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 neapstrīd likumprojekta “Grozījumi Autortiesību likumā” 21. pantā paredzētā autortiesību ierobežojuma mērķa lietderību un vērtību pašu par sevi, tomēr tā sasniegšanai ir nepieciešama līdzsvarota pieeja. Lai Autortiesību likuma 21. panta regulējums būtu samērīgs, LaIPA uzskata, ka valstij ir jāizmanto Digitālā vienotā tirgus direktīvā paredzētie dažādo interešu līdzsvarojošie mehānismi. Saskaņā ar Direktīvas 2019/790 preambulas 24. apsvērumu dalībvalstīm vajadzētu palikt iespējai paredzēt, ka tiesību subjekti par savu darbu vai blakustiesību objektu digitālo izmantošanu saskaņā ar šajā direktīvā paredzēto izņēmumu vai ierobežojumu mācīšanas ilustrēšanai saņem taisnīgu atlīdzību. Nosakot taisnīgas atlīdzības līmeni, cita starpā pienācīgi būtu jāņem vērā dalībvalstu izglītības mērķi un kaitējums tiesību subjektiem. Likumprojekts “Grozījumi Autortiesību likumā” neparedz kritērijus, kad izņēmuma vai autortiesību ierobežojuma gadījumā tiesību īpašnieki saņemtu taisnīgu atlīdzību. LaIPA ieskatā atlīdzība būtu jāparedz vismaz tādos gadījumos, ja attiecīgo autortiesību vai blakustiesību objektu izmanto vienīgi tādā veidā, uz ko attiecas Autortiesību likumā paredzētie autortiesību ierobežojumi. Šāds regulējums neļautu rasties situācijām, kad darba radīšanā ieguldītās pūles tiesību īpašniekam netiktu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tiem argumentiem, ko Kultūras ministrija norādīja pēc Publiskās apspriešanas sagatavotajā Viedokļu apkopojumā, vēršam uzmanību, ka Digitālā vienotā tirgus direktīvas 5. panta 2. punktā ietvertās izvēles normas ieviešanas priekšnosacījums ir izglītības iestāžu vajadzībām un specifikai piemērotu licenču viegla pieejamība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preambulas 23. apsvērumā uzsvērts, ka iepriekš norādītās izvēles normas piemērošana nedrīkst radīt izglītības iestādēm juridisko nenoteiktību un administratīvo slogu. Šajā apsvērumā arī skaidrots, ka licenču piedāvājumam jābūt tādam, lai izglītības iestādēm nebūtu individuāli jāvienojas ar autortiesību un blakustiesību īpašniekiem, kā piemēru minot kolektīvo licencēšanu (tātad – licencēšanu ar kolektīvā pārvaldījuma organizāciju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var diskutēt, vai Latvijā pieejamais nošu piedāvājums atbilst iepriekš norādītajiem Digitālā vienotā tirgus direktīvas nosacījumiem, taču Kultūras ministrijas rīcībā nav informācijas par direktīvai atbilstošu mācību literatūras licencēšanas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Kultūras ministrija nevar piekrist, ka, nepārņemot Digitālā vienotā tirgus direktīvas 5. pantā ietvertās izvēles normas, netiks nodrošināts taisnīgs interešu līdzsvars.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izvēles normas nav vienīgie instrumenti, kas paredzēti direktīvas 5. pantā taisnīga interešu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5. panta 1. punktā jau ietverta virkne ierobežojošu nosacījumu: autoru darbus atļauts izmantot tikai ilustrēšanas mērķim un šim mērķim atbilstošā apjomā (t.i. – lielākoties fragmentu veidā); autoru darbus digitālā formātā var izmantot drošā elektroniskā vidē, kas pieejama tikai izglītības iestādes pedagogiem, akadēmiskajam personālam un izglītojamiem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šie ierobežojošie nosacījumi precīzi pārņemti Autortiesību likuma 21. panta jaunajā redakcijā. Turklāt, piemērojot Autortiesību likuma 21. pantu, jāņem vērā arī likuma 18. panta otrā daļa. Tā paredz, ka autortiesību ierobežojumus piemēro tādā veidā, lai tie nebūtu pretrunā ar autora darba normālas izmantošanas noteikumiem un nepamatoti neierobežotu autora likumīgās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jaunā 21. panta redakcija ir būtiski precīzāka (ar šaurāku tvērumu) nekā spēkā esošā redakcija un, Kultūras ministrijas ieskatā, nodrošina taisnīgu līdzsvaru starp sabiedrības interesēm un tiesību īpašnieku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iestādē vai citā vietā,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iestādes pārziņā - tās telpās vai citās vietās,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Pedagoģisko darbu veic arī pedagogi, kuru darba devēji nav izglītības iestādes jeb izglītības iestāžu reģistrā reģistrētas organizācijas. Piemēram, tie ir diasporas skolotāji, kas īsteno ar Latvijas piederību saistīta izglītības satura apguvi nekomerciālos nolūkos. Viens no Diasporas likuma 5 pantā definētajiem diasporas politikas īstenošanas principiem ir nodrošināt diasporu ar tās vajadzībām atbilstošu informāciju. Savukārt,  viens no Diasporas likuma 6.panta otrās daļas 3.punktā noteiktajiem Izglītības un zinātnes ministrijas uzdevumiem ir koordinēt diasporas skolotāju un izglītotāju izglītības ieguvi un profesionālās meistarības pilnveidi. Norādām, ka pedagoģisko darbu veic arī pedagogi, kuru darba devēji nav izglītības iestādes jeb izglītības iestāžu reģistrā reģistrētas organizācijas. Piemēram, tie ir diasporas skolotāji, kas īsteno ar Latvijas piederību saistīta izglītības satura apguvi nekomerciālos nolūkos. Lūdzam izvērtēt iespēju un izteikt šo panta apakšpunktu redakcijā bez atsauces uz izglītības iestādi, bet saglabājot skaidru sasaisti ar pedagoģisko darbu. Lūdzam izvērtēt iespēju un izteikt šo panta apakšpunktu redakcijā bez atsauces uz izglītības iestādi, bet saglabājot skaidru sasaisti ar pedagoģisko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20. septembra sanāksmē, kurā piedalījās Kultūras ministrijas un Izglītības un zinātnes ministrijas pārstāvji, panākta vienošanās par 21. panta pirmās daļas 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un zinātnes ministrijas priekšlikumiem būtiski papildināta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iestādē vai citā vietā,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iestādes pārziņā - tās telpās vai citās vietās,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"Autortiesību un komunicēšanās konsultāciju aģentūra / Latvijas Autoru apvienība"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 uztur iepriekš izteikto priekšlikumu papildināt Likumprojektā ietvertā Autortiesību likuma 21.panta redakciju ar piekto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Šī panta noteikumi neattiecas uz notīm, mācību grāmatām un materiāliem, kas radīti mācību mērķiem, ar nosacījumu, ka attiecīgo autortiesību objektu izmantošanas licences ir brīvi 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 uzskata, ka Kultūras ministrijas Likumprojekta pavaddokumentācijā ietvertais pamatojums, kura ietvaros AKKA/LAA priekšlikums tika noraidīts, neatspēko AKKA/LAA jau iepriekš paustos argumentus. AKKA/LAA atkārtoti norāda, ka Kultūras ministrija Digitālā vienotā tirgus direktīvas transponēšanas ietvaros Autortiesību likuma 21.pantā ir izvēlējusies nepārņemt normu, kura paredz autoriem taisnīgu atlīdzību par viņu tiesību ierobežojumu izglītības mērķiem, kaut gan šāda izvēles iespēja ES dalībvalstīm ir. Saprotot, ka iespēja noteikt taisnīgu atlīdzību par ierobežojumu ir saistīta ar noteiktām valsts budžeta izmaksām, AKKA/LAA neuztur priekšlikumu par nepieciešamību Autortiesību likuma 21.pantā paredzēt taisnīgas atlīdzības samaksu autoriem par ierobežojumu darbu izmantošanai izglītības mērķiem. Tomēr, ja autoriem attiecībā uz viņu darbu izmantošanu izglītības mērķiem netiek paredzēta ne taisnīga atlīdzība, ne arī īpašs regulējums notīm, mācību grāmatām un mācību materiāliem, kas paši par sevi ir šauri nišas produkti, netiks panākts taisnīgs līdzsvars starp sabiedrības interesēm un autoru interesēm un pastāvēs būtisks risks noteiktiem komersantiem, kuri specializējas atsevišķu izdevumu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 norāda, ka Digitālā vienotā tirgus direktīva tiešām paredz noteiktas ES dalībvalstu izvēles iespējas, kā nacionālajā likumdošanā pārņemt autortiesību ierobežojumus un vai izmantot direktīvā sniegtās iespējas šos autortiesību ierobežojumus transponēt pilnā apmērā vai sašaurināti. Kultūras ministrija ir izvēlējusies to darīt pilnā apmērā, ierobežojot autoru mantiskās tiesības. Tai pat laikā, izmantojot dalībvalsts brīvību Direktīvas normu transponēšanā, Kultūras ministrija nav ņēmusi vērā, ka šādai transponēšanai būtu jānotiek arī atbilstoši Latvijā jau spēkā esošajiem normatīvajiem aktiem. Proti, Kultūras ministrija nav izvērtējusi, vai tai, ievērojot Satversmes 105.pantu un 113.pantu, nebija pienākuma no Digitālā vienotā tirgus direktīvas izrietošo autortiesību ierobežojumu transponēt maksimāli šauri vai arī paredzot par to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 turpina uzturēt 09.05.2022. atzinumā pausto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iestādē vai citā vietā,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iestādes pārziņā - tās telpās vai citās vietās,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Izpildītāju un producentu apvienība"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 atbalsta tālāku Likumprojekta virzību, taču uztur spēkā sekojošus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Direktīvas 2019/790 par autortiesībām un blakustiesībām digitālajā vienotajā tirgū un ar ko groza Direktīvas 96/9/EK un 2001/29/EK  (turpmāk – Direktīva 2019/790) 5. pantu dalībvalstīm būtu jāievieš obligāti izņēmumi vai ierobežojumi attiecībā uz tekstizraces un datizraces tehnoloģijām, mācīšanas ilustrēšanu digitālajā vidē un kultūras mantojuma saglabāšanu. Joprojām būtu jāpiemēro Savienības tiesību aktos pastāvošie izņēmumi un ierobežojumi, arī tekstizracei un datizracei un izglītības un saglabāšanas darbībām, ciktāl tie neierobežo šajā direktīvā paredzētos obligātos izņēmumus, kas dalībvalstīm jāievieš savos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formulējumu, Likumprojektā paredzētie grozījumi Autortiesību likuma 21.pantā neparedz izslēgt atsevišķus darbu vai blakustiesību objektus no ierobežojuma tvēruma, kā to paredz Digitālā vienotā tirgus direktīvas 5. pants. LaIPA ieskatā vismaz uz komerciālā apritē esošām mācību grāmatām un mācību līdzekļiem 21. pantā paredzētais autortiesību ierobežojums nebūtu attiecināms un vismaz divi no ar autortiesībām aizsargātiem objektiem – izglītības iestādēm paredzētie mācību materiāli un nošu izdevumi – būtu tieši izslēdzami no Likumprojekta 21. panta autortiesību ierobežojuma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 neapstrīd Likumprojekta 21. pantā paredzētā autortiesību ierobežojuma mērķa lietderību un vērtību pašu par sevi, tomēr tā sasniegšanai ir nepieciešama līdzsvarota pieeja. Lai Autortiesību likuma 21. panta regulējums būtu samērīgs, LaIPA uzskata, ka valstij ir jāizmanto Digitālā vienotā tirgus direktīvā paredzētie dažādo interešu līdzsvarojošie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2019/790 preambulas 24. apsvērumu dalībvalstīm vajadzētu palikt iespējai paredzēt, ka tiesību subjekti par savu darbu vai blakustiesību objektu digitālo izmantošanu saskaņā ar šajā direktīvā paredzēto izņēmumu vai ierobežojumu mācīšanas ilustrēšanai saņem taisnīgu atlīdzību. Nosakot taisnīgas atlīdzības līmeni, cita starpā pienācīgi būtu jāņem vērā dalībvalstu izglītības mērķi un kaitējums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kritērijus, kad izņēmuma vai autortiesību ierobežojuma gadījumā tiesību īpašnieki saņemtu taisnīgu atlīdzību. LaIPA ieskatā atlīdzība būtu jāparedz vismaz tādos gadījumos, ja attiecīgo autortiesību vai blakustiesību objektu izmanto vienīgi tādā veidā, uz ko attiecas Autortiesību likumā paredzētie autortiesību ierobežojumi. Šāds regulējums neļautu rasties situācijām, kad darba radīšanā ieguldītās pūles tiesību īpašniekam netiktu kompensētas.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 turpina uzturēt 10.05.2022. atzinumā pausto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pants. Darba izmantošana izglītības un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iestādē vai citā vietā, vai drošā elektroniskā vidē, kas pieejama tikai izglītības iestādes pedagogiem, akadēmiskajam personālam un izglītojamiem, izmantošanas mērķim atbilstošā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pētniecībai, izmantošanas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Droša elektroniska vide šā likuma izpratnē ir digitāla vide mācību vajadzībām, kurā tiek nodrošināta šā panta pirmās daļas 1. punktā norādīto personu, kā arī izglītojamo, kas iegūst izglītību ārvalstīs atbilstoši Latvijā licencētām izglītības programmām, un viņu pedagogu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Autortiesību likuma 21.</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vienotās tirgus direktīvas 12.apsvērums nosaka, ka "Līdztekus universitātēm un citām augstākās izglītības iestādēm tām vajadzētu būt arī tādām vienībām kā pētniecības institūti un slimnīcas, kas nodarbojas ar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 "augstskola" ar vārdiem "augstākās izglītības institūcijas",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Augstskolu likums nosaka, ka augstskolas ir augstākās izglītības institūcija  un koledža - īsteno pirmā līmeņa profesionālās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Profesionālās izglītības likuma grozījumu (1241/Lp13) 2. lasījumā tiks ietverta norma, kas nosaka, ka  “Koledža ir profesionālās augstākās izglītības iestāde, kura īsteno īsā cikla profesionālās augstākās izglītības programmas, kas dod iespēju iegūt piektā līmeņa profesionālo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skaidrot vārdu "izglītojošu pasākumu" tvērumu vai arī tos precizēt atbilstoši Izglītības likumā noteiktajam, aizstājot tos ar vārdiem "izglītojoša darbība". Ja vārdiem "izglītojošu pasākumu" ir cita nozīmē, tad normas viennozīmīgai izpratnei un piemērošanai, lūdzam to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Digitālās vienotās tirgus direktīvas 2.panta 1) punkts nosaka "uz bezpeļņas pamata vai visu peļņu ieguldot zinātniskajā pētniecībā". Lūdzam izvērtēt nepieciešamību precizēt normu, lai to varētu viennozīmīgi piemērot vai anotācijā skaidrot, kas ir domāts normā ar vārdiem "negūst peļņu", pamatojot to ar attiecīgiem tiesību aktiem. Vai ar šie vārdi ir attiecināmi uz biedrībām un nodibinājumiem un/vai citu bezpeļņas personu apvienības subjektiem, publiskiem nodibinājumiem (fondiem). Papildus vēršam uzmanību, ka norma ir precizējama, jo minētā direktīva ietver norādi, ka jāiegulda "visa peļņa", bet norma nesatur vārdu “visa”;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Digitālās vienotās tirgus direktīvas 2.panta 1.punkta ir noteikts "lai šādā zinātniskajā pētniecībā iegūtajiem rezultātiem nevarētu preferenciāli piekļūt uzņēmums, kam uz šādu organizāciju ir izšķiroša ietekme", savukārt normā ietverts "Komersantam, kuram šādā organizācijā ir izšķiroša ietekme, nedrīkst būt piekļuves priekšrocības". Lūdzam anotācijā skaidrot atbilstoši attiecīgajām tiesību normām tieši termina "komersants" lietojumu, ievērojot, ka minētā direktīva nenosaka vārda "uzņēmums"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skaidrot anotācijā atbilstoši attiecīgajām tiesību normām, kas Autortiesību likuma ietvaros būs saprotams ar  vārdiem "izšķiroša ietekme" un "piekļuves priekšrocības". Lūdzam, sniedzot skaidrojumu anotācijā, tajā ietvert arī Digitālās vienotās tirgus direktīvas 12.apsverumā minēto, ka "Turpretim par pētniecības organizācijām šīs direktīvas nozīmē nevajadzētu uzskatīt organizācijas, ko izšķirīgi ietekmē komercuzņēmumi, kuru strukturālais izkārtojums, piemēram, akcionāru vai biedru kvalitatīvais sastāvs, varētu šādiem uzņēmumiem pavērt preferenciālu piekļuvi pētniecības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tiesību normas skaidru piemērošanu un izpratni, lūdzam skaidrot anotācijā vārdu nozīmi "darbojas sabiedrības interesēs, ko atzinusi valsts", minot attiecīgus piemērus un atbilstošus tiesību aktus, no kuriem nepārprotami var izsecināt, ka attiecīgā organizācija darbojas sabiedrības interesēs un valsts to ir atzinusi.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sniegt šā panta ceturtajā daļā minētā vārda "tīkls" tvērumu un anotācijā sniegt skaidrojumu ar piemēriem.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Autortiesību likuma 21.</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Autortiesību likuma 21.</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norma, kā arī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preambulas 12. apsvērumā skaidrots, ka pētniecības organizācijām var būt dažādas juridiskās formas, taču parasti tās darbojas vai nu uz bezpeļņas pamata, vai arī sabiedrības interesēs, ko atzinusi valsts (angļu valodā – “public-interest mission”)."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Digitālā vienotā tirgus direktīvas 11. apsvērumā uzsvērts, ka tekstizraces un datizraces izņēmums būtu attiecināms arī uz tādām pētniecības organizācijām, kuras īsteno pētniecību publiskā-privātā sektora partnerības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Autortiesību likuma 21.</w:t>
            </w:r>
            <w:r w:rsidR="00000000" w:rsidRPr="00000000" w:rsidDel="00000000">
              <w:rPr>
                <w:vertAlign w:val="superscript"/>
                <w:rtl w:val="0"/>
              </w:rPr>
              <w:t xml:space="preserve">1</w:t>
            </w:r>
            <w:r w:rsidR="00000000" w:rsidRPr="00000000" w:rsidDel="00000000">
              <w:rPr>
                <w:rtl w:val="0"/>
              </w:rPr>
              <w:t xml:space="preserve"> panta otrā daļa, kā arī precizēta un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pētniecības organizācijām nevar uzskatīt tādas organizācijas, ko izšķirīgi ietekmē uzņēmumi, kuru struktūra (piemēram, akcionāru kvalitatīvais sastāvs) varētu radīt piekļuves priekšrocības pētniecības rezultātiem. Termins “uzņēmums” iztulkojams Komisijas 2014. gada 17. jūnija regulas (ES) Nr. 651/2014, ar ko noteiktas atbalsta kategorijas atzīst par saderīgām ar iekšējo tirgu, piemērojot Līguma 107. un 108. pantu, izpratnē. Minētās regulas 1. pielikuma 1. pantā noteikts, ka par uzņēmumu uzskata jebkuru saimnieciskās darbības subjektu neatkarīgi no tā juridiskās formas. Tas jo īpaši ietver pašnodarbinātas personas un ģimenes uzņēmumus, kas nodarbojas ar amatniecību vai veic citu darbību, kā arī personālsabiedrības un apvienības, kas regulāri ir iesaistītas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termins “izšķirošā ietekme” definēts Koncernu likuma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Termins “sabiedrības intereses” (angļu valodā “public interest mission”) autortiesību jomā izmantots tikai Digitālā vienotā tirgus direktīvas 2. panta 1. punktā (termina “pētniecības organizācija” definīcijā) un Eiropas Parlamenta un Padomes direktīvas 2012/28/ES par dažiem atļautiem nenosakāmu autortiesību subjektu darbu izmantošanas veidiem preambulas 20. apsvērumā. Pēdējās direktīvas regulējums pārņemts Autortiesību likuma 62.</w:t>
            </w:r>
            <w:r w:rsidR="00000000" w:rsidRPr="00000000" w:rsidDel="00000000">
              <w:rPr>
                <w:vertAlign w:val="superscript"/>
                <w:rtl w:val="0"/>
              </w:rPr>
              <w:t xml:space="preserve">1</w:t>
            </w:r>
            <w:r w:rsidR="00000000" w:rsidRPr="00000000" w:rsidDel="00000000">
              <w:rPr>
                <w:rtl w:val="0"/>
              </w:rPr>
              <w:t xml:space="preserve"> panta sestajā daļā, attiecinot to uz kultūras mantojuma institūcijām un to īstenotajiem uzdevumiem, kurus tās veic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jau skaidrots, ka par darbošanos sabiedrības interesēs varētu liecināt, piemēram, valsts finansējums, attiecīgs normatīvais regulējums vai arī publiskā iepirkuma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IZM kompetenci attiecībā uz pētniecību, lūdzam sniegt IZM redzējumu par to, kuras pētniecības organizācijas darbojas sabiedrības interesēs (un valsts to ir atzinusi).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Autortiesību likuma 21.</w:t>
            </w:r>
            <w:r w:rsidR="00000000" w:rsidRPr="00000000" w:rsidDel="00000000">
              <w:rPr>
                <w:vertAlign w:val="superscript"/>
                <w:rtl w:val="0"/>
              </w:rPr>
              <w:t xml:space="preserve">1</w:t>
            </w:r>
            <w:r w:rsidR="00000000" w:rsidRPr="00000000" w:rsidDel="00000000">
              <w:rPr>
                <w:rtl w:val="0"/>
              </w:rPr>
              <w:t xml:space="preserve"> panta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21.</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Autortiesību likuma 21.1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vienotās tirgus direktīvas 12.apsvērums nosaka, ka "Līdztekus universitātēm un citām augstākās izglītības iestādēm tām vajadzētu būt arī tādām vienībām kā pētniecības institūti un slimnīcas, kas nodarbojas ar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 "augstskola" ar vārdiem "augstākās izglītības institūcijas",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Augstskolu likums nosaka, ka augstskolas ir augstākās izglītības institūcija  un koledža - īsteno pirmā līmeņa profesionālās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Profesionālās izglītības likuma grozījumu (1241/Lp13) 2. lasījumā tiks ietverta norma, kas nosaka, ka  “Koledža ir profesionālās augstākās izglītības iestāde, kura īsteno īsā cikla profesionālās augstākās izglītības programmas, kas dod iespēju iegūt piektā līmeņa profesionālo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skaidrot vārdu "izglītojošu pasākumu" tvērumu vai arī tos precizēt atbilstoši Izglītības likumā noteiktajam, aizstājot tos ar vārdiem "izglītojoša darbība". Ja vārdiem "izglītojošu pasākumu" ir cita nozīmē, tad normas viennozīmīgai izpratnei un piemērošanai, lūdzam to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Digitālās vienotās tirgus direktīvas 2.panta 1) punkts nosaka "uz bezpeļņas pamata vai visu peļņu ieguldot zinātniskajā pētniecībā". Lūdzam izvērtēt nepieciešamību precizēt normu, lai to varētu viennozīmīgi piemērot vai anotācijā skaidrot, kas ir domāts normā ar vārdiem "negūst peļņu", pamatojot to ar attiecīgiem tiesību aktiem. Vai ar šie vārdi ir attiecināmi uz biedrībām un nodibinājumiem un/vai citu bezpeļņas personu apvienības subjektiem, publiskiem nodibinājumiem (fondiem). Papildus vēršam uzmanību, ka norma ir precizējama, jo minētā direktīva ietver norādi, ka jāiegulda "visa peļņa", bet norma nesatur vārdu “visa”;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Digitālās vienotās tirgus direktīvas 2.panta 1.punkta ir noteikts "lai šādā zinātniskajā pētniecībā iegūtajiem rezultātiem nevarētu preferenciāli piekļūt uzņēmums, kam uz šādu organizāciju ir izšķiroša ietekme", savukārt normā ietverts "Komersantam, kuram šādā organizācijā ir izšķiroša ietekme, nedrīkst būt piekļuves priekšrocības". Lūdzam anotācijā skaidrot atbilstoši attiecīgajām tiesību normām tieši termina "komersants" lietojumu, ievērojot, ka minētā direktīva nenosaka vārda "uzņēmums"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skaidrot anotācijā atbilstoši attiecīgajām tiesību normām, kas Autortiesību likuma ietvaros būs saprotams ar  vārdiem "izšķiroša ietekme" un "piekļuves priekšrocības". Lūdzam, sniedzot skaidrojumu anotācijā, tajā ietvert arī Digitālās vienotās tirgus direktīvas 12.apsverumā minēto, ka "Turpretim par pētniecības organizācijām šīs direktīvas nozīmē nevajadzētu uzskatīt organizācijas, ko izšķirīgi ietekmē komercuzņēmumi, kuru strukturālais izkārtojums, piemēram, akcionāru vai biedru kvalitatīvais sastāvs, varētu šādiem uzņēmumiem pavērt preferenciālu piekļuvi pētniecības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tiesību normas skaidru piemērošanu un izpratni, lūdzam skaidrot anotācijā vārdu nozīmi "darbojas sabiedrības interesēs, ko atzinusi valsts", minot attiecīgus piemērus un atbilstošus tiesību aktus, no kuriem nepārprotami var izsecināt, ka attiecīgā organizācija darbojas sabiedrības interesēs un valsts to ir atzinusi.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sniegt šā panta ceturtajā daļā minētā vārda "tīkls" tvērumu un anotācijā sniegt skaidrojumu ar piemēriem.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Autortiesību likuma 21.</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Autortiesību likuma 21.</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norma, kā arī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preambulas 12. apsvērumā skaidrots, ka pētniecības organizācijām var būt dažādas juridiskās formas, taču parasti tās darbojas vai nu uz bezpeļņas pamata, vai arī sabiedrības interesēs, ko atzinusi valsts (angļu valodā – “public-interest mission”)."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Digitālā vienotā tirgus direktīvas 11. apsvērumā uzsvērts, ka tekstizraces un datizraces izņēmums būtu attiecināms arī uz tādām pētniecības organizācijām, kuras īsteno pētniecību publiskā-privātā sektora partnerības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Autortiesību likuma 21.</w:t>
            </w:r>
            <w:r w:rsidR="00000000" w:rsidRPr="00000000" w:rsidDel="00000000">
              <w:rPr>
                <w:vertAlign w:val="superscript"/>
                <w:rtl w:val="0"/>
              </w:rPr>
              <w:t xml:space="preserve">1</w:t>
            </w:r>
            <w:r w:rsidR="00000000" w:rsidRPr="00000000" w:rsidDel="00000000">
              <w:rPr>
                <w:rtl w:val="0"/>
              </w:rPr>
              <w:t xml:space="preserve"> panta otrā daļa, kā arī precizēta un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pētniecības organizācijām nevar uzskatīt tādas organizācijas, ko izšķirīgi ietekmē uzņēmumi, kuru struktūra (piemēram, akcionāru kvalitatīvais sastāvs) varētu radīt piekļuves priekšrocības pētniecības rezultātiem. Termins “uzņēmums” iztulkojams Komisijas 2014. gada 17. jūnija regulas (ES) Nr. 651/2014, ar ko noteiktas atbalsta kategorijas atzīst par saderīgām ar iekšējo tirgu, piemērojot Līguma 107. un 108. pantu, izpratnē. Minētās regulas 1. pielikuma 1. pantā noteikts, ka par uzņēmumu uzskata jebkuru saimnieciskās darbības subjektu neatkarīgi no tā juridiskās formas. Tas jo īpaši ietver pašnodarbinātas personas un ģimenes uzņēmumus, kas nodarbojas ar amatniecību vai veic citu darbību, kā arī personālsabiedrības un apvienības, kas regulāri ir iesaistītas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termins “izšķirošā ietekme” definēts Koncernu likuma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Termins “sabiedrības intereses” (angļu valodā “</w:t>
            </w:r>
            <w:r w:rsidR="00000000" w:rsidRPr="00000000" w:rsidDel="00000000">
              <w:rPr>
                <w:i w:val="1"/>
                <w:rtl w:val="0"/>
              </w:rPr>
              <w:t xml:space="preserve">public interest mission”</w:t>
            </w:r>
            <w:r w:rsidR="00000000" w:rsidRPr="00000000" w:rsidDel="00000000">
              <w:rPr>
                <w:rtl w:val="0"/>
              </w:rPr>
              <w:t xml:space="preserve">) autortiesību jomā izmantots tikai Digitālā vienotā tirgus direktīvas 2. panta 1. punktā (termina “pētniecības organizācija” definīcijā) un Eiropas Parlamenta un Padomes direktīvas 2012/28/ES par dažiem atļautiem nenosakāmu autortiesību subjektu darbu izmantošanas veidiem preambulas 20. apsvērumā. Pēdējās direktīvas regulējums pārņemts Autortiesību likuma 62.</w:t>
            </w:r>
            <w:r w:rsidR="00000000" w:rsidRPr="00000000" w:rsidDel="00000000">
              <w:rPr>
                <w:vertAlign w:val="superscript"/>
                <w:rtl w:val="0"/>
              </w:rPr>
              <w:t xml:space="preserve">1</w:t>
            </w:r>
            <w:r w:rsidR="00000000" w:rsidRPr="00000000" w:rsidDel="00000000">
              <w:rPr>
                <w:rtl w:val="0"/>
              </w:rPr>
              <w:t xml:space="preserve"> panta sestajā daļā, attiecinot to uz kultūras mantojuma institūcijām un to īstenotajiem uzdevumiem, kurus tās veic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jau skaidrots, ka par darbošanos sabiedrības interesēs varētu liecināt, piemēram, valsts finansējums, attiecīgs normatīvais regulējums vai arī publiskā iepirkuma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IZM kompetenci attiecībā uz pētniecību, lūdzam sniegt IZM redzējumu par to, kuras pētniecības organizācijas darbojas sabiedrības interesēs (un valsts to ir atzinusi).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Autortiesību likuma 21.</w:t>
            </w:r>
            <w:r w:rsidR="00000000" w:rsidRPr="00000000" w:rsidDel="00000000">
              <w:rPr>
                <w:vertAlign w:val="superscript"/>
                <w:rtl w:val="0"/>
              </w:rPr>
              <w:t xml:space="preserve">1</w:t>
            </w:r>
            <w:r w:rsidR="00000000" w:rsidRPr="00000000" w:rsidDel="00000000">
              <w:rPr>
                <w:rtl w:val="0"/>
              </w:rPr>
              <w:t xml:space="preserve"> panta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Darba izmantošana tekstizracei un datizracei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šā likuma 18. panta otrās daļas noteikumus, pētniecības organizācijai un kultūras mantojuma institūcijai atļauts reproducēt likumīgi pieejamus darbus, lai veiktu tekstizraci un datizraci pētniecības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organizācija šā likuma izpratnē ir augstākās izglītības institūcija, tostarp tās bibliotēka, zinātniska institūcija vai jebkāda cita institūcija, kuras galvenais mērķis ir veikt pētniecību vai īstenot izglītojošu darbību, kas ietver arī pētniecību, un kura negūst peļņu vai visu gūto peļņu iegulda pētniecībā, vai arī darbojas sabiedrības interesēs, ko atzinusi valsts. Uzņēmumam, kuram šādā organizācijā ir izšķiroša ietekme, nedrīkst būt piekļuves priekšrocības tās radītajiem pētniecības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šā panta pirmo daļu izgatavotās darbu kopijas glabā, nodrošinot atbilstošu drošības līmeni, un tās atļauts glabāt tik ilgi, cik tas nepieciešams pētniecības mērķiem, tostarp pētījuma rezultātu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Autortiesību subjektiem ir tiesības veikt pasākumus drošības un integritātes nodrošināšanai attiecībā uz datu tīkliem un datu bāzēm, kuras izmanto darbu uzglabāšanai, šādam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noteikumi neattiecas uz datorprogrammām."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viennozīmīgi izpratni un tās vienveidīgu piemērošanu, lūdzam sniegt skaidrojumu anotācijā par Autortiesību likuma 23.panta otrās daļas otro teikumu: "Šo pakalpojumu kultūras mantojuma institūcija nodrošina, izmantojot īpaši aizsargātus iekšējos tīklus, ievērojot nosacījumu, ka viens darbs vienlaicīgi ir pieejams tikai vienai fiziskajai personai, un tikai attiecībā uz darbiem, kuri nav pieejami komerciālā apritē", atsevišķi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 nozīmē vārds "īpaši" attiecībā uz vārdiem "aizsargāti iekšējie tīkli". Vai ir domāti vēl kādi papildus drošības pasākumi, jo vārdi "aizsargāti iekšējie tīkli" jau paredz aizsardzības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izpildāms reāli dabā normā ietvertais nosacījums "viens darbs vienlaicīgi ir pieejams tikai vienai fiziskajai personai, un tikai attiecībā uz darbiem, kuri nav pieejami komerciālā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nozīmē vārds "īpaši" attiecībā uz vārdiem "īpaši ierīkotiem datoriem"? Vai ir domātas kādas noteiktas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Autortiesību likuma 23. panta otrā daļa, izslēdzot nosacījumu, ka viens darbs vienlaicīgi pieejams tikai vienai fiziskajai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anotācijā, Autortiesību likuma 23. panta otrajā daļā saglabāts spēkā esošais regulējums, un tas atbilst Informācijas sabiedrības direktīvas 5. panta 3. punkta n)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spēkā kopš 2008. gada 5. janvāra, līdz ar to papildu skaidrojumu anotācijā nav plānots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juridiskajā literatūrā skaidrots, ka ar terminu “īpaši aizsargāti datori” (angļu valodā – “dedicated terminals”) Informācijas sabiedrības direktīvas 5. panta 3. punkta n) apakšpunkta izpratnē saprot, ka ar darbiem vai to kopijām var iepazīties tikai kultūras institūcijas telpās un attiecīgos datorus izmanto tikai šādam nolūkam (European Copyright Law. A Commentary. Walter, M. M. (Ed.), Lewinski, S. (Ed.). New York: Oxford University Press, 2010. – p. 1056).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vārds “īpaši” attiecībā uz vārdiem “aizsargāti iekšējie tīkli” neparedz papildu drošības pasākumu īstenošanu, taču minētajiem tīkliem jābūt pietiekami aizsargātiem, lai nepieļautu nelikumīgu piekļuvi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atbilstoši Latvijas tiesību aktiem šā panta trešajā daļā ietvertā jēdziena "bez tieša vai netieša komerciāla nolūka" tvērums, kā arī lūdzam skaidrot, ko nozīmē termins "skrejlapas".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 literatūrā skaidrots, ka nosacījums “bez tieša komerciāla nolūka” nozīmē, ka institūcijai nebūtu jāgūst peļņa vai jāiekasē samaksa, izņemot administratīvo izmaksu segšanu, bet nosacījums “bez netieša komerciāla nolūka” varētu attiekties uz komersanta īpašumā esošu bibliotēku, kas ir publiski pieejama bez maksas (European Copyright Law. A Commentary. Walter, M. M. (Ed.), Lewinski, S. (Ed.). New York: Oxford University Press, 2010. – p. 1036 – 1037).”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“skrejlapa” saprotams tā ierastajā nozīmē, proti, skrejlapa ir iespiesta vai ar roku rakstīta lapa, kuras, parasti īsam, tekstam ir aģitējoši informatīvs saturs (sk. www.tezaurs.lv).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viennozīmīgi izpratni un tās vienveidīgu piemērošanu, lūdzam sniegt skaidrojumu anotācijā par Autortiesību likuma 23.panta otrās daļas otro teikumu: "Šo pakalpojumu kultūras mantojuma institūcija nodrošina, izmantojot īpaši aizsargātus iekšējos tīklus, ievērojot nosacījumu, ka viens darbs vienlaicīgi ir pieejams tikai vienai fiziskajai personai, un tikai attiecībā uz darbiem, kuri nav pieejami komerciālā apritē", atsevišķi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 nozīmē vārds "īpaši" attiecībā uz vārdiem "aizsargāti iekšējie tīkli". Vai ir domāti vēl kādi papildus drošības pasākumi, jo vārdi "aizsargāti iekšējie tīkli" jau paredz aizsardzības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izpildāms reāli dabā normā ietvertais nosacījums "viens darbs vienlaicīgi ir pieejams tikai vienai fiziskajai personai, un tikai attiecībā uz darbiem, kuri nav pieejami komerciālā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nozīmē vārds "īpaši" attiecībā uz vārdiem "īpaši ierīkotiem datoriem"? Vai ir domātas kādas noteiktas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Autortiesību likuma 23. panta otrā daļa, izslēdzot nosacījumu, ka viens darbs vienlaicīgi pieejams tikai vienai fiziskajai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anotācijā, Autortiesību likuma 23. panta otrajā daļā saglabāts spēkā esošais regulējums, un tas atbilst Informācijas sabiedrības direktīvas 5. panta 3. punkta n)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spēkā kopš 2008. gada 5. janvāra, līdz ar to papildu skaidrojumu anotācijā nav plānots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juridiskajā literatūrā skaidrots, ka ar terminu “īpaši aizsargāti datori” (angļu valodā – “</w:t>
            </w:r>
            <w:r w:rsidR="00000000" w:rsidRPr="00000000" w:rsidDel="00000000">
              <w:rPr>
                <w:i w:val="1"/>
                <w:rtl w:val="0"/>
              </w:rPr>
              <w:t xml:space="preserve">dedicated terminals</w:t>
            </w:r>
            <w:r w:rsidR="00000000" w:rsidRPr="00000000" w:rsidDel="00000000">
              <w:rPr>
                <w:rtl w:val="0"/>
              </w:rPr>
              <w:t xml:space="preserve">”) Informācijas sabiedrības direktīvas 5. panta 3. punkta n) apakšpunkta izpratnē saprot, ka ar darbiem vai to kopijām var iepazīties tikai kultūras institūcijas telpās un attiecīgos datorus izmanto tikai šādam nolūkam (</w:t>
            </w:r>
            <w:r w:rsidR="00000000" w:rsidRPr="00000000" w:rsidDel="00000000">
              <w:rPr>
                <w:i w:val="1"/>
                <w:rtl w:val="0"/>
              </w:rPr>
              <w:t xml:space="preserve">European Copyright Law. A Commentary.</w:t>
            </w:r>
            <w:r w:rsidR="00000000" w:rsidRPr="00000000" w:rsidDel="00000000">
              <w:rPr>
                <w:rtl w:val="0"/>
              </w:rPr>
              <w:t xml:space="preserve"> Walter, M. M. (Ed.), Lewinski, S. (Ed.). New York: Oxford University Press, 2010. – p. 1056).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vārds “īpaši” attiecībā uz vārdiem “aizsargāti iekšējie tīkli” neparedz papildu drošības pasākumu īstenošanu, taču minētajiem tīkliem jābūt pietiekami aizsargātiem, lai nepieļautu nelikumīgu piekļuvi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Darba izmantošana kultūras mantojuma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šā likuma 18. panta otrās daļas noteikumus, kultūras mantojuma institūcijai nekomerciālā nolūkā atļauts jebkādā formātā un datu nesējā reproducēt tās krājumā pastāvīgi esošu darbu saglabāšanas mērķim, tai skaitā, lai saglabātu sabojātu vai nolietotu darbu, vai tādu darbu, kura datu nesējs ir tehnoloģiski novecojis, šim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šā likuma 18. panta otrās daļas noteikumus, valsts, pašvaldības vai citas atvasinātas publiskas personas kultūras mantojuma institūcijai nekomerciālā nolūkā atļauts tās krājumā esošus darbus, kā arī to kopijas, kas izgatavotas saskaņā ar šā panta pirmo daļu, izņemot datorprogrammas, pēc pieprasījuma izmantošanai zinātniskam pētījumam vai pašizglītībai padarīt individuāli pieejamas fiziskajām personām, kurām ir autorizēta pieeja attiecīgās kultūras mantojuma institūcijas telpās īpaši ierīkotiem datoriem. Šo pakalpojumu kultūras mantojuma institūcija nodrošina, izmantojot īpaši aizsargātus iekšējos tīklus, un tikai attiecībā uz darbiem, kuri nav pieejami komerciālā apritē, ciktāl vienošanās ar autoru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šā likuma 18. panta otrās daļas noteikumus, kultūras mantojuma institūcijai atļauts bez tieša vai netieša komerciāla nolūka reproducēt tās krājumā esošus darbus vai to fragmentus, izņemot datorprogrammas, plakātos, skrejlapās, brošūrās un tamlīdzīgos informatīvos materiālos, informēšanas mērķim atbilstošā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atbilstoši Latvijas tiesību aktiem šā panta trešajā daļā ietvertā jēdziena "bez tieša vai netieša komerciāla nolūka" tvērums, kā arī lūdzam skaidrot, ko nozīmē termins "skrejlapas".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 literatūrā skaidrots, ka nosacījums “bez tieša komerciāla nolūka” nozīmē, ka institūcijai nebūtu jāgūst peļņa vai jāiekasē samaksa, izņemot administratīvo izmaksu segšanu, bet nosacījums “bez netieša komerciāla nolūka” varētu attiekties uz komersanta īpašumā esošu bibliotēku, kas ir publiski pieejama bez maksas (</w:t>
            </w:r>
            <w:r w:rsidR="00000000" w:rsidRPr="00000000" w:rsidDel="00000000">
              <w:rPr>
                <w:i w:val="1"/>
                <w:rtl w:val="0"/>
              </w:rPr>
              <w:t xml:space="preserve">European Copyright Law</w:t>
            </w:r>
            <w:r w:rsidR="00000000" w:rsidRPr="00000000" w:rsidDel="00000000">
              <w:rPr>
                <w:rtl w:val="0"/>
              </w:rPr>
              <w:t xml:space="preserve">. A Commentary. Walter, M. M. (Ed.), Lewinski, S. (Ed.). New York: Oxford University Press, 2010. – p. 1036 – 1037).”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“skrejlapa” saprotams tā ierastajā nozīmē, proti, skrejlapa ir iespiesta vai ar roku rakstīta lapa, kuras, parasti īsam, tekstam ir aģitējoši informatīvs saturs (sk. www.tezaurs.lv).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Darba izmantošana kultūras mantojuma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šā likuma 18. panta otrās daļas noteikumus, kultūras mantojuma institūcijai nekomerciālā nolūkā atļauts jebkādā formātā un datu nesējā reproducēt tās krājumā pastāvīgi esošu darbu saglabāšanas mērķim, tai skaitā, lai saglabātu sabojātu vai nolietotu darbu, vai tādu darbu, kura datu nesējs ir tehnoloģiski novecojis, šim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šā likuma 18. panta otrās daļas noteikumus, valsts, pašvaldības vai citas atvasinātas publiskas personas kultūras mantojuma institūcijai nekomerciālā nolūkā atļauts tās krājumā esošus darbus, kā arī to kopijas, kas izgatavotas saskaņā ar šā panta pirmo daļu, izņemot datorprogrammas, pēc pieprasījuma izmantošanai zinātniskam pētījumam vai pašizglītībai padarīt individuāli pieejamas fiziskajām personām, kurām ir autorizēta pieeja attiecīgās kultūras mantojuma institūcijas telpās īpaši ierīkotiem datoriem. Šo pakalpojumu kultūras mantojuma institūcija nodrošina, izmantojot īpaši aizsargātus iekšējos tīklus, un tikai attiecībā uz darbiem, kuri nav pieejami komerciālā apritē, ciktāl vienošanās ar autoru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šā likuma 18. panta otrās daļas noteikumus, kultūras mantojuma institūcijai atļauts bez tieša vai netieša komerciāla nolūka reproducēt tās krājumā esošus darbus vai to fragmentus, izņemot datorprogrammas, plakātos, skrejlapās, brošūrās un tamlīdzīgos informatīvos materiālos, informēšanas mērķim atbilstošā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(Kultūras informācijas sistēmu centrs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 (turpmāk – Centrs) uzskata, ka Latvijas Grāmatizdevēju asociācijas priekšlikums pielīdzināt digitalizētā kultūras mantojuma pieejamību uz vietas bibliotēkās, muzejos un arhīvos analoģiski kultūras mantojuma institūcijas krājumā fiziskā formā esošu darbu izmantojumam “viens darbs - viens lietotājs” digitālajā laikmetā rada kultūras mantojuma institūcijām un to lietotājiem nepamatotus šķēršļus piedāvāt un saņemt piekļuvi digitalizētiem krājumiem uz vietas, veidojot mākslīgi rindas uz digitālu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Grāmatizdevēju asociācijas piedāvāto priekšlikumu attiecībā uz grāmatu izmantošanas principu “viens darbs - viens  lietotājs” nevar attiecināt uz visiem kultūras mantojuma institūciju krājumos esošiem darbiem. Tā piemēram, gleznu muzeja ekspozīcijā vienlaicīgi var apskatīt desmitiem cilvēku vienas stundas laikā. Ir darbi, kas sākotnēji tiek un tiks radīti digitāli.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23.panta otras daļas otrajā teikumā ietvertais jaunais autortiesību izņēmuma sašaurinājums min tikai tos darbus, kas nav pieejami komerciālajā apritē. Mūsuprāt, tas dublē un iespējams rada dubultu regulējumu attiecībā uz jauno autortiesību regulējumu, kas tiek ieviests ar jauno IX</w:t>
            </w:r>
            <w:r w:rsidR="00000000" w:rsidRPr="00000000" w:rsidDel="00000000">
              <w:rPr>
                <w:vertAlign w:val="superscript"/>
                <w:rtl w:val="0"/>
              </w:rPr>
              <w:t xml:space="preserve">2</w:t>
            </w:r>
            <w:r w:rsidR="00000000" w:rsidRPr="00000000" w:rsidDel="00000000">
              <w:rPr>
                <w:rtl w:val="0"/>
              </w:rPr>
              <w:t xml:space="preserve"> nodaļu “Komerciālā apritē nepieejamu darbu vai blakustiesību objektu izmantošana”. Ja kultūras mantojuma institūcija konstatēs, ka darbs nav pieejams komerciālā apritē, būt piemērojams likuma regulējums attiecībā uz komerciālā apritē nepieejamu darbu vai blakustiesību objektu izmantošanu. Lai nodrošinātu digitalizētā un ar autortiesībām aizsargātā krājuma pieejamību uz vietas institūciju datoros, pat ievērojot principu “viens darbs - viens  lietotājs”, sākotnēji kultūras mantojuma institūcijām būs jāveic visa digtalizētā krājuma komerciālas pieejamības izpēte, kas ir nesamērīgs slogs un faktiski izslēdz šādu pieejamību pat vienam lietotājam, tādējādi padarot faktiski neiespējamu Autortiesību likuma 23.panta otrajā daļā ietverto autortiesību izņēmuma piemērošanu dzīvē.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Autortiesību likuma 23. panta otrā daļa, izslēdzot nosacījumu, ka viens darbs vienlaicīgi pieejams tikai vienai fiziskajai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attiecīgā autortiesību ierobežojuma attiecināšana uz komerciālā apritē nepieejamiem darbiem atbilst Informācijas sabiedrības direktīvas 5. panta 3. punkta n) apakšpunktam un nevar tikt grozīta.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IX</w:t>
            </w:r>
            <w:r w:rsidR="00000000" w:rsidRPr="00000000" w:rsidDel="00000000">
              <w:rPr>
                <w:vertAlign w:val="superscript"/>
                <w:rtl w:val="0"/>
              </w:rPr>
              <w:t xml:space="preserve">2</w:t>
            </w:r>
            <w:r w:rsidR="00000000" w:rsidRPr="00000000" w:rsidDel="00000000">
              <w:rPr>
                <w:rtl w:val="0"/>
              </w:rPr>
              <w:t xml:space="preserve"> nodaļa “Komerciālā apritē nepieejamu darbu vai blakustiesību objektu izmantošana” attiecas uz cita veida darbu un blakustiesību objektu izmantojumu – t.i. to izmantošanu kultūras mantojuma iestāžu tīmekļvietnēs (brīvpieejā) uz licences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Darba izmantošana kultūras mantojuma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šā likuma 18. panta otrās daļas noteikumus, kultūras mantojuma institūcijai nekomerciālā nolūkā atļauts jebkādā formātā un datu nesējā reproducēt tās krājumā pastāvīgi esošu darbu saglabāšanas mērķim, tai skaitā, lai saglabātu sabojātu vai nolietotu darbu, vai tādu darbu, kura datu nesējs ir tehnoloģiski novecojis, šim mērķim atbilstošā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šā likuma 18. panta otrās daļas noteikumus, valsts, pašvaldības vai citas atvasinātas publiskas personas kultūras mantojuma institūcijai nekomerciālā nolūkā atļauts tās krājumā esošus darbus, kā arī to kopijas, kas izgatavotas saskaņā ar šā panta pirmo daļu, izņemot datorprogrammas, pēc pieprasījuma izmantošanai zinātniskam pētījumam vai pašizglītībai padarīt individuāli pieejamas fiziskajām personām, kurām ir autorizēta pieeja attiecīgās kultūras mantojuma institūcijas telpās īpaši ierīkotiem datoriem. Šo pakalpojumu kultūras mantojuma institūcija nodrošina, izmantojot īpaši aizsargātus iekšējos tīklus, un tikai attiecībā uz darbiem, kuri nav pieejami komerciālā apritē, ciktāl vienošanās ar autoru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šā likuma 18. panta otrās daļas noteikumus, kultūras mantojuma institūcijai atļauts bez tieša vai netieša komerciāla nolūka reproducēt tās krājumā esošus darbus vai to fragmentus, izņemot datorprogrammas, plakātos, skrejlapās, brošūrās un tamlīdzīgos informatīvos materiālos, informēšanas mērķim atbilstošā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45.1 panta piektās daļas redakciju, kas nosaka, ka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pretrunā ar civiltiesībās pastāvošo līgumu brīvības principu, Digitālā vienotā tirgus direktīvas 18. pantā noteikto pienācīgas un samērīgas atlīdzības principu un Digitālā vienotā tirgus direktīvas 20. pantā noteikto līgumu koriģēšanas mehānismu. Anotācijā turklāt norādīts, ka šī taisnīgas atlīdzības prezumpcija var tikt apgāzta, ja konkrētajos apstākļos secināms, ka atlīdzība nav atzīstama par taisnīgu, un saskaņā ar 45.1 panta sesto daļu darba autors ir tiesīgs prasīt papildu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iespējamais risinājums 45.1 panta piektās daļas redakcijai būtu paredzēt, ka darba samaksa, ko autors saņēmis par darbu, ko tas radījis, būdams darba attiecībās ar darba devēju un pildot darba pienākumus, uzskatāma par taisnīgu atlīdzību, ja vien autors un darba devējs nav vienojušies par citu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panta piektā daļa turklāt nonāk pretrunā ar panta pirmo, otro, un trešo daļu, kuras nosaka pienākumu noteikt taisnīgu atlīdzību autoram līgumā un skaidro, kāda atlīdzība ir uzskatāma par taisnīgu un kādi apstākļi ir jāņem vērā, nosakot taisnīgu atlīdzību. Lūdzam izvērtēt šā panta redakciju un anotācijā skaidrot, vai darba samaksa, arī tad, ja tā neatbilst pantā noteiktajiem taisnīgas atlīdzības kritērijiem, ir uzskatāma par taisnīgu. Tāpat lūdzam skaidrot, vai 45.1 panta ceturtā daļa, kas nosaka autora tiesības, ja līgumā noteiktā atlīdzība nav taisnīga, attiecas arī uz 45.1 panta piektajā daļā noteikto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45.</w:t>
            </w:r>
            <w:r w:rsidR="00000000" w:rsidRPr="00000000" w:rsidDel="00000000">
              <w:rPr>
                <w:vertAlign w:val="superscript"/>
                <w:rtl w:val="0"/>
              </w:rPr>
              <w:t xml:space="preserve">1</w:t>
            </w:r>
            <w:r w:rsidR="00000000" w:rsidRPr="00000000" w:rsidDel="00000000">
              <w:rPr>
                <w:rtl w:val="0"/>
              </w:rPr>
              <w:t xml:space="preserve"> panta piektajā daļā ietverts kompromisa risinājums, kas panākts padziļinātu diskusiju rezultātā starp ieinteresētajām pusēm Darba grupas autortiesību normatīvā regulējuma pilnveidei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minētā norma neietekmē līgumu brīvības principu, jo paredz prezumpciju attiecībā uz darba samaksu, par kuru autors un darba devējs jau ir iepriekš vienojušies (autoram uzsākot darba tiesiskās attiecības ar konkrēto darba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Prezumpcijas mērķis ir sniegt zināmu juridisko drošību darba devējam, ņemot vērā to, ka darba tiesisko attiecību ietvaros autoriem parasti ir nodrošināta labāka aizsardzība (piemēram, nodokļu un valsts sociālās apdrošināšanas iemaksu nomaksa, darba vieta un nepieciešamais aprīkojums u.tml.) nekā autoriem, kas strādā kā pašnodarbinātie dažādos projektos uz īstermiņa līgumu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pieņemts, ka darba samaksa pamatā atbilst 45.</w:t>
            </w:r>
            <w:r w:rsidR="00000000" w:rsidRPr="00000000" w:rsidDel="00000000">
              <w:rPr>
                <w:vertAlign w:val="superscript"/>
                <w:rtl w:val="0"/>
              </w:rPr>
              <w:t xml:space="preserve">1</w:t>
            </w:r>
            <w:r w:rsidR="00000000" w:rsidRPr="00000000" w:rsidDel="00000000">
              <w:rPr>
                <w:rtl w:val="0"/>
              </w:rPr>
              <w:t xml:space="preserve"> pantā noteiktajiem taisnīgas atlīdzības kritērijiem, izņemot gadījumus, kad autors var pierādīt pretējo.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prezumpcija var tikt apgāzta, ja konkrētajos apstākļos secināms, ka atlīdzība nav atzīstama par taisnīgu, proti, tā neatbilst kādam no 45.</w:t>
            </w:r>
            <w:r w:rsidR="00000000" w:rsidRPr="00000000" w:rsidDel="00000000">
              <w:rPr>
                <w:vertAlign w:val="superscript"/>
                <w:rtl w:val="0"/>
              </w:rPr>
              <w:t xml:space="preserve">1</w:t>
            </w:r>
            <w:r w:rsidR="00000000" w:rsidRPr="00000000" w:rsidDel="00000000">
              <w:rPr>
                <w:rtl w:val="0"/>
              </w:rPr>
              <w:t xml:space="preserve"> panta trešajā daļā norādītajiem kritērijiem. Šādā gadījumā autoram ir tiesības prasīt līguma grozīšanu saskaņā ar 45.</w:t>
            </w:r>
            <w:r w:rsidR="00000000" w:rsidRPr="00000000" w:rsidDel="00000000">
              <w:rPr>
                <w:vertAlign w:val="superscript"/>
                <w:rtl w:val="0"/>
              </w:rPr>
              <w:t xml:space="preserve">1</w:t>
            </w:r>
            <w:r w:rsidR="00000000" w:rsidRPr="00000000" w:rsidDel="00000000">
              <w:rPr>
                <w:rtl w:val="0"/>
              </w:rPr>
              <w:t xml:space="preserve"> panta ceturtās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nebūtu pamatoti piemērot prezumpciju gadījumos, kad iepriekš norādītais pieņēmums, ka uz darba līguma pamata nodarbinātais autors ir labāk aizsargāts, neapstiprinās (piemēram, ar autoru noslēgts terminēts darba līgums, nav piešķirts materiāltehniskais nodrošinājums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pants paredz papildināt Autortiesību likumu ar jaunu 45.1 pantu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panta pirmajā daļā ietverts pienākums noteikt taisnīgu atlīdzību autoram gan līgumā, ar kuru autors atsavina savas mantiskās tiesības, gan arī licences līgumā. Otrā daļa nosaka, kāda atlīdzība ir uzskatāma par taisnīgu, trešā daļa – kādi apstākļi ir jāņem vērā, nosakot taisnīgu atlīdzību. Savukārt šī panta ceturtā daļa nosaka autora tiesības, ja līgumā noteiktā atlīdzība nav taisnīga. Šāda ceturtās daļas redakcija nonāk pretrunā ar panta pirmo daļu. Proti, tās ir savstarpēji izslēdzošas – ja 45.1 panta pirmā daļa nosaka pienākumu noteikt taisnīgu atlīdzību, tad šī panta ceturtā daļa nevar paredzēt šāda pienākuma pārkāpšanas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45.1 panta ceturtās daļas redakciju, novēršot pretrunu. Iespējamais risinājums būtu izteikt ceturto daļu tādā redakcijā, kas paredz autora tiesības gadījumā, ja starp autoru un tiesību pārņēmēju vai licenciātu rodas strīds par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45.</w:t>
            </w:r>
            <w:r w:rsidR="00000000" w:rsidRPr="00000000" w:rsidDel="00000000">
              <w:rPr>
                <w:vertAlign w:val="superscript"/>
                <w:rtl w:val="0"/>
              </w:rPr>
              <w:t xml:space="preserve">1</w:t>
            </w:r>
            <w:r w:rsidR="00000000" w:rsidRPr="00000000" w:rsidDel="00000000">
              <w:rPr>
                <w:rtl w:val="0"/>
              </w:rPr>
              <w:t xml:space="preserve"> panta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nesaskata objektīvu pamatojumu tik būtiski sašaurināt darba devēja pienākumu sniegt informāciju, aprobežojot tikai ar informāciju par tādu minēto darba izmantošanu, kas nav paredzēta darba līgumā vai neatbilst mērķim, kādam darbs radīts.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varētu piekrist, ka nebūtu lietderīgi noteikt darba devējam obligātu pienākumu visos gadījumos proaktīvi, pēc savas iniciatīvas, sniegt darbiniekam informāciju, tomēr, LBAS uzskata, ka šādam pienākumam būtu jābūt pēc darbinieka pieprasījuma.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ir jāparedz, ka pēc darbinieka pieprasījuma darba devējam ir pienākums sniegt pilnu informāciju atbilstoši vispārīgajam 45.</w:t>
            </w:r>
            <w:r w:rsidR="00000000" w:rsidRPr="00000000" w:rsidDel="00000000">
              <w:rPr>
                <w:vertAlign w:val="superscript"/>
                <w:rtl w:val="0"/>
              </w:rPr>
              <w:t xml:space="preserve">2</w:t>
            </w:r>
            <w:r w:rsidR="00000000" w:rsidRPr="00000000" w:rsidDel="00000000">
              <w:rPr>
                <w:rtl w:val="0"/>
              </w:rPr>
              <w:t xml:space="preserve"> panta regulējumam.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Autortiesību likuma 45.</w:t>
            </w:r>
            <w:r w:rsidR="00000000" w:rsidRPr="00000000" w:rsidDel="00000000">
              <w:rPr>
                <w:vertAlign w:val="superscript"/>
                <w:rtl w:val="0"/>
              </w:rPr>
              <w:t xml:space="preserve">2</w:t>
            </w:r>
            <w:r w:rsidR="00000000" w:rsidRPr="00000000" w:rsidDel="00000000">
              <w:rPr>
                <w:rtl w:val="0"/>
              </w:rPr>
              <w:t xml:space="preserve"> panta devītā daļa, kā arī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2</w:t>
            </w:r>
            <w:r w:rsidR="00000000" w:rsidRPr="00000000" w:rsidDel="00000000">
              <w:rPr>
                <w:rtl w:val="0"/>
              </w:rPr>
              <w:t xml:space="preserve"> panta devītā daļa paredz īpašu regulējumu attiecībā uz darbiem, ko autors radījis, būdams darba attiecībās ar darba devēju un pildot darba pienākumus. Proti, darba devējam informācijas sniegšanas pienākums rodas tikai pēc autora pieprasījuma, tostarp par tādu minēto darbu izmantošanu, kas nav paredzēta darba līgumā vai neatbilst mērķim, kādam darbs radīts (t.i. attiecībā uz darbiem, kuri tiek izmantoti tādā veidā, kādu autors nevarēja paredzēt, ņemot vērā darba līguma saturu, darba devēja darbības jomu un specifiku; netiek sagaidīts, ka darba līgumā būs detalizēti noteikts, kā katrs darbs tiks izmantots).”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3</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Lūdzam panta 6. daļu svītrot vai arī sniegt anotācijā detalizētu pamatojumu piedāvājai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neatrod objektīvu pamatu, kāpēc panta noteikumi neattiecas uz darbiem, ko autors radījis, būdams darba attiecībās ar darba devēju un pildot darba pienākumus.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Autortiesību likuma 45.</w:t>
            </w:r>
            <w:r w:rsidR="00000000" w:rsidRPr="00000000" w:rsidDel="00000000">
              <w:rPr>
                <w:vertAlign w:val="superscript"/>
                <w:rtl w:val="0"/>
              </w:rPr>
              <w:t xml:space="preserve">3</w:t>
            </w:r>
            <w:r w:rsidR="00000000" w:rsidRPr="00000000" w:rsidDel="00000000">
              <w:rPr>
                <w:rtl w:val="0"/>
              </w:rPr>
              <w:t xml:space="preserve"> panta sestā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3</w:t>
            </w:r>
            <w:r w:rsidR="00000000" w:rsidRPr="00000000" w:rsidDel="00000000">
              <w:rPr>
                <w:b w:val="1"/>
                <w:rtl w:val="0"/>
              </w:rPr>
              <w:t xml:space="preserve"> pants. Vienpusēja atkāpšanās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divu gadu laikā kopš līguma noslēgšanas vai darba nodošanas pasūtītājam, ja tā notikusi pēc līguma noslēgšanas, tiesību pārņēmējs vai licenciāts, kuram darba izmantošanas tiesības piešķirtas ar izņēmuma licenci, nav uzsācis izmantot minēto darbu, autoram ir tiesības vienpusēji atkāpties no līguma vai atsaukt licenci pilnībā vai attiecībā uz daļu no tiesībām, izņemot gadījumus, kad ir pamatoti sagaidāms, ka autors pats novērsīs apstākļus, kuru dēļ tiesības vai darbs netika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Autors var īstenot šā panta pirmajā daļā paredzētās tiesības, ja viņš ir informējis tiesību pārņēmēju vai licenciātu par nodomu vienpusēji atkāpties no līguma vai atsaukt licenci, nosakot saprātīgu termiņu, ne īsāku par 12 mēnešiem, kura laikā tiesību pārņēmējam vai licenciātam jāuzsāk darba izmantošana, bet tiesību pārņēmējs vai licenciāts līdz noteiktā termiņa beigām izmantošanu nav uzsācis.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termiņa beigām autors īsteno šā panta pirmajā daļā paredzētās tiesības, par to trīs mēnešu laikā informējot tiesību pārņēmēju vai licenciātu. Ja autors nav informējis tiesību pārņēmēju vai licenciātu par vienpusēju atkāpšanos no līguma iepriekš norādītajā termiņā, minētais līgums turpmāk uzskatāms par licences līgumu, ar kuru piešķirta vienkārša licence darba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darbam ir divi vai vairāki autori un katra autora individuālais ieguldījums nav norobežojams kā neatkarīgs darbs, šā panta pirmajā daļā paredzētās tiesības var īstenot tikai visi līdzautori kopīgi, izņemot, ja kāds no līdzautoriem izmanto iespēju minēto līgumu turpmāk uzskatīt par licences līgumu, ar kuru piešķirta vienkārša licence darba izmantošanai, ievērojot šā panta pirmajā un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Līguma noteikums, kas paredz atkāpšanos no šajā pantā minētajām tiesībām, ir spēkā tikai tādā gadījumā, ja tas noteikts nozares kolektīvās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3</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pants paredz papildināt Autortiesību likumu ar jaunu 45.3 pantu “Līguma izbeigšanas tiesības”, kura sestā daļa nosaka, ka šā panta noteikumi neattiecas uz darbiem, ko autors radījis, būdams darba attiecībās ar darba devēju un pildot darba pienākumus. Lūdzam anotācijā ietvert pamatojumu šādam līguma izbeigšanas tiesību ierobežojumam. Vēršam uzmanību, ka šāda ierobežojuma nepieciešamība neizriet no Digitālā vienotā tirgus direktīvas 22. panta 2.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Autortiesību likuma 45.</w:t>
            </w:r>
            <w:r w:rsidR="00000000" w:rsidRPr="00000000" w:rsidDel="00000000">
              <w:rPr>
                <w:vertAlign w:val="superscript"/>
                <w:rtl w:val="0"/>
              </w:rPr>
              <w:t xml:space="preserve">3 </w:t>
            </w:r>
            <w:r w:rsidR="00000000" w:rsidRPr="00000000" w:rsidDel="00000000">
              <w:rPr>
                <w:rtl w:val="0"/>
              </w:rPr>
              <w:t xml:space="preserve">panta sestā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3</w:t>
            </w:r>
            <w:r w:rsidR="00000000" w:rsidRPr="00000000" w:rsidDel="00000000">
              <w:rPr>
                <w:b w:val="1"/>
                <w:rtl w:val="0"/>
              </w:rPr>
              <w:t xml:space="preserve"> pants. Vienpusēja atkāpšanās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divu gadu laikā kopš līguma noslēgšanas vai darba nodošanas pasūtītājam, ja tā notikusi pēc līguma noslēgšanas, tiesību pārņēmējs vai licenciāts, kuram darba izmantošanas tiesības piešķirtas ar izņēmuma licenci, nav uzsācis izmantot minēto darbu, autoram ir tiesības vienpusēji atkāpties no līguma vai atsaukt licenci pilnībā vai attiecībā uz daļu no tiesībām, izņemot gadījumus, kad ir pamatoti sagaidāms, ka autors pats novērsīs apstākļus, kuru dēļ tiesības vai darbs netika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Autors var īstenot šā panta pirmajā daļā paredzētās tiesības, ja viņš ir informējis tiesību pārņēmēju vai licenciātu par nodomu vienpusēji atkāpties no līguma vai atsaukt licenci, nosakot saprātīgu termiņu, ne īsāku par 12 mēnešiem, kura laikā tiesību pārņēmējam vai licenciātam jāuzsāk darba izmantošana, bet tiesību pārņēmējs vai licenciāts līdz noteiktā termiņa beigām izmantošanu nav uzsācis.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termiņa beigām autors īsteno šā panta pirmajā daļā paredzētās tiesības, par to trīs mēnešu laikā informējot tiesību pārņēmēju vai licenciātu. Ja autors nav informējis tiesību pārņēmēju vai licenciātu par vienpusēju atkāpšanos no līguma iepriekš norādītajā termiņā, minētais līgums turpmāk uzskatāms par licences līgumu, ar kuru piešķirta vienkārša licence darba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darbam ir divi vai vairāki autori un katra autora individuālais ieguldījums nav norobežojams kā neatkarīgs darbs, šā panta pirmajā daļā paredzētās tiesības var īstenot tikai visi līdzautori kopīgi, izņemot, ja kāds no līdzautoriem izmanto iespēju minēto līgumu turpmāk uzskatīt par licences līgumu, ar kuru piešķirta vienkārša licence darba izmantošanai, ievērojot šā panta pirmajā un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Līguma noteikums, kas paredz atkāpšanos no šajā pantā minētajām tiesībām, ir spēkā tikai tādā gadījumā, ja tas noteikts nozares kolektīvās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32. pants paredz papildināt Autortiesību likumu ar jaunu VIII1 nodaļu “Darba vai blakustiesību objekta izmantošana, ko veic tiešsaistes satura kopīgošanas pakalpojumu sniedzējs”. Minētās nodaļas 56.4 pants paredz pienākumu tiešsaistes satura kopīgošanas pakalpojumu sniedzējam ieviest ātru lietotāju sūdzību izskatīšanas mehānismu par piekļuves atspējošanu augšupielādētiem darbiem vai blakustiesību objektiem vai to izņemšanu. Šī panta otrās daļas 3. punkts nosaka, ka, izskatot saskaņā ar šī panta pirmo daļu iesniegtās sūdzības, tiešsaistes satura kopīgošanas pakalpojumu sniedzējs nodrošina, ka lēmumu par piekļuves atspējošanu augšupielādētam darbam vai blakustiesību objektam vai tā izņemšanu </w:t>
            </w:r>
            <w:r w:rsidR="00000000" w:rsidRPr="00000000" w:rsidDel="00000000">
              <w:rPr>
                <w:u w:val="single"/>
                <w:rtl w:val="0"/>
              </w:rPr>
              <w:t xml:space="preserve">pārbauda fiziska persona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pantu tiek pārņemts Digitālā vienotā tirgus direktīvas 17. panta 9. punkts, kurš nosaka, ka saskaņā ar pirmajā daļā paredzēto mehānismu iesniegtas sūdzības apstrādā bez nevajadzīgas kavēšanās, un lēmumus par piekļuves atspējošanu augšupielādētam saturam vai tā izņemšanu </w:t>
            </w:r>
            <w:r w:rsidR="00000000" w:rsidRPr="00000000" w:rsidDel="00000000">
              <w:rPr>
                <w:u w:val="single"/>
                <w:rtl w:val="0"/>
              </w:rPr>
              <w:t xml:space="preserve">pārbauda cilvēki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teksta angļu valodā (complaints submitted under the mechanism provided for in the first subparagraph shall be processed without undue delay, and decisions to disable access to or remove uploaded content </w:t>
            </w:r>
            <w:r w:rsidR="00000000" w:rsidRPr="00000000" w:rsidDel="00000000">
              <w:rPr>
                <w:u w:val="single"/>
                <w:rtl w:val="0"/>
              </w:rPr>
              <w:t xml:space="preserve">shall be subject to human review</w:t>
            </w:r>
            <w:r w:rsidR="00000000" w:rsidRPr="00000000" w:rsidDel="00000000">
              <w:rPr>
                <w:rtl w:val="0"/>
              </w:rPr>
              <w:t xml:space="preserve">) var secināt, ka šī regulējuma mērķis ir nodrošināt, ka šādus lēmumus pārbauda cilvēki (pretstatā mākslīgajam intelektam, programmatūrai). Lūdzam minēto skaidrot anotācijā un izvērtēt, vai 56.4. panta otrās daļas 3. punkta redakcija būtu precizējama vai izslēdzama. Proti, ir jāizvērtē, vai ir nepieciešams pārņemt regulējumu, kas nosaka, ka lēmumus pārbauda cilvēki, jo Latvijas tiesību sistēmā nav paredzēta iespēja, ka iesniegumus izskata mākslīgais intelekts.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tiek arī lietoti divi dažādi termini – “sūdzība” un “iesniegums”. Lūdzam izvērtēt terminu lietojumu šajā pantā un skaidrības nodrošināšanai izmantot vienu no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Autortiesību likuma 56.</w:t>
            </w:r>
            <w:r w:rsidR="00000000" w:rsidRPr="00000000" w:rsidDel="00000000">
              <w:rPr>
                <w:vertAlign w:val="superscript"/>
                <w:rtl w:val="0"/>
              </w:rPr>
              <w:t xml:space="preserve">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Vadlīnijās uzsvērts, ka cilvēka veiktai </w:t>
            </w:r>
            <w:r w:rsidR="00000000" w:rsidRPr="00000000" w:rsidDel="00000000">
              <w:rPr>
                <w:i w:val="1"/>
                <w:rtl w:val="0"/>
              </w:rPr>
              <w:t xml:space="preserve">ex post</w:t>
            </w:r>
            <w:r w:rsidR="00000000" w:rsidRPr="00000000" w:rsidDel="00000000">
              <w:rPr>
                <w:rtl w:val="0"/>
              </w:rPr>
              <w:t xml:space="preserve"> pārbaudei (pretstatā algoritma veiktai pārbaudei) jānodrošina iespēja pieņemt lēmumu, pamatojoties uz tiesību subjektu un lietotāju argumentiem. Cilvēka veiktās pārbaudes laikā saturam jāpaliek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tiešsaistes satura kopīgošanas pakalpojumu sniedzēji bieži savā darbībā izmanto algoritmus, bija nepieciešams noteikt, ka konkrēto lēmumu var pārbaudīt tikai cilvēks, kas spēj izvērtēt abu pušu sniegtos argumentus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Ņemams vērā, ka uz konkrētajām sūdzībām neattiecas Iesniegumu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VIII</w:t>
            </w:r>
            <w:r w:rsidR="00000000" w:rsidRPr="00000000" w:rsidDel="00000000">
              <w:rPr>
                <w:vertAlign w:val="superscript"/>
                <w:rtl w:val="0"/>
              </w:rPr>
              <w:t xml:space="preserve">1</w:t>
            </w:r>
            <w:r w:rsidR="00000000" w:rsidRPr="00000000" w:rsidDel="00000000">
              <w:rPr>
                <w:rtl w:val="0"/>
              </w:rPr>
              <w:t xml:space="preserve">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5.punkta risinājuma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anotāciju ar šādu skaidrojumu. “Saskaņā ar Izglītības likuma 1.panta 7.punktu izglītības iestādes ir valsts, pašvaldību, valsts augstskolu vai citu juridisko vai fizisko personu dibināta iestāde, kuras uzdevums ir izglītības programmu īstenošana, vai komercsabiedrība, kuram izglītības programmu īstenošana ir viens no darbības veidiem. Savukārt, lai izglītības iestādes būtu tiesīgas īstenot izglītības programmas, tām ir jāveic šo programmu akreditācija vai licencēšana. Tātad, izglītības programmas akreditācija ir tiesību iegūšana izglītības iestādei vai citai šajā likumā noteiktai institūcijai izsniegt valsts atzītu izglītības dokumentu par konkrētai izglītības programmai atbilstošas izglītības ieguvi. Atbilstoši Izglītības likuma 27.panta pirmajai daļai izglītības iestādes, izņemot tās, kuras īsteno tikai interešu izglītības programmas, tiek akreditētas Ministru kabineta noteiktajā kārtībā. Saskaņā ar Starptautisko skolu likumu starptautiskās skolas reģistrē Izglītības iestāžu reģistrā un starptautiskas izglītības programmas īstenošanai attiecīgajā starptautiskajā skolā tiek izsniegta atļauja. Ņemot vērā minēto, Autortiesību likuma 21. pantā minētais attiecas uz izglītības iestādēm, kuras Latvijā noteiktajā kartībā ir akreditētas un kuras ir saņēmušas attiecīgas licences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ir norādīts, ka "Digitālā vienotā tirgus direktīvas preambulas 21. apsvērumā papildus uzsvērts, ka darbu izmantošana ilustrēšanas mērķim mācību procesā nedrīkstētu aizstāt komerciālā apritē pieejamu mācību grāmatu un mācību līdzekļu iegādi."- lūdzam sniegt skaidrojumu, kā tieši izpaužas šā apsvēruma piemērošana Latvijas izglītības sistēmā. Vienlaikus norādām, ka Autortiesību likumā vajadzētu nošķirt 2 veidu mācību līdzekļu izdevējus:  izdevēji - komersanti, kuri mācību līdzekļus sagatavo, izdod un pārdod skolām savas komecdarbības ietvaros, un izdevēji - nekomersanti (valsts, pašvaldību institūcijas, uzņēmumi, organizācijas), kuri savas darbības ietvaros izstrādā un izdod mācību līdzekļus un nodod tos skolām bez maksas. Vēlams likumā noteikt, ka izdevējiem nekomersantiem ir tiesības izmantot mācību līdzekļos citu autoru darbus vai to fragmentus, nesaskaņojot ar autoru un nemaksājot atlīdzību, bet ievērojot nosacījumu, ka šie mācību līdzekļi tiek nodoti skolām bez maksas, nodrošinot tiem pieeju drošā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papildināt anotāciju ar skaidrojumu par digitālo rīku izmantošanu mācību procesā, atbilstoši Izglītības likuma 1.panta  12</w:t>
            </w:r>
            <w:r w:rsidR="00000000" w:rsidRPr="00000000" w:rsidDel="00000000">
              <w:rPr>
                <w:vertAlign w:val="superscript"/>
                <w:rtl w:val="0"/>
              </w:rPr>
              <w:t xml:space="preserve">5</w:t>
            </w:r>
            <w:r w:rsidR="00000000" w:rsidRPr="00000000" w:rsidDel="00000000">
              <w:rPr>
                <w:rtl w:val="0"/>
              </w:rPr>
              <w:t xml:space="preserve">) punktā dotajam skaidrojumam, mācību līdzekļi tostarp ir mācību tehniskie līdzekļi (mācību procesā un saziņā izmantojamās tehniskās ierīces, tai skaitā informācijas un komunikācijas tehnoloģijas, iekārtas, robotikas detaļas un programmatūras, tai skaitā izglītojamajiem ar speciālām vajadzībām paredzētās tehniskās ierīces, iekārtas un programmatūras).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7. punktu izglītības iestāde ir valsts, pašvaldību, valsts augstskolu vai citu juridisko vai fizisko personu dibināta iestāde, kuras uzdevums ir izglītības programmu īstenošana, vai komercsabiedrība, kurai izglītības programmu īstenošana ir viens no darbības veidiem. Savukārt, lai izglītības iestādes būtu tiesīgas īstenot izglītības programmas, tām ir jāveic šo programmu akreditācija vai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programmas akreditācija ir tiesību iegūšana izglītības iestādei vai citai šajā likumā noteiktai institūcijai izsniegt valsts atzītu izglītības dokumentu par konkrētai izglītības programmai atbilstošas izglītības ieguvi. Atbilstoši Izglītības likuma 27. panta pirmajai daļai izglītības iestādes, izņemot tās, kuras īsteno tikai interešu izglītības programmas, tiek akreditētas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Starptautisko skolu likumu starptautiskās skolas reģistrē Izglītības iestāžu reģistrā un starptautiskas izglītības programmas īstenošanai attiecīgajā starptautiskajā skolā tiek izsniegta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Autortiesību likuma 21. pantā minētais autortiesību ierobežojums attiecas uz izglītības iestādēm, kuras ir akreditētas vai saņēmušas attiecīgas licences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Konkrētais anotācijā norādītais nosacījums iztulkojams kopsakarā ar turpat iepriekš norādīto skaidrojumu “darbu (vai blakustiesību objektu) izmantošana atbilst ilustrēšanas mērķim, ja tā atbalsta, bagātina vai papildina mācību procesu. Citiem vārdiem, ilustrēšanas mērķis ir sasniegts, ja cita autora darbs kalpo tikai kā piemērs, lai paskaidrotu apgūstamo mācību tematu”.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izglītības iestādēm būtu jābūt pietiekami nodrošinātām ar nepieciešamo mācību literatūru vai citiem mācību līdzekļiem, lai citu autoru darbu izmantošana kalpotu tikai kā papildu līdzeklis, kas palīdz labāk paskaidrot apgūstamo tematu.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pedagogs stundas laikā lielā apjomā izmanto paša iegādātu mācību līdzekli, bet skolēniem tāds nav iegādāts, skolēniem (vai skolai) vairs nebūs intereses iegādāties šo mācību līdzekli. Tādējādi mācību līdzekļa izdevēji zaudēs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12</w:t>
            </w:r>
            <w:r w:rsidR="00000000" w:rsidRPr="00000000" w:rsidDel="00000000">
              <w:rPr>
                <w:vertAlign w:val="superscript"/>
                <w:rtl w:val="0"/>
              </w:rPr>
              <w:t xml:space="preserve">5</w:t>
            </w:r>
            <w:r w:rsidR="00000000" w:rsidRPr="00000000" w:rsidDel="00000000">
              <w:rPr>
                <w:rtl w:val="0"/>
              </w:rPr>
              <w:t xml:space="preserve">. punktu mācību līdzekļi var būt arī mācību tehniskie līdzekļi (mācību procesā un saziņā izmantojamās tehniskās ierīces, tai skaitā informācijas un komunikācijas tehnoloģijas, iekārtas, robotikas detaļas un programmatūras, tai skaitā izglītojamajiem ar speciālām vajadzībām paredzētās tehniskās ierīces, iekārtas un programmatūras).”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Autortiesību likuma 23. panta otrajā daļā saglabāts spēkā esošais Autortiesību likuma 23. panta otrās daļas regulējums, papildinot to ar nosacījumu, ka viens darbs drīkst būt vienlaicīgi pieejams vienai personai. Vienlaikus anotācijā norādīts, ka “Eiropas Savienības tiesa ir atbalstījusi t.s. “viena kopija, viens lietotājs” modeli attiecībā uz digitālu kopiju patapināšanu, taču šāds modelis neatbilst vispārējai bibliotēku praksei. Turklāt nav skaidrs, kā nodrošināt tādu digitālu kopiju patapinājumu, kas atbilstu spriedumā noteiktajiem nosacījumiem un vienlaikus nebūtu tehniski viegli apejams”.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anotācijā ietvert pamatojumu grozījumiem 23. panta otrajā daļā, skaidrojot, kā faktiski ir iespējama šāda nosacījuma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Autortiesību likuma 23. panta otrā daļa, izslēdzot nosacījumu, ka viens darbs vienlaicīgi pieejams tikai vienai fiziskajai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pants paredz papildināt Autortiesību likumu ar jaunu 45.3 pantu “Līguma izbeigšanas tiesības”, kurš nosaka autora tiesības izbeigt mantisko tiesību atsavināšanas vai licences līgumu (izņēmuma licenci), ja divu gadu laikā kopš līguma noslēgšanas vai darba nodošanas pasūtītājam, ja šī nodošana notikusi pēc līguma noslēgšanas, nav uzsākta darba izmantošana, izņemot gadījumus, kad autors varēja pats novērst apstākļus, kuru dēļ izmantošana nenotika.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22. pants paredz iespēju izbeigt līgumu, ja pēc zināma laika perioda darba vai izpildījuma izmantošana vēl nav uzsākta. Attiecībā uz konkrēta laika perioda noteikšanu dalībvalstīm ir piešķirta rīcības brīvība. Vienlaikus minētās direktīvas 22. pants nosaka, ka dalībvalstis var paredzēt, ka atsaukšanas mehānismu var piemērot tikai konkrētā termiņā, </w:t>
            </w:r>
            <w:r w:rsidR="00000000" w:rsidRPr="00000000" w:rsidDel="00000000">
              <w:rPr>
                <w:u w:val="single"/>
                <w:rtl w:val="0"/>
              </w:rPr>
              <w:t xml:space="preserve">ja šāds ierobežojums ir pienācīgi pamatots ar nozares specifiku vai ar attiecīgā darba vai blakustiesību objekta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pamatot 45.3 panta pirmajā daļā noteikto termiņa ierobežojumu (2 gadi), kura laikā autors var izbeigt mantisko tiesību atsavināšanas vai licences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vai 45.3 panta pirmā daļa paredz personas tiesības vienpusēji atkāpties no līguma Civillikuma 1589. panta izpratnē, un izvērtēt, vai 45.3 panta redakcija būtu precizējama, lietojot Civillikumā nostiprināto jēdzienu "vienpusēja atkāpšanās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pamatojumu 45.3 panta otrajā daļā noteiktajam termiņam, kura laikā tiesību pārņēmējam vai licenciātam jāuzsāk darba izmantošana (ne īsāks par 12 mēnešiem), un šī panta trešajā daļā noteiktajam 3 mēnešu termiņam, kura laikā autoram jāinformē tiesību pārņēmējs vai licenciāts par līguma izbeigšanas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“Divu gadu termiņš izvēlēts diskusiju gaitā Darba grupas autortiesību normatīvā regulējuma pilnveidei ietvaros, ņemot vērā citu Eiropas Savienības dalībvalstu (piemēram, Vācijas, Igaunijas, Horvātijas)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visas iepriekš norādītās valstis ir paredzējušas vispārīgu 2 gadu termiņu, proti, šis termiņš ir attiecināts uz visa veida darbiem un blakustiesību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45.</w:t>
            </w:r>
            <w:r w:rsidR="00000000" w:rsidRPr="00000000" w:rsidDel="00000000">
              <w:rPr>
                <w:vertAlign w:val="superscript"/>
                <w:rtl w:val="0"/>
              </w:rPr>
              <w:t xml:space="preserve">3</w:t>
            </w:r>
            <w:r w:rsidR="00000000" w:rsidRPr="00000000" w:rsidDel="00000000">
              <w:rPr>
                <w:rtl w:val="0"/>
              </w:rPr>
              <w:t xml:space="preserve"> pants, paredzot autora tiesības vienpusēji atkāpties no līguma, kā arī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 norādītais termiņš izvēlēts diskusiju gaitā Darba grupas autortiesību normatīvā regulējuma pilnveidei ietvaros, ņemot vērā gan autoru, gan darbu izmantotāju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norādītais termiņš izvēlēts, lai nodrošinātu juridisku skaidrību par to, kā un kādā termiņā autors var īstenot Digitālā vienotā tirgus direktīvas 22. panta 2. punktā autoram paredzēto iespēju līguma izbeigšanas vietā izvēlēties transformēt atsavinātās izņēmuma tiesības vai piešķirto izņēmuma licenci uz vienkāršo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5.punkta risinājuma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anotāciju ar šādu skaidrojumu. “Saskaņā ar Izglītības likuma 1.panta 7.punktu izglītības iestādes ir valsts, pašvaldību, valsts augstskolu vai citu juridisko vai fizisko personu dibināta iestāde, kuras uzdevums ir izglītības programmu īstenošana, vai komercsabiedrība, kuram izglītības programmu īstenošana ir viens no darbības veidiem. Savukārt, lai izglītības iestādes būtu tiesīgas īstenot izglītības programmas, tām ir jāveic šo programmu akreditācija vai licencēšana. Tātad, izglītības programmas akreditācija ir tiesību iegūšana izglītības iestādei vai citai šajā likumā noteiktai institūcijai izsniegt valsts atzītu izglītības dokumentu par konkrētai izglītības programmai atbilstošas izglītības ieguvi. Atbilstoši Izglītības likuma 27.panta pirmajai daļai izglītības iestādes, izņemot tās, kuras īsteno tikai interešu izglītības programmas, tiek akreditētas Ministru kabineta noteiktajā kārtībā. Saskaņā ar Starptautisko skolu likumu starptautiskās skolas reģistrē Izglītības iestāžu reģistrā un starptautiskas izglītības programmas īstenošanai attiecīgajā starptautiskajā skolā tiek izsniegta atļauja. Ņemot vērā minēto, Autortiesību likuma 21. pantā minētais attiecas uz izglītības iestādēm, kuras Latvijā noteiktajā kartībā ir akreditētas un kuras ir saņēmušas attiecīgas licences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ir norādīts, ka "Digitālā vienotā tirgus direktīvas preambulas 21. apsvērumā papildus uzsvērts, ka darbu izmantošana ilustrēšanas mērķim mācību procesā nedrīkstētu aizstāt komerciālā apritē pieejamu mācību grāmatu un mācību līdzekļu iegādi."- lūdzam sniegt skaidrojumu, kā tieši izpaužas šā apsvēruma piemērošana Latvijas izglītības sistēmā. Vienlaikus norādām, ka Autortiesību likumā vajadzētu nošķirt 2 veidu mācību līdzekļu izdevējus:  izdevēji - komersanti, kuri mācību līdzekļus sagatavo, izdod un pārdod skolām savas komecdarbības ietvaros, un izdevēji - nekomersanti (valsts, pašvaldību institūcijas, uzņēmumi, organizācijas), kuri savas darbības ietvaros izstrādā un izdod mācību līdzekļus un nodod tos skolām bez maksas. Vēlams likumā noteikt, ka izdevējiem nekomersantiem ir tiesības izmantot mācību līdzekļos citu autoru darbus vai to fragmentus, nesaskaņojot ar autoru un nemaksājot atlīdzību, bet ievērojot nosacījumu, ka šie mācību līdzekļi tiek nodoti skolām bez maksas, nodrošinot tiem pieeju drošā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papildināt anotāciju ar skaidrojumu par digitālo rīku izmantošanu mācību procesā, atbilstoši Izglītības likuma 1.panta  125) punktā dotajam skaidrojumam, mācību līdzekļi tostarp ir mācību tehniskie līdzekļi (mācību procesā un saziņā izmantojamās tehniskās ierīces, tai skaitā informācijas un komunikācijas tehnoloģijas, iekārtas, robotikas detaļas un programmatūras, tai skaitā izglītojamajiem ar speciālām vajadzībām paredzētās tehniskās ierīces, iekārtas un programmatūras).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7. punktu izglītības iestāde ir valsts, pašvaldību, valsts augstskolu vai citu juridisko vai fizisko personu dibināta iestāde, kuras uzdevums ir izglītības programmu īstenošana, vai komercsabiedrība, kurai izglītības programmu īstenošana ir viens no darbības veidiem. Savukārt, lai izglītības iestādes būtu tiesīgas īstenot izglītības programmas, tām ir jāveic šo programmu akreditācija vai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programmas akreditācija ir tiesību iegūšana izglītības iestādei vai citai šajā likumā noteiktai institūcijai izsniegt valsts atzītu izglītības dokumentu par konkrētai izglītības programmai atbilstošas izglītības ieguvi. Atbilstoši Izglītības likuma 27. panta pirmajai daļai izglītības iestādes, izņemot tās, kuras īsteno tikai interešu izglītības programmas, tiek akreditētas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Starptautisko skolu likumu starptautiskās skolas reģistrē Izglītības iestāžu reģistrā un starptautiskas izglītības programmas īstenošanai attiecīgajā starptautiskajā skolā tiek izsniegta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Autortiesību likuma 21. pantā minētais autortiesību ierobežojums attiecas uz izglītības iestādēm, kuras ir akreditētas vai saņēmušas attiecīgas licences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Konkrētais anotācijā norādītais nosacījums iztulkojams kopsakarā ar turpat iepriekš norādīto skaidrojumu “darbu (vai blakustiesību objektu) izmantošana atbilst ilustrēšanas mērķim, ja tā atbalsta, bagātina vai papildina mācību procesu. Citiem vārdiem, ilustrēšanas mērķis ir sasniegts, ja cita autora darbs kalpo tikai kā piemērs, lai paskaidrotu apgūstamo mācību tematu”.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izglītības iestādēm būtu jābūt pietiekami nodrošinātām ar nepieciešamo mācību literatūru vai citiem mācību līdzekļiem, lai citu autoru darbu izmantošana kalpotu tikai kā papildu līdzeklis, kas palīdz labāk paskaidrot apgūstamo tematu.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pedagogs stundas laikā lielā apjomā izmanto paša iegādātu mācību līdzekli, bet skolēniem tāds nav iegādāts, skolēniem (vai skolai) vairs nebūs intereses iegādāties šo mācību līdzekli. Tādējādi mācību līdzekļa izdevēji zaudēs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12</w:t>
            </w:r>
            <w:r w:rsidR="00000000" w:rsidRPr="00000000" w:rsidDel="00000000">
              <w:rPr>
                <w:vertAlign w:val="superscript"/>
                <w:rtl w:val="0"/>
              </w:rPr>
              <w:t xml:space="preserve">5</w:t>
            </w:r>
            <w:r w:rsidR="00000000" w:rsidRPr="00000000" w:rsidDel="00000000">
              <w:rPr>
                <w:rtl w:val="0"/>
              </w:rPr>
              <w:t xml:space="preserve">. punktu mācību līdzekļi var būt arī mācību tehniskie līdzekļi (mācību procesā un saziņā izmantojamās tehniskās ierīces, tai skaitā informācijas un komunikācijas tehnoloģijas, iekārtas, robotikas detaļas un programmatūras, tai skaitā izglītojamajiem ar speciālām vajadzībām paredzētās tehniskās ierīces, iekārtas un programmatūras).”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aprakstā (5), ka  "privātai izglītības iestādei" arī jābūt valsts atzītai (akreditētai) izglītības iestādei, kā arī aizstāt vārdus "mācību kursu" ar vārdiem "mācību priekšmets un studiju kurss", pamatojoties uz Izglītības likumā un Augstskolu likumā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konkrētais iebildums (aizstāt vārdus "mācību kursu" ar vārdiem "mācību priekšmets un studiju kurss") attiecas uz citātu no juridiskās literatūras angļu valodā, kurš atveidots latviešu valodā, papildināta un 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faktiski minēto autortiesību izņēmumu varētu piemērot arī privāta izglītības iestāde attiecībā uz nekomerciālā nolūkā īstenotu mācību priekšmetu vai studiju kursu (Rosati E. </w:t>
            </w:r>
            <w:r w:rsidR="00000000" w:rsidRPr="00000000" w:rsidDel="00000000">
              <w:rPr>
                <w:i w:val="1"/>
                <w:rtl w:val="0"/>
              </w:rPr>
              <w:t xml:space="preserve">Copyright in the digital single market. Article-by-Article Commentary to the</w:t>
            </w:r>
            <w:r w:rsidR="00000000" w:rsidRPr="00000000" w:rsidDel="00000000">
              <w:rPr>
                <w:rtl w:val="0"/>
              </w:rPr>
              <w:t xml:space="preserve"> </w:t>
            </w:r>
            <w:r w:rsidR="00000000" w:rsidRPr="00000000" w:rsidDel="00000000">
              <w:rPr>
                <w:i w:val="1"/>
                <w:rtl w:val="0"/>
              </w:rPr>
              <w:t xml:space="preserve">Provisions of Directive 2019/790</w:t>
            </w:r>
            <w:r w:rsidR="00000000" w:rsidRPr="00000000" w:rsidDel="00000000">
              <w:rPr>
                <w:rtl w:val="0"/>
              </w:rPr>
              <w:t xml:space="preserve">. New York: Oxford University Press, 2021. – p. 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Autortiesību likuma 21. pantā minētais autortiesību ierobežojums attiecas uz izglītības iestādēm, kuras ir akreditētas vai saņēmušas attiecīgas licences izglītības programmas īstenošanai (arī privātai izglītības iestādei jābūt akreditētai).”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1. pants ir papildināts ar 12.2 punktu, kurā ir sniegta kultūras mantojuma institūcijas definīcija – bibliotēka, muzejs, arhīvs, kā arī filmu vai skaņu ierakstu mantojuma saglabāšanas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preambulas 13. apsvērumā noteikts, ka par kultūras mantojuma iestādēm ir uzskatāmas arī izglītības iestādes, pētniecības organizācijas un sabiedriskās raidorganizācijas, ciktāl runa ir par to arhīviem un publiski pieejamām bibliotēkām. Līdz ar to lūdzam attiecīgi papildināt 12.2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Autortiesību likuma 1. panta 12.</w:t>
            </w:r>
            <w:r w:rsidR="00000000" w:rsidRPr="00000000" w:rsidDel="00000000">
              <w:rPr>
                <w:vertAlign w:val="superscript"/>
                <w:rtl w:val="0"/>
              </w:rPr>
              <w:t xml:space="preserve">2</w:t>
            </w:r>
            <w:r w:rsidR="00000000" w:rsidRPr="00000000" w:rsidDel="00000000">
              <w:rPr>
                <w:rtl w:val="0"/>
              </w:rPr>
              <w:t xml:space="preserve">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kultūras mantojuma institūcija – publiski pieejama bibliotēka vai muzejs, arhīvs, tostarp izglītības iestādes, pētniecības organizācijas vai sabiedriskās raidorganizācijas bibliotēka un arhīvs, kā arī filmu vai skaņu ierakstu mantojuma saglabāšanas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45.</w:t>
            </w:r>
            <w:r w:rsidR="00000000" w:rsidRPr="00000000" w:rsidDel="00000000">
              <w:rPr>
                <w:vertAlign w:val="superscript"/>
                <w:rtl w:val="0"/>
              </w:rPr>
              <w:t xml:space="preserve">1</w:t>
            </w:r>
            <w:r w:rsidR="00000000" w:rsidRPr="00000000" w:rsidDel="00000000">
              <w:rPr>
                <w:rtl w:val="0"/>
              </w:rPr>
              <w:t xml:space="preserve"> pantu otro daļu jānorāda, ka Kultūras ministrija sniegtais komentārs – “Eiropas akadēmiskās vides pārstāvji ir skaidrojuši, ka aprakstošie termini “pienācīga” un “samērīga” ir kumulatīvi piemērojami atlīdzību raksturojoši elementi, kur katrs no tiem iztulkojams atsevišķi” - liecina, ka nav saprasta IFPI iebildumu būtība, kā rezultātā šīs priekšlikums ir noraidīts nepamatoti.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savus 2022.gada 25.marta priekšlikumos izteiktos argumentus, IFPI vēlas norādīt, ka atbilstoši (taisnīgu) atlīdzību veido pienācīga un samērīga atlīdzība ko piemēro kumulatīvi, taču Likumprojektā piedāvātā redakcijā ir nepamatoti atsevišķi izdalīts kritērijs - samērīgums no saņemtā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piedāvāta redakcija, kurā šis kritērijs netiek nepamatoti izdalīts no kopējā novērtējuma, izsakot 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izņēmuma tiesību vai iegūstamo darba izmantošanas tiesību ekonomiskajai vērtībai un tiesību vai darba izmantošanas rezultātā gūtajam mantiskajam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jāmaina anotācijas teksts attiecībā uz Likumprojekta 45.1 panta otro daļu, jo, pirmkārt, nav pamata atlīdzību samērot kā daļu (procentus) no tiesību vai darba izmantošanas rezultātā gūtā mantiskā labuma, jo atlīdzības apmēru nosaka tā brīža tirgus situācija un tam var nebūt piesaistes pie finansiālā gala iznākuma; otrkārt, ir jārunā par tieši attiecināmo mantisko labumu.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tiem argumentiem, ko Kultūras ministrija norādīja pēc Publiskās apspriešanas sagatavotajā Viedokļu apkopojumā, vēršam uzmanību, ka Eiropas akadēmiskās vides pārstāvji ir arī skaidrojuši, ka “samērīga” atlīdzība atspoguļo principu, ka atlīdzība ir daļa (procentos) no esošās vai potenciālās tiesību ekonomiskās vērtības (šis skaidrojums ir jau norādīts anotācijā). Tāpat Eiropas Komisija ir uzsvērusi, ka, pārņemot Digitālā vienotā tirgus direktīvas 18. pantu, dalībvalstīm ir pienākums savos normatīvajos aktos paredzēt abus kritērijus: “pienācīga” un “samērīga”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Autortiesību likuma 45.</w:t>
            </w:r>
            <w:r w:rsidR="00000000" w:rsidRPr="00000000" w:rsidDel="00000000">
              <w:rPr>
                <w:vertAlign w:val="superscript"/>
                <w:rtl w:val="0"/>
              </w:rPr>
              <w:t xml:space="preserve">1</w:t>
            </w:r>
            <w:r w:rsidR="00000000" w:rsidRPr="00000000" w:rsidDel="00000000">
              <w:rPr>
                <w:rtl w:val="0"/>
              </w:rPr>
              <w:t xml:space="preserve"> panta otrajā daļā iekļautais “samērīguma” skaidrojums atbilst Augstākās tiesas Civillietu departamenta 2017. gada 29. novembra spriedumā SKC‑136/2017 paustajai atziņai, ka taisnīgas atlīdzības noteikšanai izmantojamos kritērijus caurvij doma, ka autortiesību un blakustiesību subjektiem ir tiesības uz samērīgu daļu no mantiskā labuma, kas tiek gūts autortiesību vai blakustiesību objektu izmantošanas rezultātā (atziņa pausta par Autortiesību kolektīvā pārvaldījuma likuma 32. panta otrajā daļā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45.</w:t>
            </w:r>
            <w:r w:rsidR="00000000" w:rsidRPr="00000000" w:rsidDel="00000000">
              <w:rPr>
                <w:vertAlign w:val="superscript"/>
                <w:rtl w:val="0"/>
              </w:rPr>
              <w:t xml:space="preserve">1</w:t>
            </w:r>
            <w:r w:rsidR="00000000" w:rsidRPr="00000000" w:rsidDel="00000000">
              <w:rPr>
                <w:rtl w:val="0"/>
              </w:rPr>
              <w:t xml:space="preserve"> panta trešā daļa ir jāpapildina ar šādu norādi, ka “Taisnīgu atlīdzību var noteikt kā vienreizēju maksājumu.”, jo to paredz arī EIROPAS PARLAMENTA UN PADOMES DIREKTĪVAS (ES) 2019/790 (2019. gada 17. aprīlis) par autortiesībām un blakustiesībām digitālajā vienotajā tirgū un ar ko groza Direktīvas 96/9/EK un 2001/29/EK (turpmāk tekstā – Direktīva) 73.apsvērums un Direktīvas 18.panta 2.daļa.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mēģināts šo problēmu risināt ar Anotācijas teksta papildināšanu, taču praksē likuma piemērošanā primāri un pamatā piemēro pašu likuma tekstu. Līdz ar to šādu nozīmīgu jautājumu būtu vērtīgi iekļaut paša likuma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pēc Publiskās apspriešanas sagatavotajā Viedokļu apkopojumā, Digitālā vienotā tirgus direktīvas 18. panta 2. punkts neparedz pienākumu dalībvalstīm normatīvajos aktos noteikt, ka vienreizējs maksājums var būt taisnīga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preambulas 73. apsvērumā skaidrots, ka vienreizējs maksājums arī var būt taisnīga atlīdzība, ņemot vērā katras nozares specifiskos apstākļus, bet šādu praksi nevajadzētu uzskatīt par vispārēju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Darba grupā autortiesību normatīvā regulējuma pastāvīgai pilnveidei tika diskutēts par “nozares specifiskajiem apstākļiem”, kuri varētu būt par pamatu vienreizējas atlīdzības noteikšanai, taču vienošanās par minēto jautājumu netika panākta. Līdz ar to tika nolemts, ka skaidrojums par vienreizēju maksājumu kā taisnīgu atlīdzību tiks iekļauts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45.</w:t>
            </w:r>
            <w:r w:rsidR="00000000" w:rsidRPr="00000000" w:rsidDel="00000000">
              <w:rPr>
                <w:vertAlign w:val="superscript"/>
                <w:rtl w:val="0"/>
              </w:rPr>
              <w:t xml:space="preserve">1</w:t>
            </w:r>
            <w:r w:rsidR="00000000" w:rsidRPr="00000000" w:rsidDel="00000000">
              <w:rPr>
                <w:rtl w:val="0"/>
              </w:rPr>
              <w:t xml:space="preserve"> panta ceturtā daļa būtu izslēdzama, jo tā rada jaunu institūtu “līguma grozīšana” un faktiski iespēju “apstrīdēt” noteiktās un visdrīzāk jau izmaksātās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sniegtais komentārs attiecībā uz šo priekšlikumu liecina, ka nav saprasta IFPI iebildumu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18. panta 2.punktā paredzētais dalībvalstu mehānisms, lai īstenotu “pienācīgas un samērīgas atlīdzības principu”, ir jau iekļauts Likumprojekta piedāvātā panta sestajā daļā. Tas atbilst Direktīvas 20.pantam, kas paredz līguma koriģēšanu (adjustment) attiecībā uz atlīdzības apmēru un nevis noslēgtā līguma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tā, ka nav skaidrs, kad šādas tiesības rodas un cik ilgi šādas tiesības pastāv un kāds ir noilguma termiņš, piedāvātā redakcija faktiski rada iespējas autoram nākamajā dienā pēc līguma noslēgšanas pieprasīt līguma grozījumus, kas nav Direktīvas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nevar piekrist IFPI redzējumam, ka Digitālā vienotā tirgus direktīvas 18. panta 2. punktā paredzētais mehānisms jau iekļauts Likumprojekta 45.</w:t>
            </w:r>
            <w:r w:rsidR="00000000" w:rsidRPr="00000000" w:rsidDel="00000000">
              <w:rPr>
                <w:vertAlign w:val="superscript"/>
                <w:rtl w:val="0"/>
              </w:rPr>
              <w:t xml:space="preserve">1</w:t>
            </w:r>
            <w:r w:rsidR="00000000" w:rsidRPr="00000000" w:rsidDel="00000000">
              <w:rPr>
                <w:rtl w:val="0"/>
              </w:rPr>
              <w:t xml:space="preserve"> panta sestajā daļā un tas atbilst direktīvas 20.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18. pants paredz vispārēju pienācīgas un samērīgas atlīdzības principu, un ES dalībvalstis ir tiesīgas šo principu īstenot dažādos veidos (piemēram, paredzot iespēju par šādu atlīdzību vienoties nozaru kolektīvās vienošanās ietvaros vai nosakot neatsavināmas tiesības uz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20. pants regulē specifisku gadījumu – tiesības prasīt papildu atlīdzību, ja līgumā sākotnēji noteiktā atlīdzība izrādījusies nesamērīgi maza, salīdzinot ar visiem ieņēmumiem, kas pēc līguma noslēgšanas gūti tiesību vai darba izmantošanas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norādīto abu normu iztulkojumu apstiprina arī Eiropas akadēmiskās vides pārstāvji (European Copyright Society. </w:t>
            </w:r>
            <w:r w:rsidR="00000000" w:rsidRPr="00000000" w:rsidDel="00000000">
              <w:rPr>
                <w:i w:val="1"/>
                <w:rtl w:val="0"/>
              </w:rPr>
              <w:t xml:space="preserve">Comment of the European Copyright Society on Arts. 18 to 22 DSM-D</w:t>
            </w:r>
            <w:r w:rsidR="00000000" w:rsidRPr="00000000" w:rsidDel="00000000">
              <w:rPr>
                <w:rtl w:val="0"/>
              </w:rPr>
              <w:t xml:space="preserve">, 11 (2020) JIPITEC 132, para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attiecībā uz apgalvojumu, ka Likumprojekta 45.</w:t>
            </w:r>
            <w:r w:rsidR="00000000" w:rsidRPr="00000000" w:rsidDel="00000000">
              <w:rPr>
                <w:vertAlign w:val="superscript"/>
                <w:rtl w:val="0"/>
              </w:rPr>
              <w:t xml:space="preserve">1</w:t>
            </w:r>
            <w:r w:rsidR="00000000" w:rsidRPr="00000000" w:rsidDel="00000000">
              <w:rPr>
                <w:rtl w:val="0"/>
              </w:rPr>
              <w:t xml:space="preserve"> panta ceturtā daļa būtu izslēdzama, jo tā rada jaunu institūtu “līguma grozīšana” un faktiski iespēju “apstrīdēt” noteiktās un visdrīzāk jau izmaksātās atlīdzības apmēru, vēršam uzmanību, ka līguma grozīšana pirmstiesas attiecībās ir ierasta prakse. Līdzīgs regulējums paredzēts arī Vācijas Autortiesību un blakustiesību likumā (sk. 32.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apgalvojumu, ka piedāvātā redakcija faktiski rada iespējas autoram nākamajā dienā pēc līguma noslēgšanas pieprasīt līguma grozījumus, Kultūras ministrijas ieskatā, šāds risks ir minimāls. Vienlaikus nav pamata likumā noteikt termiņu, kura laikā netaisnīgi līguma noteikumi būtu pieļaujami (proti, nebūtu iespējas apstrīdēt līgumu, kurā nav noteikta taisnīga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45.</w:t>
            </w:r>
            <w:r w:rsidR="00000000" w:rsidRPr="00000000" w:rsidDel="00000000">
              <w:rPr>
                <w:vertAlign w:val="superscript"/>
                <w:rtl w:val="0"/>
              </w:rPr>
              <w:t xml:space="preserve">1</w:t>
            </w:r>
            <w:r w:rsidR="00000000" w:rsidRPr="00000000" w:rsidDel="00000000">
              <w:rPr>
                <w:rtl w:val="0"/>
              </w:rPr>
              <w:t xml:space="preserve"> panta sestās daļas 1.teikumā būtu svītrojams vārds “visiem”, jo direktīvas mērķis ir paredzēt papildus tiesības pieprasīt papildus atlīdzību tikai saistībā ar tiem ieņēmumiem, kas ir gūti tieši no darba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neprecīzi citē Digitālās vienotā tirgus direktīvas preambulas 78.apsvērumu. Latviešu tekstā ir norādīts, ka “Novērtējot to, vai atlīdzība ir nesamērīgi zema, būtu jāņem vērā visi attiecīgajā lietā būtiskie ieņēmumi …”. Savukārt, angļu valodas tekstā ir norādīts uz atbilstošiem (relevant) ienākumiem no darbu izmantošanas  - “All revenues relevant to the case in question…”.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papildinājums nenovērš Likumprojekta teksta neatbilstību, kā rezultātā likuma tekstam tiks dota priekšroka. Tādēļ attiecīgi šī daļa būtu izsakāma analoģiski Autortiesību kolektīvā pārvaldījuma likuma 32.panta otrajā daļai, šādā redakcijā: ”Autoram neatkarīgi no šā panta pirmajā daļā minētajām tiesībām ir tiesības pieprasīt papildu atlīdzību, ja līgumā noteiktā atlīdzība ir nesamērīgi maza, salīdzinot ar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45.</w:t>
            </w:r>
            <w:r w:rsidR="00000000" w:rsidRPr="00000000" w:rsidDel="00000000">
              <w:rPr>
                <w:vertAlign w:val="superscript"/>
                <w:rtl w:val="0"/>
              </w:rPr>
              <w:t xml:space="preserve">1</w:t>
            </w:r>
            <w:r w:rsidR="00000000" w:rsidRPr="00000000" w:rsidDel="00000000">
              <w:rPr>
                <w:rtl w:val="0"/>
              </w:rPr>
              <w:t xml:space="preserve"> panta sestā daļa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priekšlikumam svītrot 45.</w:t>
            </w:r>
            <w:r w:rsidR="00000000" w:rsidRPr="00000000" w:rsidDel="00000000">
              <w:rPr>
                <w:vertAlign w:val="superscript"/>
                <w:rtl w:val="0"/>
              </w:rPr>
              <w:t xml:space="preserve">1</w:t>
            </w:r>
            <w:r w:rsidR="00000000" w:rsidRPr="00000000" w:rsidDel="00000000">
              <w:rPr>
                <w:rtl w:val="0"/>
              </w:rPr>
              <w:t xml:space="preserve">  panta sestās daļas pirmajā teikumā vārdu “visiem”, jo tas precīzi atbilst Digitālā vienotā tirgus direktīvas 20. panta 1. punkta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 norādīts, ka nav ņemts vērā IFPI norādītais attiecībā uz Likumprojekta 45.</w:t>
            </w:r>
            <w:r w:rsidR="00000000" w:rsidRPr="00000000" w:rsidDel="00000000">
              <w:rPr>
                <w:vertAlign w:val="superscript"/>
                <w:rtl w:val="0"/>
              </w:rPr>
              <w:t xml:space="preserve">1</w:t>
            </w:r>
            <w:r w:rsidR="00000000" w:rsidRPr="00000000" w:rsidDel="00000000">
              <w:rPr>
                <w:rtl w:val="0"/>
              </w:rPr>
              <w:t xml:space="preserve"> pantu “Taisnīga atlīdzība par mantisko izņēmuma tiesību atsavināšanu vai darba izmantošanu”. Pārskatā norādīts, ka Digitālā vienotā tirgus direktīvas (turpmāk tekstā – Direktīva) 18.pants paredz pienācīgas un samērīgas atlīdzības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45.</w:t>
            </w:r>
            <w:r w:rsidR="00000000" w:rsidRPr="00000000" w:rsidDel="00000000">
              <w:rPr>
                <w:vertAlign w:val="superscript"/>
                <w:rtl w:val="0"/>
              </w:rPr>
              <w:t xml:space="preserve">1</w:t>
            </w:r>
            <w:r w:rsidR="00000000" w:rsidRPr="00000000" w:rsidDel="00000000">
              <w:rPr>
                <w:rtl w:val="0"/>
              </w:rPr>
              <w:t xml:space="preserve"> pantu otrajai daļai, tās redakcija ir noteikts, ka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savus 2022.gada 25.marta un 2022.gada 10.maija priekšlikumos izteiktos argumentus, IFPI vēlas norādīt, ka atbilstoši (taisnīgu) atlīdzību veido pienācīga un samērīga atlīdzība ko piemēro kumulatīvi, taču Likumprojektā piedāvātā redakcijā ir nepamatoti atsevišķi izdalīts kritērijs – samērīgums no saņemtā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piedāvāta redakcija, kurā šis kritērijs netiek nepamatoti izdalīts no kopējā novērtējuma, izsakot 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izņēmuma tiesību vai iegūstamo darba izmantošanas tiesību ekonomiskajai vērtībai un tiesību vai darba izmantošanas rezultātā gūtajam mantiskajam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būtu jāmaina anotācijas teksta daļa attiecībā uz Likumprojekta 45.</w:t>
            </w:r>
            <w:r w:rsidR="00000000" w:rsidRPr="00000000" w:rsidDel="00000000">
              <w:rPr>
                <w:vertAlign w:val="superscript"/>
                <w:rtl w:val="0"/>
              </w:rPr>
              <w:t xml:space="preserve">1</w:t>
            </w:r>
            <w:r w:rsidR="00000000" w:rsidRPr="00000000" w:rsidDel="00000000">
              <w:rPr>
                <w:rtl w:val="0"/>
              </w:rPr>
              <w:t xml:space="preserve"> panta otro daļu uz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 </w:t>
            </w:r>
            <w:r w:rsidR="00000000" w:rsidRPr="00000000" w:rsidDel="00000000">
              <w:rPr>
                <w:rtl w:val="0"/>
              </w:rPr>
              <w:t xml:space="preserve">panta otrajā daļā skaidrots jēdziena “taisnīga atlīdzība” tvērums, aptverot gan “pienācīgumu”, gan “samērīgumu” raksturojošos nosacījumus. Tādējādi atlīdzība ir taisnīga, ja tā atbilst iegūstamo tiesību ekonomiskajai vērtībai vai darba izmantošanas rezultātā tieši gūtajam mantiskajam labumam. Atbilstoši Digitālā vienotā tirgus direktīvas preambulas 73. apsvērumam vienreizējs maksājums arī var būt taisnīga atlīdzība, ņemot vērā katras nozares specifiskos apstākļus, bet šādu praksi nevajadzētu uzskatīt par vispārēju principu. Vienlaikus mantisko tiesību atsavināšanas līgumos vienreizējs maksājums varētu būt atbilstošs risinājums (Gulbis R. Sagaidāmie Latvijas autortiesību regulējuma grozījumi un to ietekme uz autortiesību strīdu izskatīšanu tiesā. Latvijas Republikas Augstākās tiesas biļetens Nr.21/2020 – 76.lpp.; pieejams šeit:  https://www.at.gov.lv/files/uploads/files/2_Par_Augstako_tiesu/Informativie_materiali/AT_biletens21_web(1).pdf).”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pirmkārt, nav pamata atlīdzību samērot kā daļu (procentus) no tiesību vai darba izmantošanas rezultātā gūtā mantiskā labuma, jo atlīdzības apmēru nosaka tā brīža tirgus situācija un tam var nebūt piesaistes pie finansiālā gala iznākuma; otrkārt, ir jārunā par tieši attiecināmo mantisko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nav noteikta kārtība, kādā līgumslēdzējas puses cenšas panākt atbilstošu un samērīgu atlīdzību savās līgumattiecībās. Nekas no Direktīvas neparedz dalībvalstīm noteikt ieņēmumu daļas atlīdzību, kā tas tiek darīts ar jauno ierosināto 45.1 pantu, ja līgumā nav panākta vienošanās par atlīdzības līmeni. Direktīvas angļu valodas versijā pieņemtais jēdziens, t.i., “proporcionāla atlīdzība”, kas nav tas pats, kas “proporcionāls”, ir jāsaprot kā “godīgs” vai “taisnīgs” (t.i., nav nesamērīgs), nevis norāda uz daļu vai ieņēmumu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Direktīvas noteikumi būtu jāīsteno un jāpiemēro tā, lai būtu iespējamas dažādas Eiropas Savienības tirgus prakses, tostarp turpinātu izmantot vienreizējus maksājumus, un būtu jāņem vērā attiecīgo autoru vai izpildītāju ieguldījuma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mūzikas industrijas ekonomikā būtiska iezīme ir mākslinieku atalgojuma mainīgais veids, kas ir atkarīgs no tā, vai autora vai izpildītāja ieguldījums tieši ietekmētu darba vai izpildījuma vispārējos panākumus vai arī ieguldījumu varētu aizstāt ar cita autora vai izpildītāja ieguldījumu, neietekmējot darba vai izpildījuma komerciālos panākumus. Tēlotajiem māksliniekiem, kuri piedalās ieraksta finansiālajā riskantā, un kuru personīgais ieguldījums ietekmē ieraksta komerciālos panākumus, parasti maksā daļu no ieņēmumiem, kas gūti no attiecīgā ieraksta komerciālās izmantošanas. Izpildītājiem, kuru ieguldījumu varētu aizstāt ar cita izpildītāja ieguldījumu, neietekmējot izpildījuma komerciālos panākumus, ieraksta veikšanas brīdī parasti maksā vienreizēju maksājumu. Tādējādi šie izpildītāji netiek aicināti dalīties ieraksta finansiālajā riskantā. Tie tiek apmaksāti avansā, un tie saglabā savu maksājumu neatkarīgi no tā, vai ieraksts tiešām izdodas vai neizdodas (un lielākā daļa to nedara).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atbilst Direktīvai, kurā skaidri noteikts, ka dažādi atlīdzības veidi, kas atspoguļo autora vai izpildītāja ieguldījumu, var atbilst atbilstošas un samērīgas atlīdzības principam. Proti, kā minēts iepriekš, pašā Direktīvā autoram vai izpildītājam izmaksātajai atlīdzībai būtu jāņem vērā “licencēto vai nodoto tiesību faktiskā vai potenciālā ekonomiskā vērtība, ņemot vērā autora vai izpildītāja ieguldījumu kopējā darbā vai citā priekšmetā un visus pārējos lietas apstākļus, piemēram, tirgus praksi vai darba faktisko izmantošanu” (Direktīvas preambulas 73.apsvērums).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turpina uzturēt savus 10.05.2022. atzinumā paustos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07.09.2021. Ministru kabineta noteikumu Nr. 606 “Ministru kabineta kārtības rullis” 65. punktu projektu uzskata par saskaņotu, ja institūcija izteikusi tikai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IFPI norādītais, ka Likumprojekta 45.</w:t>
            </w:r>
            <w:r w:rsidR="00000000" w:rsidRPr="00000000" w:rsidDel="00000000">
              <w:rPr>
                <w:vertAlign w:val="superscript"/>
                <w:rtl w:val="0"/>
              </w:rPr>
              <w:t xml:space="preserve">1</w:t>
            </w:r>
            <w:r w:rsidR="00000000" w:rsidRPr="00000000" w:rsidDel="00000000">
              <w:rPr>
                <w:rtl w:val="0"/>
              </w:rPr>
              <w:t xml:space="preserve"> panta ceturtā daļa būtu izslēdzama, jo tā rada jaunu institūtu “līguma grozīšana” un faktiski iespēju “apstrīdēt” noteiktās un visdrīzāk jau izmaksātās atlīdzības apmēru. Piedāvātā redakcijas satura ziņā arī līdzinās Direktīvas 20.pantā paredzētajam koriģēšanas (adjustment) iespējai attiecībā uz papildu atlīdzību, kas jau ir iekļauts Likumprojekta piedāvātā panta sestajā daļā un kas nav noslēgtā līguma grozīšana.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plānots nodrošināt Direktīvas 18.panta 2.punkts paredzētās tiesības dalībvalstīm brīvi izmantot dažādus mehānismus, lai īstenotu “pienācīgas un samērīgas atlīdzības principu”, tad šeit varētu izmantot kā analoģiju Civillikuma 2042.pantu. Šajā gadījumā šīs daļas pirmais teikums varētu būt izteikts šādā redakcijā: “ (4) Ja starp autoru un tiesību pārņēmēju vai licenciātu rodas strīds par to, vai līgumā noteiktā atlīdzība ir taisnīga atlīdzība, autoram ir tiesības prasīt tiesību pārņēmējam vai licenciātam noteikt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ne pašā likumprojektā, ne anotācijā nav rodama skaidrība par to, kad šādas tiesības rodas un cik ilgi šādas tiesības pastāv un kāds to ir noilguma termiņš. Piedāvātā redakcija faktiski rada nenoteiktību, jo tā rada iespējas autoram nākamajā dienā pēc līguma noslēgšanas pieprasīt līguma grozījumus, kas nav Direktīvas mērķis, vai arī šādu lūgumu izteikt pusgadu pirms vispārējā 10 gadu noilguma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turpina uzturēt savus 10.05.2022. atzinumā paustos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07.09.2021. Ministru kabineta noteikumu Nr. 606 “Ministru kabineta kārtības rullis” 65. punktu projektu uzskata par saskaņotu, ja institūcija izteikusi tikai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45.</w:t>
            </w:r>
            <w:r w:rsidR="00000000" w:rsidRPr="00000000" w:rsidDel="00000000">
              <w:rPr>
                <w:vertAlign w:val="superscript"/>
                <w:rtl w:val="0"/>
              </w:rPr>
              <w:t xml:space="preserve">1 </w:t>
            </w:r>
            <w:r w:rsidR="00000000" w:rsidRPr="00000000" w:rsidDel="00000000">
              <w:rPr>
                <w:rtl w:val="0"/>
              </w:rPr>
              <w:t xml:space="preserve">panta sestās daļas 1.teikumā būtu svītrojams vārds “visiem”, jo tas var radīt pārpratumus sakarā ar to, ka direktīvas mērķis ir paredzēt papildus tiesības pieprasīt papildus atlīdzību tikai saistībā ar tiem ieņēmumiem, kas ir gūti tieši no darba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attiecīgi šī daļa būtu izsakāma analoģiski Autortiesību kolektīvā pārvaldījuma likuma 32.panta otrajā daļai, šādā redakcijā: ”Autoram neatkarīgi no šā panta pirmajā daļā minētajām tiesībām ir tiesības pieprasīt papildu atlīdzību, ja līgumā noteiktā atlīdzība ir nesamērīgi maza, salīdzinot ar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turpina uzturēt savus 10.05.2022. atzinumā paustos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07.09.2021. Ministru kabineta noteikumu Nr. 606 “Ministru kabineta kārtības rullis” 65. punktu projektu uzskata par saskaņotu, ja institūcija izteikusi tikai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1</w:t>
            </w:r>
            <w:r w:rsidR="00000000" w:rsidRPr="00000000" w:rsidDel="00000000">
              <w:rPr>
                <w:b w:val="1"/>
                <w:rtl w:val="0"/>
              </w:rPr>
              <w:t xml:space="preserve"> pants. Taisnīga atlīdzība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starp autoru un tiesību pārņēmēju vai licenciātu rodas strīds par to, vai līgumā noteiktā atlīdzība ir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tieši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45.</w:t>
            </w:r>
            <w:r w:rsidR="00000000" w:rsidRPr="00000000" w:rsidDel="00000000">
              <w:rPr>
                <w:vertAlign w:val="superscript"/>
                <w:rtl w:val="0"/>
              </w:rPr>
              <w:t xml:space="preserve">2</w:t>
            </w:r>
            <w:r w:rsidR="00000000" w:rsidRPr="00000000" w:rsidDel="00000000">
              <w:rPr>
                <w:rtl w:val="0"/>
              </w:rPr>
              <w:t xml:space="preserve"> panta pirmajā daļa būtu jāpapildina no Direktīvas iztrūkstošo vārdu “nepieciešamais”.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Pārskatā norādītais arguments par atbilstības Digitālā vienotā tirgus direktīvas 19.panta 1.punktam nodrošināšanu man pamatots, jo direktīvas 19.panta 1.punktā ir norāde uz relevantu informāciju. Līdz ar to šīs prasības izpildei ir nepieciešams papildināt šī panta daļu ar attiecīgu tekstu un izteikt 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nepieciešamo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19. panta 1. punktā paredzēts pienākums sniegt autoram relevantu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angļu valodas versijā izmantotā īpašības vārda “</w:t>
            </w:r>
            <w:r w:rsidR="00000000" w:rsidRPr="00000000" w:rsidDel="00000000">
              <w:rPr>
                <w:i w:val="1"/>
                <w:rtl w:val="0"/>
              </w:rPr>
              <w:t xml:space="preserve">relevant</w:t>
            </w:r>
            <w:r w:rsidR="00000000" w:rsidRPr="00000000" w:rsidDel="00000000">
              <w:rPr>
                <w:rtl w:val="0"/>
              </w:rPr>
              <w:t xml:space="preserve">” pirmā nozīme latviešu valodā ir “attiecīgs” (sk. www.hugo.lv; arī </w:t>
            </w:r>
            <w:r w:rsidR="00000000" w:rsidRPr="00000000" w:rsidDel="00000000">
              <w:rPr>
                <w:i w:val="1"/>
                <w:rtl w:val="0"/>
              </w:rPr>
              <w:t xml:space="preserve">Cambridge dictionary</w:t>
            </w:r>
            <w:r w:rsidR="00000000" w:rsidRPr="00000000" w:rsidDel="00000000">
              <w:rPr>
                <w:rtl w:val="0"/>
              </w:rPr>
              <w:t xml:space="preserve"> tiešsaistē pieejamo minētā īpašības vārda skaidrojumu). Šajā kontekstā domāta “informācija, kas attiecas uz konkrēto autoru” (viņa darba izmantojumu un šī izmantojuma rezultātā gūtajiem ieņēmumiem, kā arī autoram pienākošos atlīdzību), bet ne “autoram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piedāvātā 45.</w:t>
            </w:r>
            <w:r w:rsidR="00000000" w:rsidRPr="00000000" w:rsidDel="00000000">
              <w:rPr>
                <w:vertAlign w:val="superscript"/>
                <w:rtl w:val="0"/>
              </w:rPr>
              <w:t xml:space="preserve">2</w:t>
            </w:r>
            <w:r w:rsidR="00000000" w:rsidRPr="00000000" w:rsidDel="00000000">
              <w:rPr>
                <w:rtl w:val="0"/>
              </w:rPr>
              <w:t xml:space="preserve"> panta pirmās daļas redakcija ir kompromisa risinājums, par kuru panākta vienošanās Darba grupā autortiesību normatīvā regulējuma pastāvīgai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“Sniedzama tāda informācija, kas attiecas uz konkrēto autoru (viņa darba izmantojumu un šī izmantojuma rezultātā gūtajiem ieņēmumiem, kā arī autoram pienākošos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uztur savus argumentus attiecībā uz Likumprojekta 45.</w:t>
            </w:r>
            <w:r w:rsidR="00000000" w:rsidRPr="00000000" w:rsidDel="00000000">
              <w:rPr>
                <w:vertAlign w:val="superscript"/>
                <w:rtl w:val="0"/>
              </w:rPr>
              <w:t xml:space="preserve">2</w:t>
            </w:r>
            <w:r w:rsidR="00000000" w:rsidRPr="00000000" w:rsidDel="00000000">
              <w:rPr>
                <w:rtl w:val="0"/>
              </w:rPr>
              <w:t xml:space="preserve"> panta otro un trešo daļu, jo norāde, ka Darba grupā autortiesību normatīvā regulējuma pastāvīgai pilnveidei tika atbalstīts Autortiesību likuma 45.</w:t>
            </w:r>
            <w:r w:rsidR="00000000" w:rsidRPr="00000000" w:rsidDel="00000000">
              <w:rPr>
                <w:vertAlign w:val="superscript"/>
                <w:rtl w:val="0"/>
              </w:rPr>
              <w:t xml:space="preserve">2</w:t>
            </w:r>
            <w:r w:rsidR="00000000" w:rsidRPr="00000000" w:rsidDel="00000000">
              <w:rPr>
                <w:rtl w:val="0"/>
              </w:rPr>
              <w:t xml:space="preserve"> panta otrajā un trešajā daļā paredzētais risinājums, nesatur pretargumentus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45.</w:t>
            </w:r>
            <w:r w:rsidR="00000000" w:rsidRPr="00000000" w:rsidDel="00000000">
              <w:rPr>
                <w:vertAlign w:val="superscript"/>
                <w:rtl w:val="0"/>
              </w:rPr>
              <w:t xml:space="preserve">2</w:t>
            </w:r>
            <w:r w:rsidR="00000000" w:rsidRPr="00000000" w:rsidDel="00000000">
              <w:rPr>
                <w:rtl w:val="0"/>
              </w:rPr>
              <w:t xml:space="preserve"> panta otrās daļas ir izslēdzami vārdi – “nekavējoties”, jo direktīva nesatur šādu prasību, savukārt, mūsdienu informācijas uzkrāšanas vai apziņošanas sistēmas var tikt veidotas automatizētas ar noteiktu atjaunošanas ciklu. Tāpat ir pamats piemērot Direktīvas 19.panta otrajā daļā paredzēto iespēju pieprasījumu licences saņēmējam ar līgumpartnera starpniecību, tādēļ ir ieteikums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sniedz viņam informāciju par licenciātu (vārdu, uzvārdu vai nosaukumu). Licenciātam pēc autora vai autora pārstāvja pieprasījuma, kas tiek veikts caur pirmo līgumpartneri, ir pienākums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45.</w:t>
            </w:r>
            <w:r w:rsidR="00000000" w:rsidRPr="00000000" w:rsidDel="00000000">
              <w:rPr>
                <w:vertAlign w:val="superscript"/>
                <w:rtl w:val="0"/>
              </w:rPr>
              <w:t xml:space="preserve">2 </w:t>
            </w:r>
            <w:r w:rsidR="00000000" w:rsidRPr="00000000" w:rsidDel="00000000">
              <w:rPr>
                <w:rtl w:val="0"/>
              </w:rPr>
              <w:t xml:space="preserve">panta trešās daļas ir izslēdzami vārdi – “nekavējoties”, jo direktīva nesatur šādu prasību, savukārt, mūsdienu informācijas uzkrāšanas vai apziņošanas sistēmas var tikt veidotas automatizētas ar noteiktu atjaunošanas ciklu. Tāpat ir pamats piemērot Direktīvas 19.panta otrajā daļā paredzēto iespēju pieprasījumu apakšlicences saņēmējam ar līgumpartnera starpniecību. Tādēļ ir ieteikums trešo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sniedz viņam informāciju par apakšlicences saņēmēju (vārdu, uzvārdu vai nosaukumu). Apakšlicences saņēmējam pēc autora vai autora pārstāvja pieprasījuma, kas tiek veikts caur pirmo līgumpartneri, ir pienākums sniegt viņam šā panta pirmajā daļā norādīto informāciju, kura ir apakšlicences saņēmēja rīcībā.“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autortiesību normatīvā regulējuma pastāvīgai pilnveidei tika nolemts, ka autoru un izpildītāju interesēs ir būtiski paredzēt pienākumu sniegt 45.</w:t>
            </w:r>
            <w:r w:rsidR="00000000" w:rsidRPr="00000000" w:rsidDel="00000000">
              <w:rPr>
                <w:vertAlign w:val="superscript"/>
                <w:rtl w:val="0"/>
              </w:rPr>
              <w:t xml:space="preserve">2</w:t>
            </w:r>
            <w:r w:rsidR="00000000" w:rsidRPr="00000000" w:rsidDel="00000000">
              <w:rPr>
                <w:rtl w:val="0"/>
              </w:rPr>
              <w:t xml:space="preserve"> pantā paredzēto informāciju autoram “nekavējoties”, proti, tiklīdz tas ir iespējams. Vienlaikus šajā pantā nav noteikti konkrēti termiņi, tādējādi nodrošinot zināmu elastību tiesību pārņēmējam vai licenciātam.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darba grupā tika nolemts izmantot Digitālā vienotā tirgus direktīvas 19. panta 2. punkta trešajā rindkopā paredzēto izvēles iespēju – noteikt, ka autoram ir tiesības pieprasīt informāciju no licenciāta vai apakšlicences saņēmēja tieši, nevis netieši - ar pirmā līgumpartnera starpniecību.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nav ņēmusi vērā IFPI iesniegtos komentārus, kas attiecas uz Likumprojekta 45.</w:t>
            </w:r>
            <w:r w:rsidR="00000000" w:rsidRPr="00000000" w:rsidDel="00000000">
              <w:rPr>
                <w:vertAlign w:val="superscript"/>
                <w:rtl w:val="0"/>
              </w:rPr>
              <w:t xml:space="preserve">2</w:t>
            </w:r>
            <w:r w:rsidR="00000000" w:rsidRPr="00000000" w:rsidDel="00000000">
              <w:rPr>
                <w:rtl w:val="0"/>
              </w:rPr>
              <w:t xml:space="preserve"> pantu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bija norādījusi IFPI, Likumprojekta 45.</w:t>
            </w:r>
            <w:r w:rsidR="00000000" w:rsidRPr="00000000" w:rsidDel="00000000">
              <w:rPr>
                <w:vertAlign w:val="superscript"/>
                <w:rtl w:val="0"/>
              </w:rPr>
              <w:t xml:space="preserve">2</w:t>
            </w:r>
            <w:r w:rsidR="00000000" w:rsidRPr="00000000" w:rsidDel="00000000">
              <w:rPr>
                <w:rtl w:val="0"/>
              </w:rPr>
              <w:t xml:space="preserve"> panta pirmajā daļa būtu jāpapildina no Direktīvas iztrūkstošo vārdu “nepieciešamais”.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 norādīts, ka Direktīvas 19.panta 1.punktā noteikts pienākums sniegt autoriem “atjauninātu, atbilstošu un visaptverošu informāciju”. Autortiesību likuma 45.</w:t>
            </w:r>
            <w:r w:rsidR="00000000" w:rsidRPr="00000000" w:rsidDel="00000000">
              <w:rPr>
                <w:vertAlign w:val="superscript"/>
                <w:rtl w:val="0"/>
              </w:rPr>
              <w:t xml:space="preserve">2</w:t>
            </w:r>
            <w:r w:rsidR="00000000" w:rsidRPr="00000000" w:rsidDel="00000000">
              <w:rPr>
                <w:rtl w:val="0"/>
              </w:rPr>
              <w:t xml:space="preserve"> panta pirmajā daļā izmantoto aprakstošo terminu “aktuāls” saprot gan kā “pašreizējā brīdī nozīmīgs” (tātad – var pielīdzināt terminam “atbilstošs” vai “nepieciešams”), gan kā “pašreizējam brīdim “raksturīgs” (tātad – var pielīdzināt terminam “atjaunināts”). Līdz ar to atbilstība Digitālā vienotā tirgus Direktīvas 19.panta 1.punktam ir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Pārskatā norādītais arguments par atbilstības Direktīvas 19.panta 1.punktam nodrošināšanu nav pamatots, jo Direktīvas 19.panta 1.punktā ir norāde uz relevantu informāciju. Līdz ar to šīs prasības izpildei ir nepieciešams papildināt šī panta daļu ar attiecīgu tekstu un izteikt 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w:t>
            </w:r>
            <w:r w:rsidR="00000000" w:rsidRPr="00000000" w:rsidDel="00000000">
              <w:rPr>
                <w:u w:val="single"/>
                <w:rtl w:val="0"/>
              </w:rPr>
              <w:t xml:space="preserve">nepieciešamo</w:t>
            </w:r>
            <w:r w:rsidR="00000000" w:rsidRPr="00000000" w:rsidDel="00000000">
              <w:rPr>
                <w:rtl w:val="0"/>
              </w:rPr>
              <w:t xml:space="preserve">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vienotā tirgus direktīvas 19. panta 1. punktā paredzēts pienākums sniegt autoram relevantu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angļu valodas versijā izmantotā īpašības vārda “</w:t>
            </w:r>
            <w:r w:rsidR="00000000" w:rsidRPr="00000000" w:rsidDel="00000000">
              <w:rPr>
                <w:i w:val="1"/>
                <w:rtl w:val="0"/>
              </w:rPr>
              <w:t xml:space="preserve">relevant</w:t>
            </w:r>
            <w:r w:rsidR="00000000" w:rsidRPr="00000000" w:rsidDel="00000000">
              <w:rPr>
                <w:rtl w:val="0"/>
              </w:rPr>
              <w:t xml:space="preserve">” pirmā nozīme latviešu valodā ir “attiecīgs” (sk. www.hugo.lv; arī </w:t>
            </w:r>
            <w:r w:rsidR="00000000" w:rsidRPr="00000000" w:rsidDel="00000000">
              <w:rPr>
                <w:i w:val="1"/>
                <w:rtl w:val="0"/>
              </w:rPr>
              <w:t xml:space="preserve">Cambridge dictionary</w:t>
            </w:r>
            <w:r w:rsidR="00000000" w:rsidRPr="00000000" w:rsidDel="00000000">
              <w:rPr>
                <w:rtl w:val="0"/>
              </w:rPr>
              <w:t xml:space="preserve"> tiešsaistē pieejamo minētā īpašības vārda skaidrojumu). Šajā kontekstā domāta “informācija, kas attiecas uz konkrēto autoru” (viņa darba izmantojumu un šī izmantojuma rezultātā gūtajiem ieņēmumiem, kā arī autoram pienākošos atlīdzību), bet ne “autoram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piedāvātā 45.</w:t>
            </w:r>
            <w:r w:rsidR="00000000" w:rsidRPr="00000000" w:rsidDel="00000000">
              <w:rPr>
                <w:vertAlign w:val="superscript"/>
                <w:rtl w:val="0"/>
              </w:rPr>
              <w:t xml:space="preserve">2</w:t>
            </w:r>
            <w:r w:rsidR="00000000" w:rsidRPr="00000000" w:rsidDel="00000000">
              <w:rPr>
                <w:rtl w:val="0"/>
              </w:rPr>
              <w:t xml:space="preserve"> panta pirmās daļas redakcija ir kompromisa risinājums, par kuru panākta vienošanās Darba grupā autortiesību normatīvā regulējuma pastāvīgai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“Sniedzama tāda informācija, kas attiecas uz konkrēto autoru (viņa darba izmantojumu un šī izmantojuma rezultātā gūtajiem ieņēmumiem, kā arī autoram pienākošos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uztur savus argumentus attiecībā uz Likumprojekta 45.</w:t>
            </w:r>
            <w:r w:rsidR="00000000" w:rsidRPr="00000000" w:rsidDel="00000000">
              <w:rPr>
                <w:vertAlign w:val="superscript"/>
                <w:rtl w:val="0"/>
              </w:rPr>
              <w:t xml:space="preserve">2</w:t>
            </w:r>
            <w:r w:rsidR="00000000" w:rsidRPr="00000000" w:rsidDel="00000000">
              <w:rPr>
                <w:rtl w:val="0"/>
              </w:rPr>
              <w:t xml:space="preserve"> panta otro un trešo daļu, jo norāde, ka Darba grupā autortiesību normatīvā regulējuma pastāvīgai pilnveidei tika atbalstīts Autortiesību likuma 45.</w:t>
            </w:r>
            <w:r w:rsidR="00000000" w:rsidRPr="00000000" w:rsidDel="00000000">
              <w:rPr>
                <w:vertAlign w:val="superscript"/>
                <w:rtl w:val="0"/>
              </w:rPr>
              <w:t xml:space="preserve">2</w:t>
            </w:r>
            <w:r w:rsidR="00000000" w:rsidRPr="00000000" w:rsidDel="00000000">
              <w:rPr>
                <w:rtl w:val="0"/>
              </w:rPr>
              <w:t xml:space="preserve"> panta otrajā un trešajā daļā paredzētais risinājums, nesatur pretargumentus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Likumprojekta 45.</w:t>
            </w:r>
            <w:r w:rsidR="00000000" w:rsidRPr="00000000" w:rsidDel="00000000">
              <w:rPr>
                <w:vertAlign w:val="superscript"/>
                <w:rtl w:val="0"/>
              </w:rPr>
              <w:t xml:space="preserve">2</w:t>
            </w:r>
            <w:r w:rsidR="00000000" w:rsidRPr="00000000" w:rsidDel="00000000">
              <w:rPr>
                <w:rtl w:val="0"/>
              </w:rPr>
              <w:t xml:space="preserve"> panta otrās daļas un 45.</w:t>
            </w:r>
            <w:r w:rsidR="00000000" w:rsidRPr="00000000" w:rsidDel="00000000">
              <w:rPr>
                <w:vertAlign w:val="superscript"/>
                <w:rtl w:val="0"/>
              </w:rPr>
              <w:t xml:space="preserve">2</w:t>
            </w:r>
            <w:r w:rsidR="00000000" w:rsidRPr="00000000" w:rsidDel="00000000">
              <w:rPr>
                <w:rtl w:val="0"/>
              </w:rPr>
              <w:t xml:space="preserve"> panta trešās daļas ir izslēdzami vārdi – “nekavējoties”, jo Direktīva nesatur šādu prasību, savukārt, mūsdienu informācijas uzkrāšanas vai apziņošanas sistēmas var tikt veidotas automatizētas ar noteiktu atjaunošanas ciklu. Tāpat no Likumprojekta 45.</w:t>
            </w:r>
            <w:r w:rsidR="00000000" w:rsidRPr="00000000" w:rsidDel="00000000">
              <w:rPr>
                <w:vertAlign w:val="superscript"/>
                <w:rtl w:val="0"/>
              </w:rPr>
              <w:t xml:space="preserve">2</w:t>
            </w:r>
            <w:r w:rsidR="00000000" w:rsidRPr="00000000" w:rsidDel="00000000">
              <w:rPr>
                <w:rtl w:val="0"/>
              </w:rPr>
              <w:t xml:space="preserve"> panta trešās daļas būtu izslēdzams pēdējais teikums, jo Direktīva dod iespēju dalībvalstīm noteikt, ka informācija vienmēr tiek sniegta caur tiešo partneri, un tam ir praktiski un juridiski iemesli. Argumentācija par "autoru un izpildītāju interesēm" nav pietiekama. Pastāv nopietnas juridiskas sekas tam, ja pēdējie var jautāt tieši apakšlicences saņēmējiem, un dažos gadījumos apakšlicences saņēmēji nevarēs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iespējamiem būtiskiem tirgus traucējumiem, ir svarīgi, lai informācija tiktu sniegta ar autora vai izpildītāja tiešā partnera starpniecību saskaņā ar Direktīvas 19.panta 2.punktu. Autora vai izpildītāja tiešais partneris (parasti producents vai izdevējs) ir būtisks posms izmantošanas ķēdē: producents ir profesionāls sarunu partneris attiecībās ar operatoriem, kas izmanto tiesības, vai citu starpposmu turpmākā ekspluatācijas ķēdē. Tāpēc nebūtu pareizi, ja tikai autoram vai izpildītājam tiktu piešķirtas likumā tiesības iegūt būtisku un nepieciešamo informāciju no gala izmantotāja, kamēr autora vai izpildītāja tiešajam partnerim nav līdzīgu tiesību. Turklāt trešās puses (apakšlicences saņēmēji) nevar zināt un līdz ar to noteikt komerciālās vienošanās apjomu, ko mākslinieki ir noslēguši ar producentu (kas var attiekties uz tūkstošiem mākslinieku darbu), vai to, kuri aspekti veido tā komerciāli sensitīvu informāciju (un tāpēc būtu jāizslēdz no informācijas atklāšanas). Turklāt atsevišķu autoru un mākslinieku pieprasījumu atļaušana digitālajiem pakalpojumiem un citiem mazumtirgotājiem radītu nepamatotu slogu mazumtirgotājiem un pakalpojumiem, no kuriem nav un nevar pamatoti sagaidīt sistēmu, lai tiktu galā ar šādiem negaidītiem atsevišķu autoru vai izpildītāju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turpina uzturēt savus 10.05.2022. atzinumā paustos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07.09.2021. Ministru kabineta noteikumu Nr. 606 “Ministru kabineta kārtības rullis” 65. punktu projektu uzskata par saskaņotu, ja institūcija izteikusi tikai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darbiem, ko autors radījis, būdams darba attiecībās ar darba devēju un pildot darba pienākumus, šā panta pirmajā daļā norādīto informāciju sniedz pēc autora pieprasījuma, tostarp par tādu minēto darbu izmantošanu, kas nav paredzēta darba līgumā vai neatbilst mērķim, kādam darbs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45.</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3</w:t>
            </w:r>
            <w:r w:rsidR="00000000" w:rsidRPr="00000000" w:rsidDel="00000000">
              <w:rPr>
                <w:b w:val="1"/>
                <w:rtl w:val="0"/>
              </w:rPr>
              <w:t xml:space="preserve"> pants. Vienpusēja atkāpšanās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divu gadu laikā kopš līguma noslēgšanas vai darba nodošanas pasūtītājam, ja tā notikusi pēc līguma noslēgšanas, tiesību pārņēmējs vai licenciāts, kuram darba izmantošanas tiesības piešķirtas ar izņēmuma licenci, nav uzsācis izmantot minēto darbu, autoram ir tiesības vienpusēji atkāpties no līguma vai atsaukt licenci pilnībā vai attiecībā uz daļu no tiesībām, izņemot gadījumus, kad ir pamatoti sagaidāms, ka autors pats novērsīs apstākļus, kuru dēļ tiesības vai darbs netika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Autors var īstenot šā panta pirmajā daļā paredzētās tiesības, ja viņš ir informējis tiesību pārņēmēju vai licenciātu par nodomu vienpusēji atkāpties no līguma vai atsaukt licenci, nosakot saprātīgu termiņu, ne īsāku par 12 mēnešiem, kura laikā tiesību pārņēmējam vai licenciātam jāuzsāk darba izmantošana, bet tiesību pārņēmējs vai licenciāts līdz noteiktā termiņa beigām izmantošanu nav uzsācis.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termiņa beigām autors īsteno šā panta pirmajā daļā paredzētās tiesības, par to trīs mēnešu laikā informējot tiesību pārņēmēju vai licenciātu. Ja autors nav informējis tiesību pārņēmēju vai licenciātu par vienpusēju atkāpšanos no līguma iepriekš norādītajā termiņā, minētais līgums turpmāk uzskatāms par licences līgumu, ar kuru piešķirta vienkārša licence darba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darbam ir divi vai vairāki autori un katra autora individuālais ieguldījums nav norobežojams kā neatkarīgs darbs, šā panta pirmajā daļā paredzētās tiesības var īstenot tikai visi līdzautori kopīgi, izņemot, ja kāds no līdzautoriem izmanto iespēju minēto līgumu turpmāk uzskatīt par licences līgumu, ar kuru piešķirta vienkārša licence darba izmantošanai, ievērojot šā panta pirmajā un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Līguma noteikums, kas paredz atkāpšanos no šajā pantā minētajām tiesībām, ir spēkā tikai tādā gadījumā, ja tas noteikts nozares kolektīvās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noteikumi neattiecas uz licences līgumiem, kuri noslēgti ar kolektīvā pārvaldījuma organizāciju vai neatkarīgo pārvaldījuma sabiedrību Autortiesību kolektīvā pārvaldījuma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IFPI norāda, ka Likumprojekta 45.</w:t>
            </w:r>
            <w:r w:rsidR="00000000" w:rsidRPr="00000000" w:rsidDel="00000000">
              <w:rPr>
                <w:vertAlign w:val="superscript"/>
                <w:rtl w:val="0"/>
              </w:rPr>
              <w:t xml:space="preserve">3 </w:t>
            </w:r>
            <w:r w:rsidR="00000000" w:rsidRPr="00000000" w:rsidDel="00000000">
              <w:rPr>
                <w:rtl w:val="0"/>
              </w:rPr>
              <w:t xml:space="preserve">panta pirmajā daļā norādītais 2 gadu termiņš būtu jāmaina uz 3 gadu termiņu, jo nav atbilstošs mūzikas industrijas specifikai.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skaidrots anotācijā, divu gadu termiņš izvēlēts diskusiju gaitā Darba grupas autortiesību normatīvā regulējuma pilnveidei ietvaros, ņemot vērā citu Eiropas Savienības dalībvalstu (piemēram, Vācijas, Igaunijas, Horvātijas)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45.</w:t>
            </w:r>
            <w:r w:rsidR="00000000" w:rsidRPr="00000000" w:rsidDel="00000000">
              <w:rPr>
                <w:b w:val="1"/>
                <w:vertAlign w:val="superscript"/>
                <w:rtl w:val="0"/>
              </w:rPr>
              <w:t xml:space="preserve">3</w:t>
            </w:r>
            <w:r w:rsidR="00000000" w:rsidRPr="00000000" w:rsidDel="00000000">
              <w:rPr>
                <w:b w:val="1"/>
                <w:rtl w:val="0"/>
              </w:rPr>
              <w:t xml:space="preserve"> pants. Vienpusēja atkāpšanās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divu gadu laikā kopš līguma noslēgšanas vai darba nodošanas pasūtītājam, ja tā notikusi pēc līguma noslēgšanas, tiesību pārņēmējs vai licenciāts, kuram darba izmantošanas tiesības piešķirtas ar izņēmuma licenci, nav uzsācis izmantot minēto darbu, autoram ir tiesības vienpusēji atkāpties no līguma vai atsaukt licenci pilnībā vai attiecībā uz daļu no tiesībām, izņemot gadījumus, kad ir pamatoti sagaidāms, ka autors pats novērsīs apstākļus, kuru dēļ tiesības vai darbs netika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Autors var īstenot šā panta pirmajā daļā paredzētās tiesības, ja viņš ir informējis tiesību pārņēmēju vai licenciātu par nodomu vienpusēji atkāpties no līguma vai atsaukt licenci, nosakot saprātīgu termiņu, ne īsāku par 12 mēnešiem, kura laikā tiesību pārņēmējam vai licenciātam jāuzsāk darba izmantošana, bet tiesību pārņēmējs vai licenciāts līdz noteiktā termiņa beigām izmantošanu nav uzsācis.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termiņa beigām autors īsteno šā panta pirmajā daļā paredzētās tiesības, par to trīs mēnešu laikā informējot tiesību pārņēmēju vai licenciātu. Ja autors nav informējis tiesību pārņēmēju vai licenciātu par vienpusēju atkāpšanos no līguma iepriekš norādītajā termiņā, minētais līgums turpmāk uzskatāms par licences līgumu, ar kuru piešķirta vienkārša licence darba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darbam ir divi vai vairāki autori un katra autora individuālais ieguldījums nav norobežojams kā neatkarīgs darbs, šā panta pirmajā daļā paredzētās tiesības var īstenot tikai visi līdzautori kopīgi, izņemot, ja kāds no līdzautoriem izmanto iespēju minēto līgumu turpmāk uzskatīt par licences līgumu, ar kuru piešķirta vienkārša licence darba izmantošanai, ievērojot šā panta pirmajā un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Līguma noteikums, kas paredz atkāpšanos no šajā pantā minētajām tiesībām, ir spēkā tikai tādā gadījumā, ja tas noteikts nozares kolektīvās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noteikumi neattiecas uz datorprogrammu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noteikumi neattiecas uz licences līgumiem, kuri noslēgti ar kolektīvā pārvaldījuma organizāciju vai neatkarīgo pārvaldījuma sabiedrību Autortiesību kolektīvā pārvaldījuma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46.</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46.2 pantu tiek pārņemts Raidorganizāciju direktīvas 2. panta 4. punkts, definējot tehnisku procesu, ar kura starpniecību raidorganizācija pārraida savus programmas saturošus signālus organizācijai, kas nav raidorganizācija, tādā veidā, ka programmas saturošos signālus to pārraidīšanas laikā sabiedrība nevar uztvert.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pantā šis process tiek definēts kā "tiešā ievade", savukārt Raidorganizāciju direktīvas 2. panta 4. punktā tas ir definēts kā "tieša signālu pievadīšana". Lūdzam izvērtēt terminu lietojumu 46.2 pantā vai anotācijā pamatot izvēlētā termina lietojumu.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normā lietots tāds angļu valodas termina “</w:t>
            </w:r>
            <w:r w:rsidR="00000000" w:rsidRPr="00000000" w:rsidDel="00000000">
              <w:rPr>
                <w:i w:val="1"/>
                <w:rtl w:val="0"/>
              </w:rPr>
              <w:t xml:space="preserve">direct injection</w:t>
            </w:r>
            <w:r w:rsidR="00000000" w:rsidRPr="00000000" w:rsidDel="00000000">
              <w:rPr>
                <w:rtl w:val="0"/>
              </w:rPr>
              <w:t xml:space="preserve">” atveidojums latviešu valodā, kādu iepriekš jau izmantojis Augstākās tiesas Civillietu departaments savā 2018. gada 10. septembra spriedumā lietā Nr.C31470413, SKC‑10/2018.”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46.</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(Starptautiskā fonogrāfijas industrijas federācija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56.</w:t>
            </w:r>
            <w:r w:rsidR="00000000" w:rsidRPr="00000000" w:rsidDel="00000000">
              <w:rPr>
                <w:vertAlign w:val="superscript"/>
                <w:rtl w:val="0"/>
              </w:rPr>
              <w:t xml:space="preserve">2</w:t>
            </w:r>
            <w:r w:rsidR="00000000" w:rsidRPr="00000000" w:rsidDel="00000000">
              <w:rPr>
                <w:rtl w:val="0"/>
              </w:rPr>
              <w:t xml:space="preserve"> pantu “Darba vai blakustiesību objekta izmantošana, ko veic tiešsaistes satura kopīgošanas pakalpojumu sniedzējs” IFPI uztur savus argumentus, jo norāde, ka Darba grupā autortiesību normatīvā regulējuma pastāvīgai pilnveidei iebildums neguva atbalstu, nesatur pretargumentus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56.</w:t>
            </w:r>
            <w:r w:rsidR="00000000" w:rsidRPr="00000000" w:rsidDel="00000000">
              <w:rPr>
                <w:vertAlign w:val="superscript"/>
                <w:rtl w:val="0"/>
              </w:rPr>
              <w:t xml:space="preserve">2</w:t>
            </w:r>
            <w:r w:rsidR="00000000" w:rsidRPr="00000000" w:rsidDel="00000000">
              <w:rPr>
                <w:rtl w:val="0"/>
              </w:rPr>
              <w:t xml:space="preserve"> panta trešās daļas 2.punkts ir jāpapildina ar norādi uz nozares augstākiem standartiem, jo tikai šādu standartu ievērošana atbrīvo no atbildības par autortiesību un blakus tiesību pārkāpumu. Tādēļ 2.punkts ir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nozares augstākos standartus par profesionālo rūpību, ir pielicis vislielākās pūles, lai nodrošinātu, ka sabiedrībai nav pieejami tādi darbi vai blakustiesību objekti, par kuriem autortiesību vai blakustiesību subjekti ir snieguši tam atbilstošo un nepieciešamo informāciju;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56.</w:t>
            </w:r>
            <w:r w:rsidR="00000000" w:rsidRPr="00000000" w:rsidDel="00000000">
              <w:rPr>
                <w:vertAlign w:val="superscript"/>
                <w:rtl w:val="0"/>
              </w:rPr>
              <w:t xml:space="preserve">2</w:t>
            </w:r>
            <w:r w:rsidR="00000000" w:rsidRPr="00000000" w:rsidDel="00000000">
              <w:rPr>
                <w:rtl w:val="0"/>
              </w:rPr>
              <w:t xml:space="preserve"> panta septītā daļa ir svītrojama, jo šie nosacījumi attiecas uz “pasīvajām platformām”, kuras ir izslēgtas no regulējuma ar Elektroniskās komercijas direktīvas skaidrojumu 42.punktu (42) Izņēmumi no šīs direktīvas radītajām saistībām attiecas vienīgi uz gadījumiem, kad informācijas sabiedrības pakalpojumu sniedzēju darbība ir ierobežota līdz darbības tehniskajam procesam un pieejas sniegšanai komunikāciju tīklam, pa kuru trešo personu informācija tiek pārraidīta vai uz laiku uzglabāta ar nolūku vienīgi padarīt pārraidīšanu efektīvāku; šīs darbības ir tikai tehniskas, automātiskas un pasīvas, kas netieši norāda, ka informācijas sabiedrības pakalpojumu sniedzējiem nav nedz zināšanu, nedz kontroles pār informāciju, ko pārraida vai uzglabā. Ja ir vēlme atkārtot Direktīvas 17.panta astoto daļu, to var izdarīt anotācijā. IFPI priekšlikums nerada pienākumu veikt vispārīgu pārraudzības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56.</w:t>
            </w:r>
            <w:r w:rsidR="00000000" w:rsidRPr="00000000" w:rsidDel="00000000">
              <w:rPr>
                <w:vertAlign w:val="superscript"/>
                <w:rtl w:val="0"/>
              </w:rPr>
              <w:t xml:space="preserve">4</w:t>
            </w:r>
            <w:r w:rsidR="00000000" w:rsidRPr="00000000" w:rsidDel="00000000">
              <w:rPr>
                <w:rtl w:val="0"/>
              </w:rPr>
              <w:t xml:space="preserve"> panta pirmo daļa ir jāpapildina ar Direktīvas 70.apsvēruma, 12.panta, 17.panta piektās un devītā daļa norādi uz iedarbīgu un ātru sūdzību izskatīšanas kārtību. Attiecīgi šī daļa ir izsakāma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satura kopīgošanas pakalpojumu sniedzējs nosaka iedarbīgu un ātru kārtību, kādā tas, nekavējoties un neprasot samaksu, izskata lietotāju iesniegtās sūdzības par piekļuves atspējošanu augšupielādētiem darbiem vai blakustiesību objektiem vai to izņemšanu.”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Kultūras ministrijas norādei, ka Digitālā vienotā tirgus direktīvas 17.panta 9. punktā paredzētais pienākums ir saturiski iekļauts Autortiesību likuma 56.</w:t>
            </w:r>
            <w:r w:rsidR="00000000" w:rsidRPr="00000000" w:rsidDel="00000000">
              <w:rPr>
                <w:vertAlign w:val="superscript"/>
                <w:rtl w:val="0"/>
              </w:rPr>
              <w:t xml:space="preserve">4</w:t>
            </w:r>
            <w:r w:rsidR="00000000" w:rsidRPr="00000000" w:rsidDel="00000000">
              <w:rPr>
                <w:rtl w:val="0"/>
              </w:rPr>
              <w:t xml:space="preserve"> panta esošajā redakcija, jo ir svarīgi, lai sūdzību izskatīšana notiktu gan ātri, gan iedarbīgi, kā to nosaka direktīva.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Autortiesību likuma 56.</w:t>
            </w:r>
            <w:r w:rsidR="00000000" w:rsidRPr="00000000" w:rsidDel="00000000">
              <w:rPr>
                <w:vertAlign w:val="superscript"/>
                <w:rtl w:val="0"/>
              </w:rPr>
              <w:t xml:space="preserve">2</w:t>
            </w:r>
            <w:r w:rsidR="00000000" w:rsidRPr="00000000" w:rsidDel="00000000">
              <w:rPr>
                <w:rtl w:val="0"/>
              </w:rPr>
              <w:t xml:space="preserve"> panta trešās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jau tika paskaidrots Darba grupā autortiesību normatīvā regulējuma pastāvīgai pilnveidei un norādīts pēc Publiskās apspriešanas sagatavotajā Viedokļu apkopojumā, ES direktīvas 2000/31/EK (Elektroniskās komercijas direktīvas) 15. pants, kas paredz vispārīga pārraudzības pienākuma neesamību, tiešām attiecas tikai uz “pasīvajām platformām”, kuru darbība ir ierobežota līdz tehniskajam procesam un pieejas sniegšanai komunikāciju tīklam un kurām nav nedz zināšanu, nedz kontroles pār informāciju, ko tās pārraida un uzglabā.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Digitālā vienotā tirgus direktīvas 17. pants attiecas uz pilnīgi cita rakstura platformām – t.i. tiešsaistes satura kopīgošanas pakalpojumu sniedzējiem, kas nav “pasīvi”, jo organizē un veicina autoru darbu un blakustiesību objektu izmantošanu peļņas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šiem pakalpojumu sniedzējiem atbilstoši direktīvas 17. panta 8. punktam nav pienākuma veikt vispārīgu pārraudzības pienākumu, līdz ar to ir pamatoti to skaidri paredzēt Autortiesību likuma 56.</w:t>
            </w:r>
            <w:r w:rsidR="00000000" w:rsidRPr="00000000" w:rsidDel="00000000">
              <w:rPr>
                <w:vertAlign w:val="superscript"/>
                <w:rtl w:val="0"/>
              </w:rPr>
              <w:t xml:space="preserve">2</w:t>
            </w:r>
            <w:r w:rsidR="00000000" w:rsidRPr="00000000" w:rsidDel="00000000">
              <w:rPr>
                <w:rtl w:val="0"/>
              </w:rPr>
              <w:t xml:space="preserve"> panta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Papildināta 56.</w:t>
            </w:r>
            <w:r w:rsidR="00000000" w:rsidRPr="00000000" w:rsidDel="00000000">
              <w:rPr>
                <w:vertAlign w:val="superscript"/>
                <w:rtl w:val="0"/>
              </w:rPr>
              <w:t xml:space="preserve">4</w:t>
            </w:r>
            <w:r w:rsidR="00000000" w:rsidRPr="00000000" w:rsidDel="00000000">
              <w:rPr>
                <w:rtl w:val="0"/>
              </w:rPr>
              <w:t xml:space="preserve"> panta pirmā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VIII</w:t>
            </w:r>
            <w:r w:rsidR="00000000" w:rsidRPr="00000000" w:rsidDel="00000000">
              <w:rPr>
                <w:vertAlign w:val="superscript"/>
                <w:rtl w:val="0"/>
              </w:rPr>
              <w:t xml:space="preserve">1</w:t>
            </w:r>
            <w:r w:rsidR="00000000" w:rsidRPr="00000000" w:rsidDel="00000000">
              <w:rPr>
                <w:rtl w:val="0"/>
              </w:rPr>
              <w:t xml:space="preserve">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pamatojumu 20. panta pirmās daļas 1. punkta grozījumiem (aizstāt 20. panta pirmās daļas 1. punktā vārdus “reproducēt publiskotus un publicētus darbus” ar vārdiem “reproducēt un publiskot izziņotus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Autortiesību likuma 20. panta pirmās daļas 1. punkta grozījums nepieciešams, lai nodrošinātu Digitālā vienotā tirgus direktīvas 17. panta 7.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skaidrojums par šo grozījumu pieejams tajā anotācijas sadaļā, kurā aprakstīta iepriekš norādītās direktīvas normas pārņemšana (Autortiesību likuma 56.</w:t>
            </w:r>
            <w:r w:rsidR="00000000" w:rsidRPr="00000000" w:rsidDel="00000000">
              <w:rPr>
                <w:vertAlign w:val="superscript"/>
                <w:rtl w:val="0"/>
              </w:rPr>
              <w:t xml:space="preserve">2</w:t>
            </w:r>
            <w:r w:rsidR="00000000" w:rsidRPr="00000000" w:rsidDel="00000000">
              <w:rPr>
                <w:rtl w:val="0"/>
              </w:rPr>
              <w:t xml:space="preserve">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būtu iespējama citēšanas izņēmuma piemērošana attiecībā uz izmantojumu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22-TA-585</w:t>
    </w:r>
    <w:r>
      <w:br/>
    </w:r>
    <w:r w:rsidR="00000000" w:rsidRPr="00000000" w:rsidDel="00000000">
      <w:rPr>
        <w:rtl w:val="0"/>
      </w:rPr>
      <w:t xml:space="preserve">18.10.2022. 12.55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22-TA-585</w:t>
    </w:r>
    <w:r>
      <w:br/>
    </w:r>
    <w:r w:rsidR="00000000" w:rsidRPr="00000000" w:rsidDel="00000000">
      <w:rPr>
        <w:rtl w:val="0"/>
      </w:rPr>
      <w:t xml:space="preserve">18.10.2022. 12.55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Izziņa_22-TA-585.docx</dc:title>
</cp:coreProperties>
</file>

<file path=docProps/custom.xml><?xml version="1.0" encoding="utf-8"?>
<Properties xmlns="http://schemas.openxmlformats.org/officeDocument/2006/custom-properties" xmlns:vt="http://schemas.openxmlformats.org/officeDocument/2006/docPropsVTypes"/>
</file>