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21-TA-303: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Speciālo radiolīdzekļu izmantošanas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radiolīdzekļu izmantošanas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14. jūlijā Saeima izsludināja jauno Elektronisko sakaru likumu, lūdzam attiecīgi precizēt likumprojekta anotācijā un izziņā norādīto informāciju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norādīto, ar šo atsaucam iepriekš izteiktos Tieslietu ministrijas iebildumus, kas tika ietverti 2022. gada 14. jūlija atzinumā (https://vktap.mk.gov.lv/legal_acts/headers/ed193600-6570-455a-ab27-a6062da9ce7f/review_resolutions/7462b815-6252-4f80-b416-c9f7f7db92d7).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atsauce uz Elektronisko sakaru likuma pantu, kā arī anotācijas teksts ir precizēti, ievērojot Elektronisko sakaru likuma spēkā stāšanos 2022.gada 29.jūlijā.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radiolīdzekļu izmantošanas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Elektronisko sakaru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projekta izdošanas tiesisko pamatu, jo kļūdaini norādīta atsauce uz Elektronisko sakaru likuma 58. panta otro daļu, nevis minētā likuma 54.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Elektronisko sakaru likuma</w:t>
            </w:r>
            <w:r w:rsidR="00000000" w:rsidRPr="00000000" w:rsidDel="00000000">
              <w:rPr>
                <w:rtl w:val="0"/>
              </w:rPr>
              <w:t xml:space="preserve">  </w:t>
            </w:r>
            <w:r w:rsidR="00000000" w:rsidRPr="00000000" w:rsidDel="00000000">
              <w:rPr>
                <w:rtl w:val="0"/>
              </w:rPr>
              <w:t xml:space="preserve">58.panta</w:t>
            </w:r>
            <w:r w:rsidR="00000000" w:rsidRPr="00000000" w:rsidDel="00000000">
              <w:rPr>
                <w:rtl w:val="0"/>
              </w:rPr>
              <w:t xml:space="preserve">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objektus un gadījumus, kuros valsts aizsardzības un drošības vajadzībām var pielietot speciālos radiolīdzekļus nevēlamu radiosakaru pārtraukšanai.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Nr: 1216/Lp13 "Elektronisko sakaru likums" (turpmāk - likumprojekts) 58. panta otro daļu Ministru kabinets tiek pilnvarots noteikt tai skaitā "</w:t>
            </w:r>
            <w:r w:rsidR="00000000" w:rsidRPr="00000000" w:rsidDel="00000000">
              <w:rPr>
                <w:u w:val="single"/>
                <w:rtl w:val="0"/>
              </w:rPr>
              <w:t xml:space="preserve">objektus un gadījumus,</w:t>
            </w:r>
            <w:r w:rsidR="00000000" w:rsidRPr="00000000" w:rsidDel="00000000">
              <w:rPr>
                <w:rtl w:val="0"/>
              </w:rPr>
              <w:t xml:space="preserve"> kuros valsts aizsardzības un drošības vajadzībām var pielietot speciālos radiolīdzekļus </w:t>
            </w:r>
            <w:r w:rsidR="00000000" w:rsidRPr="00000000" w:rsidDel="00000000">
              <w:rPr>
                <w:u w:val="single"/>
                <w:rtl w:val="0"/>
              </w:rPr>
              <w:t xml:space="preserve">nevēlamu radiosakaru pārtraukšanai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šobrīd šāds regulējums nav iekļauts, izņemot noteikumu projekta 3.punktā noteikto, ka "speciālo radiolīdzekļu izmantošanas apjoms un intensitāte nevēlamu radiosakaru pārtraukšanai nedrīkst pārsniegt attiecīgajam valsts drošības apdraudējuma veidam un bīstamības pakāpei nepieciešamo apmēru". Proti, noteikumu projekts nenosaka ne objektus, ne gadījumus, kuros speciālos radiolīdzekļus var pielietot nevēlamu radiosakaru pārtraukšanai".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anotācijā skaidrot, kāds tiesiskais regulējums tiks piemērots likumprojekta 58.panta otrajā daļā minētā pilnvarojuma izpildei, kā arī attiecīgi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skaidrojumu par gadījumiem un objektiem, kuros saskāņā ar noteikumu projektu ir pieļaujams izmantot speciālos radiolīdzekļus.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objektus un gadījumus, kuros valsts aizsardzības un drošības vajadzībām var pielietot speciālos radiolīdzekļus nevēlamu radiosakaru pārtraukšanai.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bruņotie spēki īslaicīgu speciālo radiolīdzekļu izmantošanas kārtību personāla apmācībām un speciālo radiolīdzekļu testēšanai nosaka Nacionālo bruņoto spēku darbību reglamentējošos iekšējos normatīvajos aktos. Nacionālie bruņotie spēki informē valsts akciju sabiedrību “Elektroniskie sakari” par īslaicīgu speciālo radiolīdzekļu izmantošanu personāla apmācībām un speciālo radiolīdzekļu testēšanai, norādot valsts akciju sabiedrībai “Elektroniskie sakari” informāciju par personāla apmācību un speciālo radiolīdzekļu testēšanas vietu, laiku, robežfrekvences un jaudu.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58. panta otro daļu likumdevējs pilnvaro </w:t>
            </w:r>
            <w:r w:rsidR="00000000" w:rsidRPr="00000000" w:rsidDel="00000000">
              <w:rPr>
                <w:u w:val="single"/>
                <w:rtl w:val="0"/>
              </w:rPr>
              <w:t xml:space="preserve">Ministru kabinetu</w:t>
            </w:r>
            <w:r w:rsidR="00000000" w:rsidRPr="00000000" w:rsidDel="00000000">
              <w:rPr>
                <w:rtl w:val="0"/>
              </w:rPr>
              <w:t xml:space="preserve"> noteikt personāla apmācības kārtību un speciālo radiolīdzekļu testēšanas kārtību. Vēršam uzmanību, ka šādu uzdevumu Ministru kabinets nevar tālāk pārdeleģēt tiešās pārvaldes iestādei, turklāt jāņem vērā, ka iestādes iekšējie normatīvie akti ir saistoši tikai pašai iestādei un tās padotībā esošām iestādēm un amatpersonām, bet nav saistoši citām iestādēm, tai skaitā valsts akciju sabiedrībai "Elektroniskie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saskaņā ar Ministru kabineta 2009. gada 3. februāra noteikumu Nr. 108 "Normatīvo aktu projektu sagatavošanas noteikumi" 136. punktu noteikumu projektā neietver atsau­ces uz zemāka juridiskā spēka normatīvo aktu vai normatīvo aktu, kas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6. punkta pirmo teikumu, un nepieciešamības gadījumā papildināt noteikumu projektu ar nepieciešamo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6.punkta pirmais teikums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bruņotie spēki informē valsts akciju sabiedrību “Elektroniskie sakari” par īslaicīgu speciālo radiolīdzekļu izmantošanu personāla apmācībām un speciālo radiolīdzekļu testēšanai, norādot valsts akciju sabiedrībai “Elektroniskie sakari” informāciju par personāla apmācību un speciālo radiolīdzekļu testēšanas vietu, laiku, robežfrekvences un jaudu.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Elektronisko sakaru likums 2022. gada 11. martā stājās spēkā, lūdzam visā projekta anotācijā ietvert atsauci uz spēkā esošo likumu, nevis uz likumprojektu. Minētais attiecās arī uz izziņā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personāla apmācības un speciālo radiolīdzekļu testēšanas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2022. gada 7. aprīlī 2. lasījumā pieņemtā likumprojekta “Elektronisko sakaru likums” (Nr. 1216/Lp13) (turpmāk – likumprojekts) 58. panta otrajā daļā ir ietverts pilnvarojums Ministru kabinetam noteikt speciālo radiolīdzekļu izmantošanas kārtību, personāla apmācības kārtību, speciālo radiolīdzekļu testēšanas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 Attiecīgi projekta 1.2. apakšpunkts paredz, ka projekts noteic personāla apmācības kārtību un speciālo radiolīdzekļu testēšanas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projektā ietverto tiesisko regulējumu, ir secināms, ka jautājums par personāla apmācību un testēšanu ir skarts projekta 6. punktā. Taču Iekšlietu ministrijas ieskatā projekta 6. punktā ietvertais regulējums ir skatāms kopsakarā ar projekta 5.2. apakšpunktā noteikto. Proti, projekta 6. punkts paredz, ka Nacionālie bruņotie spēki ar iekšējiem normatīvajiem aktiem nosaka speciālo radiolīdzekļu izmantošanas kārtību projekta 5.2. apakšpunktā minētajos gadījumos (tas ir, personāla apmācību laikā un testējot speciālos radiolīdzekļus militārajos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likumprojekta 58. panta otrajā daļā nav paredzēts, ka likumdevējs būtu pilnvarojis Ministru kabinetu regulēt tikai Nacinālo bruņoto spēku personāla apmācības un speciālo radiolīdzekļu testēšanas jautājumus. Turklāt atbilstoši projektā noteiktajam speciālos radiolīdzekļus ir tiesības izmantot arī valsts drošības iestādēm, Valsts policijai un Ieslodzījuma vietu pārvaldei. Līdz ar to Iekšlietu ministrijas ieskatā projektā ietvertais regulējums pilnībā neizpilda likumprojekta 58. panta otrajā daļā ietverto pilnvarojumu Ministru kabinetam un ir precizējams, nosakot personāla apmācības kārtību un speciālo līdzekļu testēšanas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ir sagatavojusī papildinājumus noteikumu projekta anotācijas 1.3. sadaļai punktam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personāla apmācības un speciālo radiolīdzekļu testēšanas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Pastāvīgu speciālo radiolīdzekļu izmantošanu drīkst noteikt tikai šajā punktā minētajās frekvenču joslās, un speciālo radiolīdzekļu radītais traucējošā signāla jaudas līmenis (P</w:t>
            </w:r>
            <w:r w:rsidR="00000000" w:rsidRPr="00000000" w:rsidDel="00000000">
              <w:rPr>
                <w:vertAlign w:val="subscript"/>
                <w:rtl w:val="0"/>
              </w:rPr>
              <w:t xml:space="preserve">SRL</w:t>
            </w:r>
            <w:r w:rsidR="00000000" w:rsidRPr="00000000" w:rsidDel="00000000">
              <w:rPr>
                <w:rtl w:val="0"/>
              </w:rPr>
              <w:t xml:space="preserve">), mērot ar 0 dBi pastiprinājuma antenu un savienojošo kabeli ar 0 dB vājinājumu, ārpus ieslodzījuma vietas un Valsts policijas īslaicīgās aizturēšanas vietas teritorijas nedrīkst pārsniegt šādas vērtības:</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27"/>
              <w:gridCol w:w="497"/>
              <w:gridCol w:w="494"/>
              <w:gridCol w:w="494"/>
              <w:gridCol w:w="461"/>
              <w:tblGridChange w:id="0">
                <w:tblGrid>
                  <w:gridCol w:w="527"/>
                  <w:gridCol w:w="497"/>
                  <w:gridCol w:w="494"/>
                  <w:gridCol w:w="494"/>
                  <w:gridCol w:w="46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 p. 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Radiosakaru sistēma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Frekvenču joslas (MHz)</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w:t>
                  </w:r>
                  <w:r w:rsidR="00000000" w:rsidRPr="00000000" w:rsidDel="00000000">
                    <w:rPr>
                      <w:sz w:val="24"/>
                      <w:b w:val="1"/>
                      <w:vertAlign w:val="subscript"/>
                      <w:rtl w:val="0"/>
                    </w:rPr>
                    <w:t xml:space="preserve">SRL</w:t>
                  </w:r>
                  <w:r w:rsidR="00000000" w:rsidRPr="00000000" w:rsidDel="00000000">
                    <w:rPr>
                      <w:sz w:val="24"/>
                      <w:b w:val="1"/>
                      <w:rtl w:val="0"/>
                    </w:rPr>
                    <w:t xml:space="preserve"> (dBm)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Mērījumu josla (MHz)</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460–467,5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GSM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925–960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1805–1880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738-788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791–821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925–960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1432-1472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1492-1512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1805–1880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2110–2170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2300–2370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2570–2690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DECT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1880–1900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RLAN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2400–2483,5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BWA/IMT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3400–3800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RLAN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5150–5350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5470–5725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5945–6425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noteikumu projekta pārskatāmību, kā arī nodrošinātu korektu atsauču veidošanu uz noteikumu projekta vienībām (numerāciju), ierosinām noteikumu projekta 23. - 27.punktā minētos tehniskos noteikumus (vērtību tabulas), kā arī noteikumu projekta 27.punktam pievienoto "piezīmi" izteikt kā noteikumu projekta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šīs tabulas nav tik apjomīgas, lai to pārveidošana par pielikumiem atvieglotu noteikumu uztveri – ņemot vērā, ka ar noteikumiem pamatā strādā tehniskie speciālisti, ir ērtāk, ka signālu parametri ir uzskaitīti uzreiz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Pastāvīgu speciālo radiolīdzekļu izmantošanu drīkst noteikt tikai šajā punktā minētajās frekvenču joslās, un speciālo radiolīdzekļu radītais traucējošā signāla jaudas līmenis (P</w:t>
            </w:r>
            <w:r w:rsidR="00000000" w:rsidRPr="00000000" w:rsidDel="00000000">
              <w:rPr>
                <w:vertAlign w:val="subscript"/>
                <w:rtl w:val="0"/>
              </w:rPr>
              <w:t xml:space="preserve">SRL</w:t>
            </w:r>
            <w:r w:rsidR="00000000" w:rsidRPr="00000000" w:rsidDel="00000000">
              <w:rPr>
                <w:rtl w:val="0"/>
              </w:rPr>
              <w:t xml:space="preserve">), mērot ar 0 dBi pastiprinājuma antenu un savienojošo kabeli ar 0 dB vājinājumu, ārpus ieslodzījuma vietas un Valsts policijas īslaicīgās aizturēšanas vietas teritorijas nedrīkst pārsniegt šādas vērtības:</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27"/>
              <w:gridCol w:w="497"/>
              <w:gridCol w:w="494"/>
              <w:gridCol w:w="494"/>
              <w:gridCol w:w="461"/>
              <w:tblGridChange w:id="0">
                <w:tblGrid>
                  <w:gridCol w:w="527"/>
                  <w:gridCol w:w="497"/>
                  <w:gridCol w:w="494"/>
                  <w:gridCol w:w="494"/>
                  <w:gridCol w:w="46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 p. 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Radiosakaru sistēma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Frekvenču joslas (MHz)</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w:t>
                  </w:r>
                  <w:r w:rsidR="00000000" w:rsidRPr="00000000" w:rsidDel="00000000">
                    <w:rPr>
                      <w:sz w:val="24"/>
                      <w:b w:val="1"/>
                      <w:vertAlign w:val="subscript"/>
                      <w:rtl w:val="0"/>
                    </w:rPr>
                    <w:t xml:space="preserve">SRL</w:t>
                  </w:r>
                  <w:r w:rsidR="00000000" w:rsidRPr="00000000" w:rsidDel="00000000">
                    <w:rPr>
                      <w:sz w:val="24"/>
                      <w:b w:val="1"/>
                      <w:rtl w:val="0"/>
                    </w:rPr>
                    <w:t xml:space="preserve"> (dBm)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Mērījumu josla (MHz)</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460–467,5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GSM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925–960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1805–1880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738-788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791–821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925–960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1432-1472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1492-1512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1805–1880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2110–2170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2300–2370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2570–2690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DECT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1880–1900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RLAN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2400–2483,5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BWA/IMT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3400–3800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RLAN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5150–5350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5470–5725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5945–6425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Elektronisko sakaru likuma regulējums neparedz Ministru kabinetam pilnvarojumu noteikt personāla apmācības kārtību un speciālo radiolīdzekļu testēšanas kārtību. Tāpat arī likumprojekta sākotnējās ietekmes novērtējuma ziņojumā (anotācijā) nav ietverts skaidrojums par šādas kārtības nepieciešamību, kā arī nav sniegts skaidrojums par Ministra kabineta izdodamo noteikumu saturu. Līdz ar to aicinām izvērtēt nepieciešamību precizēt projekta anotācijas 1. punktu, sniedzot izvērstāku skaidrojumu par personāla apmācību un speciālo radiolīdzekļu testēšanas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ir sagatavojusī papildinājumus noteikumu projekta anotācijas 1.3. sadaļai punktam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sākotnējās ietekmes novērtējuma ziņojumā ietverto informāciju par likumprojektu "Elekronisko sakaru likums" (Nr. 1216/Lp13), ņemot vērā, ka tas tika nodots otreizējai caurlūkošanai un izskatīts Saeimas 2022. gada 14. jūlija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atsauce uz Elektronisko sakaru likuma pantu, kā arī anotācijas teksts ir precizēti, ievērojot Elektronisko sakaru likuma spēkā stāšanos 2022.gada 29.jūlijā.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21-TA-303</w:t>
    </w:r>
    <w:r>
      <w:br/>
    </w:r>
    <w:r w:rsidR="00000000" w:rsidRPr="00000000" w:rsidDel="00000000">
      <w:rPr>
        <w:rtl w:val="0"/>
      </w:rPr>
      <w:t xml:space="preserve">13.09.2022. 17.40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21-TA-303</w:t>
    </w:r>
    <w:r>
      <w:br/>
    </w:r>
    <w:r w:rsidR="00000000" w:rsidRPr="00000000" w:rsidDel="00000000">
      <w:rPr>
        <w:rtl w:val="0"/>
      </w:rPr>
      <w:t xml:space="preserve">13.09.2022. 17.40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Izziņa_21-TA-303.docx</dc:title>
</cp:coreProperties>
</file>

<file path=docProps/custom.xml><?xml version="1.0" encoding="utf-8"?>
<Properties xmlns="http://schemas.openxmlformats.org/officeDocument/2006/custom-properties" xmlns:vt="http://schemas.openxmlformats.org/officeDocument/2006/docPropsVTypes"/>
</file>