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4EA746" w14:textId="77777777" w:rsidR="009614A5" w:rsidRPr="00274AF2" w:rsidRDefault="009614A5" w:rsidP="00265863">
      <w:pPr>
        <w:ind w:right="701"/>
        <w:rPr>
          <w:rFonts w:ascii="Times New Roman" w:hAnsi="Times New Roman" w:cs="Times New Roman"/>
          <w:color w:val="5B566E"/>
          <w:lang w:val="lv-LV"/>
        </w:rPr>
      </w:pPr>
    </w:p>
    <w:p w14:paraId="2CF4DF34" w14:textId="77777777" w:rsidR="00474001" w:rsidRPr="00274AF2" w:rsidRDefault="00474001" w:rsidP="00265863">
      <w:pPr>
        <w:ind w:right="701"/>
        <w:rPr>
          <w:rFonts w:ascii="Times New Roman" w:hAnsi="Times New Roman" w:cs="Times New Roman"/>
          <w:color w:val="5B566E"/>
          <w:lang w:val="lv-LV"/>
        </w:rPr>
      </w:pPr>
    </w:p>
    <w:p w14:paraId="2340DF86" w14:textId="3FA34B62" w:rsidR="007D1BDE" w:rsidRPr="00274AF2" w:rsidRDefault="009614A5" w:rsidP="00BC7410">
      <w:pPr>
        <w:ind w:right="701"/>
        <w:jc w:val="center"/>
        <w:rPr>
          <w:rFonts w:ascii="Times New Roman" w:hAnsi="Times New Roman" w:cs="Times New Roman"/>
          <w:color w:val="5B566E"/>
          <w:lang w:val="lv-LV"/>
        </w:rPr>
      </w:pPr>
      <w:r w:rsidRPr="00274AF2">
        <w:rPr>
          <w:rFonts w:ascii="Times New Roman" w:hAnsi="Times New Roman" w:cs="Times New Roman"/>
          <w:color w:val="5B566E"/>
          <w:lang w:val="lv-LV"/>
        </w:rPr>
        <w:t>Rīgā</w:t>
      </w:r>
    </w:p>
    <w:p w14:paraId="768FC78A" w14:textId="77777777" w:rsidR="00BC7410" w:rsidRPr="00274AF2" w:rsidRDefault="00BC7410" w:rsidP="00BC7410">
      <w:pPr>
        <w:ind w:right="701"/>
        <w:jc w:val="center"/>
        <w:rPr>
          <w:rFonts w:ascii="Times New Roman" w:hAnsi="Times New Roman" w:cs="Times New Roman"/>
          <w:color w:val="5B566E"/>
          <w:lang w:val="lv-LV"/>
        </w:rPr>
      </w:pPr>
    </w:p>
    <w:tbl>
      <w:tblPr>
        <w:tblW w:w="0" w:type="auto"/>
        <w:tblInd w:w="5" w:type="dxa"/>
        <w:tblLook w:val="0000" w:firstRow="0" w:lastRow="0" w:firstColumn="0" w:lastColumn="0" w:noHBand="0" w:noVBand="0"/>
      </w:tblPr>
      <w:tblGrid>
        <w:gridCol w:w="608"/>
        <w:gridCol w:w="2592"/>
        <w:gridCol w:w="530"/>
        <w:gridCol w:w="2443"/>
      </w:tblGrid>
      <w:tr w:rsidR="002067CB" w:rsidRPr="00B21179" w14:paraId="24F576DB" w14:textId="77777777" w:rsidTr="00376EA6">
        <w:trPr>
          <w:trHeight w:val="249"/>
        </w:trPr>
        <w:tc>
          <w:tcPr>
            <w:tcW w:w="0" w:type="auto"/>
            <w:gridSpan w:val="2"/>
            <w:tcBorders>
              <w:bottom w:val="single" w:sz="4" w:space="0" w:color="auto"/>
            </w:tcBorders>
          </w:tcPr>
          <w:p w14:paraId="6A9652F3" w14:textId="77777777" w:rsidR="002067CB" w:rsidRPr="00B21179" w:rsidRDefault="002067CB" w:rsidP="00376EA6">
            <w:pPr>
              <w:ind w:left="-10"/>
              <w:rPr>
                <w:rFonts w:ascii="Times New Roman" w:hAnsi="Times New Roman" w:cs="Times New Roman"/>
                <w:i/>
                <w:iCs/>
                <w:lang w:val="lv-LV"/>
              </w:rPr>
            </w:pPr>
            <w:r w:rsidRPr="00B21179">
              <w:rPr>
                <w:rFonts w:ascii="Times New Roman" w:hAnsi="Times New Roman" w:cs="Times New Roman"/>
                <w:i/>
                <w:iCs/>
                <w:lang w:val="lv-LV"/>
              </w:rPr>
              <w:t>Datums skatāms laika zīmogā</w:t>
            </w:r>
          </w:p>
        </w:tc>
        <w:tc>
          <w:tcPr>
            <w:tcW w:w="0" w:type="auto"/>
            <w:shd w:val="clear" w:color="auto" w:fill="auto"/>
          </w:tcPr>
          <w:p w14:paraId="23F932D5" w14:textId="77777777" w:rsidR="002067CB" w:rsidRPr="00B21179" w:rsidRDefault="002067CB" w:rsidP="00376EA6">
            <w:pPr>
              <w:rPr>
                <w:rFonts w:ascii="Times New Roman" w:hAnsi="Times New Roman" w:cs="Times New Roman"/>
                <w:lang w:val="lv-LV"/>
              </w:rPr>
            </w:pPr>
            <w:r w:rsidRPr="00B21179">
              <w:rPr>
                <w:rFonts w:ascii="Times New Roman" w:hAnsi="Times New Roman" w:cs="Times New Roman"/>
                <w:lang w:val="lv-LV"/>
              </w:rPr>
              <w:t>Nr.</w:t>
            </w:r>
          </w:p>
        </w:tc>
        <w:tc>
          <w:tcPr>
            <w:tcW w:w="0" w:type="auto"/>
            <w:tcBorders>
              <w:bottom w:val="single" w:sz="4" w:space="0" w:color="auto"/>
            </w:tcBorders>
            <w:shd w:val="clear" w:color="auto" w:fill="auto"/>
          </w:tcPr>
          <w:p w14:paraId="2A1FE734" w14:textId="366A9EAA" w:rsidR="002067CB" w:rsidRPr="00B21179" w:rsidRDefault="002067CB" w:rsidP="008B307C">
            <w:pPr>
              <w:rPr>
                <w:rFonts w:ascii="Times New Roman" w:hAnsi="Times New Roman" w:cs="Times New Roman"/>
                <w:lang w:val="lv-LV"/>
              </w:rPr>
            </w:pPr>
            <w:r w:rsidRPr="00B21179">
              <w:rPr>
                <w:rFonts w:ascii="Times New Roman" w:hAnsi="Times New Roman" w:cs="Times New Roman"/>
                <w:lang w:val="lv-LV"/>
              </w:rPr>
              <w:t>Nr. COR-N-2021/</w:t>
            </w:r>
            <w:r w:rsidR="00BE5014" w:rsidRPr="00B21179">
              <w:rPr>
                <w:rFonts w:ascii="Times New Roman" w:hAnsi="Times New Roman" w:cs="Times New Roman"/>
                <w:lang w:val="lv-LV"/>
              </w:rPr>
              <w:t>1215</w:t>
            </w:r>
          </w:p>
        </w:tc>
      </w:tr>
      <w:tr w:rsidR="002067CB" w:rsidRPr="00B21179" w14:paraId="2000FE15" w14:textId="77777777" w:rsidTr="002067CB">
        <w:trPr>
          <w:trHeight w:val="228"/>
        </w:trPr>
        <w:tc>
          <w:tcPr>
            <w:tcW w:w="562" w:type="dxa"/>
            <w:tcBorders>
              <w:top w:val="single" w:sz="4" w:space="0" w:color="auto"/>
            </w:tcBorders>
          </w:tcPr>
          <w:p w14:paraId="77DD758A" w14:textId="77777777" w:rsidR="002067CB" w:rsidRPr="00B21179" w:rsidRDefault="002067CB" w:rsidP="00376EA6">
            <w:pPr>
              <w:ind w:left="-10" w:right="-107"/>
              <w:rPr>
                <w:rFonts w:ascii="Times New Roman" w:hAnsi="Times New Roman" w:cs="Times New Roman"/>
                <w:lang w:val="lv-LV"/>
              </w:rPr>
            </w:pPr>
            <w:r w:rsidRPr="00B21179">
              <w:rPr>
                <w:rFonts w:ascii="Times New Roman" w:hAnsi="Times New Roman" w:cs="Times New Roman"/>
                <w:lang w:val="lv-LV"/>
              </w:rPr>
              <w:t>Uz</w:t>
            </w:r>
          </w:p>
        </w:tc>
        <w:tc>
          <w:tcPr>
            <w:tcW w:w="2398" w:type="dxa"/>
            <w:tcBorders>
              <w:top w:val="single" w:sz="4" w:space="0" w:color="auto"/>
              <w:bottom w:val="single" w:sz="4" w:space="0" w:color="auto"/>
            </w:tcBorders>
          </w:tcPr>
          <w:p w14:paraId="05F32200" w14:textId="621E03FA" w:rsidR="002067CB" w:rsidRPr="00B21179" w:rsidRDefault="006E144C" w:rsidP="00376EA6">
            <w:pPr>
              <w:ind w:right="701"/>
              <w:rPr>
                <w:rFonts w:ascii="Times New Roman" w:hAnsi="Times New Roman" w:cs="Times New Roman"/>
                <w:lang w:val="lv-LV"/>
              </w:rPr>
            </w:pPr>
            <w:r w:rsidRPr="00B21179">
              <w:rPr>
                <w:rFonts w:ascii="Times New Roman" w:hAnsi="Times New Roman" w:cs="Times New Roman"/>
                <w:lang w:val="lv-LV"/>
              </w:rPr>
              <w:t>09.06.2021.</w:t>
            </w:r>
          </w:p>
        </w:tc>
        <w:tc>
          <w:tcPr>
            <w:tcW w:w="0" w:type="auto"/>
            <w:shd w:val="clear" w:color="auto" w:fill="auto"/>
          </w:tcPr>
          <w:p w14:paraId="5B6C1F02" w14:textId="77777777" w:rsidR="002067CB" w:rsidRPr="00B21179" w:rsidRDefault="002067CB" w:rsidP="00376EA6">
            <w:pPr>
              <w:rPr>
                <w:rFonts w:ascii="Times New Roman" w:hAnsi="Times New Roman" w:cs="Times New Roman"/>
                <w:lang w:val="lv-LV"/>
              </w:rPr>
            </w:pPr>
            <w:r w:rsidRPr="00B21179">
              <w:rPr>
                <w:rFonts w:ascii="Times New Roman" w:hAnsi="Times New Roman" w:cs="Times New Roman"/>
                <w:lang w:val="lv-LV"/>
              </w:rPr>
              <w:t>Nr.</w:t>
            </w:r>
          </w:p>
        </w:tc>
        <w:tc>
          <w:tcPr>
            <w:tcW w:w="0" w:type="auto"/>
            <w:tcBorders>
              <w:top w:val="single" w:sz="4" w:space="0" w:color="auto"/>
              <w:bottom w:val="single" w:sz="4" w:space="0" w:color="auto"/>
            </w:tcBorders>
            <w:shd w:val="clear" w:color="auto" w:fill="auto"/>
          </w:tcPr>
          <w:p w14:paraId="5DEE74BA" w14:textId="348B8555" w:rsidR="002067CB" w:rsidRPr="00B21179" w:rsidRDefault="006E144C" w:rsidP="00376EA6">
            <w:pPr>
              <w:rPr>
                <w:rFonts w:ascii="Times New Roman" w:hAnsi="Times New Roman" w:cs="Times New Roman"/>
                <w:lang w:val="lv-LV"/>
              </w:rPr>
            </w:pPr>
            <w:r w:rsidRPr="00B21179">
              <w:rPr>
                <w:rFonts w:ascii="Times New Roman" w:hAnsi="Times New Roman" w:cs="Times New Roman"/>
                <w:lang w:val="lv-LV"/>
              </w:rPr>
              <w:t>b/n</w:t>
            </w:r>
          </w:p>
        </w:tc>
      </w:tr>
    </w:tbl>
    <w:p w14:paraId="29B22F09" w14:textId="77777777" w:rsidR="007F12B5" w:rsidRDefault="007F12B5" w:rsidP="00265863">
      <w:pPr>
        <w:ind w:right="701"/>
        <w:rPr>
          <w:rFonts w:ascii="Times New Roman" w:hAnsi="Times New Roman" w:cs="Times New Roman"/>
          <w:color w:val="000000" w:themeColor="text1"/>
          <w:lang w:val="lv-LV"/>
        </w:rPr>
      </w:pPr>
    </w:p>
    <w:p w14:paraId="43E02E35" w14:textId="1FDBE0E7" w:rsidR="009614A5" w:rsidRPr="00274AF2" w:rsidRDefault="009614A5" w:rsidP="00265863">
      <w:pPr>
        <w:jc w:val="right"/>
        <w:rPr>
          <w:rFonts w:ascii="Times New Roman" w:hAnsi="Times New Roman" w:cs="Times New Roman"/>
          <w:lang w:val="lv-LV"/>
        </w:rPr>
      </w:pPr>
      <w:r w:rsidRPr="00274AF2">
        <w:rPr>
          <w:rFonts w:ascii="Times New Roman" w:hAnsi="Times New Roman" w:cs="Times New Roman"/>
          <w:lang w:val="lv-LV"/>
        </w:rPr>
        <w:t>Ekonomikas ministrijai</w:t>
      </w:r>
    </w:p>
    <w:p w14:paraId="0A5984FE" w14:textId="2DC62A25" w:rsidR="009614A5" w:rsidRPr="00274AF2" w:rsidRDefault="00543308" w:rsidP="00265863">
      <w:pPr>
        <w:jc w:val="right"/>
        <w:rPr>
          <w:rFonts w:ascii="Times New Roman" w:hAnsi="Times New Roman" w:cs="Times New Roman"/>
          <w:lang w:val="lv-LV"/>
        </w:rPr>
      </w:pPr>
      <w:r w:rsidRPr="00274AF2">
        <w:rPr>
          <w:rFonts w:ascii="Times New Roman" w:hAnsi="Times New Roman" w:cs="Times New Roman"/>
          <w:lang w:val="lv-LV"/>
        </w:rPr>
        <w:t>pasts@em.gov.lv</w:t>
      </w:r>
      <w:r w:rsidR="00AD6CE2" w:rsidRPr="00274AF2">
        <w:rPr>
          <w:rFonts w:ascii="Times New Roman" w:hAnsi="Times New Roman" w:cs="Times New Roman"/>
          <w:lang w:val="lv-LV"/>
        </w:rPr>
        <w:t xml:space="preserve"> </w:t>
      </w:r>
    </w:p>
    <w:p w14:paraId="5A4416DE" w14:textId="48A32E68" w:rsidR="00543308" w:rsidRPr="00274AF2" w:rsidRDefault="007C6185" w:rsidP="00265863">
      <w:pPr>
        <w:jc w:val="right"/>
        <w:rPr>
          <w:rFonts w:ascii="Times New Roman" w:hAnsi="Times New Roman" w:cs="Times New Roman"/>
          <w:lang w:val="lv-LV"/>
        </w:rPr>
      </w:pPr>
      <w:r>
        <w:rPr>
          <w:rFonts w:ascii="Times New Roman" w:hAnsi="Times New Roman" w:cs="Times New Roman"/>
          <w:lang w:val="lv-LV"/>
        </w:rPr>
        <w:t>Inese.Karpovica@em.gov.lv</w:t>
      </w:r>
    </w:p>
    <w:p w14:paraId="63B51C3D" w14:textId="77777777" w:rsidR="00474001" w:rsidRDefault="00474001" w:rsidP="00265863">
      <w:pPr>
        <w:jc w:val="right"/>
        <w:rPr>
          <w:rFonts w:ascii="Times New Roman" w:hAnsi="Times New Roman" w:cs="Times New Roman"/>
          <w:lang w:val="lv-LV"/>
        </w:rPr>
      </w:pPr>
    </w:p>
    <w:p w14:paraId="399F2308" w14:textId="4458550C" w:rsidR="009614A5" w:rsidRPr="00274AF2" w:rsidRDefault="00820F82" w:rsidP="00421A49">
      <w:pPr>
        <w:ind w:right="5103"/>
        <w:jc w:val="both"/>
        <w:rPr>
          <w:rFonts w:ascii="Times New Roman" w:hAnsi="Times New Roman" w:cs="Times New Roman"/>
          <w:lang w:val="lv-LV"/>
        </w:rPr>
      </w:pPr>
      <w:r w:rsidRPr="00274AF2">
        <w:rPr>
          <w:rFonts w:ascii="Times New Roman" w:hAnsi="Times New Roman" w:cs="Times New Roman"/>
          <w:lang w:val="lv-LV"/>
        </w:rPr>
        <w:t>Atzinums p</w:t>
      </w:r>
      <w:r w:rsidR="009614A5" w:rsidRPr="00274AF2">
        <w:rPr>
          <w:rFonts w:ascii="Times New Roman" w:hAnsi="Times New Roman" w:cs="Times New Roman"/>
          <w:lang w:val="lv-LV"/>
        </w:rPr>
        <w:t xml:space="preserve">ar </w:t>
      </w:r>
      <w:r w:rsidR="008B307C" w:rsidRPr="00274AF2">
        <w:rPr>
          <w:rFonts w:ascii="Times New Roman" w:hAnsi="Times New Roman" w:cs="Times New Roman"/>
          <w:lang w:val="lv-LV"/>
        </w:rPr>
        <w:t xml:space="preserve">precizēto </w:t>
      </w:r>
      <w:r w:rsidR="00074219" w:rsidRPr="00274AF2">
        <w:rPr>
          <w:rFonts w:ascii="Times New Roman" w:hAnsi="Times New Roman" w:cs="Times New Roman"/>
          <w:lang w:val="lv-LV"/>
        </w:rPr>
        <w:t xml:space="preserve">likumprojektu </w:t>
      </w:r>
      <w:r w:rsidR="00B21179">
        <w:rPr>
          <w:rFonts w:ascii="Times New Roman" w:hAnsi="Times New Roman" w:cs="Times New Roman"/>
        </w:rPr>
        <w:t>“</w:t>
      </w:r>
      <w:r w:rsidR="00074219" w:rsidRPr="00274AF2">
        <w:rPr>
          <w:rFonts w:ascii="Times New Roman" w:hAnsi="Times New Roman" w:cs="Times New Roman"/>
          <w:lang w:val="lv-LV"/>
        </w:rPr>
        <w:t>Grozījumi Enerģētikas likumā</w:t>
      </w:r>
      <w:r w:rsidR="00B21179">
        <w:rPr>
          <w:rFonts w:ascii="Times New Roman" w:hAnsi="Times New Roman" w:cs="Times New Roman"/>
        </w:rPr>
        <w:t>”</w:t>
      </w:r>
      <w:r w:rsidR="00421A49" w:rsidRPr="00274AF2">
        <w:rPr>
          <w:rFonts w:ascii="Times New Roman" w:hAnsi="Times New Roman" w:cs="Times New Roman"/>
          <w:lang w:val="lv-LV"/>
        </w:rPr>
        <w:t xml:space="preserve"> (VSS- 307)</w:t>
      </w:r>
    </w:p>
    <w:p w14:paraId="290FCB9D" w14:textId="77777777" w:rsidR="009614A5" w:rsidRPr="00274AF2" w:rsidRDefault="009614A5" w:rsidP="00265863">
      <w:pPr>
        <w:jc w:val="both"/>
        <w:rPr>
          <w:rFonts w:ascii="Times New Roman" w:hAnsi="Times New Roman" w:cs="Times New Roman"/>
          <w:lang w:val="lv-LV"/>
        </w:rPr>
      </w:pPr>
    </w:p>
    <w:p w14:paraId="661B5D75" w14:textId="4E3DA5F6" w:rsidR="007B1E7D" w:rsidRPr="00274AF2" w:rsidRDefault="008B307C" w:rsidP="00274AF2">
      <w:pPr>
        <w:pStyle w:val="BodyText2"/>
      </w:pPr>
      <w:r w:rsidRPr="00274AF2">
        <w:tab/>
      </w:r>
      <w:r w:rsidR="00F052AC" w:rsidRPr="00274AF2">
        <w:t>A</w:t>
      </w:r>
      <w:r w:rsidR="00421A49" w:rsidRPr="00274AF2">
        <w:t xml:space="preserve">kciju sabiedrība </w:t>
      </w:r>
      <w:r w:rsidR="00B21179">
        <w:t>“</w:t>
      </w:r>
      <w:r w:rsidR="00421A49" w:rsidRPr="00274AF2">
        <w:t>Conexus Baltic Grid</w:t>
      </w:r>
      <w:r w:rsidR="00B21179">
        <w:t>”</w:t>
      </w:r>
      <w:r w:rsidR="00421A49" w:rsidRPr="00274AF2">
        <w:t xml:space="preserve"> (turpmāk – Sabiedrība) </w:t>
      </w:r>
      <w:r w:rsidR="00F052AC" w:rsidRPr="00274AF2">
        <w:t>2021.</w:t>
      </w:r>
      <w:r w:rsidR="00274AF2">
        <w:t xml:space="preserve"> </w:t>
      </w:r>
      <w:r w:rsidR="00F052AC" w:rsidRPr="00274AF2">
        <w:t>gada 9.</w:t>
      </w:r>
      <w:r w:rsidR="00274AF2">
        <w:t xml:space="preserve"> </w:t>
      </w:r>
      <w:r w:rsidR="00F052AC" w:rsidRPr="00274AF2">
        <w:t xml:space="preserve">jūnijā </w:t>
      </w:r>
      <w:r w:rsidR="00421A49" w:rsidRPr="00274AF2">
        <w:t xml:space="preserve">ir </w:t>
      </w:r>
      <w:r w:rsidR="00F052AC" w:rsidRPr="00274AF2">
        <w:t>saņēmusi Ekonomikas ministrijas elektroniskā pasta sūtījumu</w:t>
      </w:r>
      <w:r w:rsidR="00B21179">
        <w:t>,</w:t>
      </w:r>
      <w:r w:rsidR="007B1E7D" w:rsidRPr="00274AF2">
        <w:t xml:space="preserve"> ar kuru Sabiedrīb</w:t>
      </w:r>
      <w:r w:rsidR="00B21179">
        <w:t>a lūgta</w:t>
      </w:r>
      <w:r w:rsidR="007B1E7D" w:rsidRPr="00274AF2">
        <w:t xml:space="preserve"> sniegt saskaņojumu precizētajam likumprojektam </w:t>
      </w:r>
      <w:r w:rsidR="00B21179">
        <w:t>“</w:t>
      </w:r>
      <w:r w:rsidR="00421A49" w:rsidRPr="00274AF2">
        <w:t>Grozījumi Enerģētikas likumā</w:t>
      </w:r>
      <w:r w:rsidR="00B21179">
        <w:t>”</w:t>
      </w:r>
      <w:r w:rsidR="00421A49" w:rsidRPr="00274AF2">
        <w:t xml:space="preserve"> (VSS-307)</w:t>
      </w:r>
      <w:r w:rsidR="007B1E7D" w:rsidRPr="00274AF2">
        <w:t xml:space="preserve"> (turpmāk – precizētais likumprojekts).</w:t>
      </w:r>
    </w:p>
    <w:p w14:paraId="36152325" w14:textId="3BF225CA" w:rsidR="007B1E7D" w:rsidRPr="00274AF2" w:rsidRDefault="007B1E7D" w:rsidP="00274AF2">
      <w:pPr>
        <w:pStyle w:val="BodyText2"/>
      </w:pPr>
      <w:r w:rsidRPr="00274AF2">
        <w:tab/>
        <w:t xml:space="preserve">Sabiedrība ir </w:t>
      </w:r>
      <w:r w:rsidR="00AB42B3" w:rsidRPr="00274AF2">
        <w:t xml:space="preserve">izvērtējusi precizēto likumprojektu un sniedz šādus </w:t>
      </w:r>
      <w:r w:rsidR="005213DD">
        <w:t xml:space="preserve">priekšlikumus un </w:t>
      </w:r>
      <w:r w:rsidR="00AB42B3" w:rsidRPr="00274AF2">
        <w:t>iebildumus</w:t>
      </w:r>
      <w:r w:rsidR="005213DD">
        <w:t>:</w:t>
      </w:r>
    </w:p>
    <w:p w14:paraId="24DD9806" w14:textId="42F239B6" w:rsidR="00681C01" w:rsidRPr="00274AF2" w:rsidRDefault="00681C01" w:rsidP="00274AF2">
      <w:pPr>
        <w:pStyle w:val="BodyText2"/>
        <w:numPr>
          <w:ilvl w:val="0"/>
          <w:numId w:val="12"/>
        </w:numPr>
        <w:tabs>
          <w:tab w:val="left" w:pos="1134"/>
        </w:tabs>
        <w:ind w:left="0" w:firstLine="851"/>
      </w:pPr>
      <w:r w:rsidRPr="00274AF2">
        <w:t xml:space="preserve">Precizētajā likumprojektā piedāvātas termina </w:t>
      </w:r>
      <w:r w:rsidR="00B21179">
        <w:t>“</w:t>
      </w:r>
      <w:r w:rsidRPr="00274AF2">
        <w:t>sašķidrinātās dabasgāzes pakalpojums</w:t>
      </w:r>
      <w:r w:rsidR="00B21179">
        <w:t>”</w:t>
      </w:r>
      <w:r w:rsidRPr="00274AF2">
        <w:t xml:space="preserve"> izmaiņas, paredzot, ka tā ir dabasgāzes šķidrināšanas vai sašķidrinātās dabasgāzes saņemšana, izkraušana, uzglabāšana un pārvēršana gāzveida stāvoklī turpmākai piegādei uz dabasgāzes pārvades sistēmu vai sadales sistēmu. Savukārt</w:t>
      </w:r>
      <w:r w:rsidR="00FE2663" w:rsidRPr="00274AF2">
        <w:t xml:space="preserve"> Enerģētikas likuma 107.</w:t>
      </w:r>
      <w:r w:rsidR="008441C9">
        <w:t> </w:t>
      </w:r>
      <w:r w:rsidR="00FE2663" w:rsidRPr="00274AF2">
        <w:t xml:space="preserve">panta septītā daļa pašreizējā redakcijā paredz, ka sašķidrinātās dabasgāzes pakalpojuma sniegšanas kārtību nosaka Ministru kabinets. </w:t>
      </w:r>
    </w:p>
    <w:p w14:paraId="181D5B4E" w14:textId="7A81AD72" w:rsidR="00081AB8" w:rsidRPr="00274AF2" w:rsidRDefault="00167B61" w:rsidP="00274AF2">
      <w:pPr>
        <w:pStyle w:val="BodyText2"/>
      </w:pPr>
      <w:r w:rsidRPr="00274AF2">
        <w:tab/>
      </w:r>
      <w:r w:rsidR="00962216" w:rsidRPr="00274AF2">
        <w:t xml:space="preserve">Šobrīd saskaņošanas procesā ir noteikumu projekts </w:t>
      </w:r>
      <w:r w:rsidR="00B21179">
        <w:t>“</w:t>
      </w:r>
      <w:r w:rsidR="00962216" w:rsidRPr="00274AF2">
        <w:t xml:space="preserve">Grozījumi Ministru kabineta 2017. gada 7. februāra noteikumos Nr. 78 </w:t>
      </w:r>
      <w:r w:rsidR="00B21179">
        <w:t>“</w:t>
      </w:r>
      <w:r w:rsidR="00962216" w:rsidRPr="00274AF2">
        <w:t>Dabasgāzes tirdzniecības un lietošanas noteikumi</w:t>
      </w:r>
      <w:r w:rsidR="00B21179">
        <w:t>””</w:t>
      </w:r>
      <w:r w:rsidR="00962216" w:rsidRPr="00274AF2">
        <w:t xml:space="preserve"> (VSS-510) (turpmāk – MK noteikumu projekts) ar kuru plānots noregulēt sašķidrinātās dabasgāzes pakalpojuma sniegšanas kārtību. </w:t>
      </w:r>
      <w:r w:rsidR="00443CA0" w:rsidRPr="00274AF2">
        <w:t>Ekonomikas ministrija MK noteikumu projekta anotācijā attiecībā uz sašķidrinātās dabasgāzes</w:t>
      </w:r>
      <w:r w:rsidR="00D3485C" w:rsidRPr="00274AF2">
        <w:t xml:space="preserve"> pakalpojuma sniegšanas</w:t>
      </w:r>
      <w:r w:rsidR="00443CA0" w:rsidRPr="00274AF2">
        <w:t xml:space="preserve"> regulējuma ieviešanu skaidro, ka Ministru kabineta noteikumos ietveramas tikai normas, kas būtu attiecināmas uz sistēmas </w:t>
      </w:r>
      <w:proofErr w:type="spellStart"/>
      <w:r w:rsidR="00443CA0" w:rsidRPr="00274AF2">
        <w:t>pieslēgumu</w:t>
      </w:r>
      <w:proofErr w:type="spellEnd"/>
      <w:r w:rsidR="00443CA0" w:rsidRPr="00274AF2">
        <w:t xml:space="preserve"> gadījumā, kad dabasgāze tiešā veidā tiek nodota lietotājam, un nebūtu pamata atkārtot esošās normas un ietvert regulējumu, kas saistīts ar sašķidrinātās dabasgāzes sistēmas operatora objektu pieslēgšanu pārvades sistēmai.</w:t>
      </w:r>
      <w:r w:rsidR="00081AB8" w:rsidRPr="00274AF2">
        <w:t xml:space="preserve"> </w:t>
      </w:r>
    </w:p>
    <w:p w14:paraId="65687CA3" w14:textId="01811B58" w:rsidR="00081AB8" w:rsidRPr="00274AF2" w:rsidRDefault="00081AB8" w:rsidP="00274AF2">
      <w:pPr>
        <w:pStyle w:val="BodyText2"/>
      </w:pPr>
      <w:r w:rsidRPr="00274AF2">
        <w:tab/>
        <w:t xml:space="preserve">Ievērojot minēto, Sabiedrība lūdz Ekonomikas ministriju pārskatīt termina </w:t>
      </w:r>
      <w:r w:rsidR="00B21179">
        <w:t>“</w:t>
      </w:r>
      <w:r w:rsidRPr="00274AF2">
        <w:t>sašķidrinātās dabasgāzes pakalpojums</w:t>
      </w:r>
      <w:r w:rsidR="00B21179">
        <w:t>”</w:t>
      </w:r>
      <w:r w:rsidRPr="00274AF2">
        <w:t xml:space="preserve"> izmantošanu precizētajā likumprojektā un attiecīgi pārskatīt precizētā likumprojekta </w:t>
      </w:r>
      <w:r w:rsidR="00D3485C" w:rsidRPr="00274AF2">
        <w:t>sākotnējās ietekmes novērtējuma ziņojumu (</w:t>
      </w:r>
      <w:r w:rsidRPr="00274AF2">
        <w:t>anotāciju</w:t>
      </w:r>
      <w:r w:rsidR="00D3485C" w:rsidRPr="00274AF2">
        <w:t>) (turpmāk – anotācija)</w:t>
      </w:r>
      <w:r w:rsidR="001D033E" w:rsidRPr="00274AF2">
        <w:t>, jo šobrīd paralēli virzāmajā MK noteikumu projektā pēc būtības noteikts, ka par sašķidrinātās dabasgāzes pakalpojumu ir uzskatāma arī situācija, kad sašķidrinātās dabasgāzes lietotāja dabasgāzes apgādes sistēma tiek pieslēgta sašķidrinātās dabasgāzes iekārtai, sašķidrinātās dabasgāzes sistēmas lietotājam un sašķidrinātās dabasgāzes sistēmas operatoram savstarpēji vienojoties par nosacījumiem minēto sistēmu savstarpējai savienošanai un sašķidrinātās dabasgāzes pakalpojuma sniegšanai.</w:t>
      </w:r>
    </w:p>
    <w:p w14:paraId="7AB7950F" w14:textId="1CB0C71F" w:rsidR="007B1E7D" w:rsidRPr="00274AF2" w:rsidRDefault="00E727B2" w:rsidP="00274AF2">
      <w:pPr>
        <w:pStyle w:val="BodyText2"/>
        <w:numPr>
          <w:ilvl w:val="0"/>
          <w:numId w:val="12"/>
        </w:numPr>
        <w:tabs>
          <w:tab w:val="left" w:pos="1134"/>
        </w:tabs>
        <w:ind w:left="0" w:firstLine="851"/>
      </w:pPr>
      <w:r w:rsidRPr="00274AF2">
        <w:t xml:space="preserve">Izziņā par atzinumos sniegtajiem precizētā likumprojekta iebildumiem (turpmāk – izziņa) Ekonomikas ministrija ir norādījusi, ka termins </w:t>
      </w:r>
      <w:r w:rsidR="00B21179">
        <w:t>“</w:t>
      </w:r>
      <w:r w:rsidRPr="00274AF2">
        <w:t>regulatīvā smilšu kaste</w:t>
      </w:r>
      <w:r w:rsidR="00B21179">
        <w:t>”</w:t>
      </w:r>
      <w:r w:rsidR="00E501EA" w:rsidRPr="00274AF2">
        <w:t xml:space="preserve"> nav iekļaujams likumā tā specifikas un apstākļa, ka tas nekur neparādās Enerģētikas likumā</w:t>
      </w:r>
      <w:r w:rsidR="00CE0B59" w:rsidRPr="00274AF2">
        <w:t>,</w:t>
      </w:r>
      <w:r w:rsidR="00E501EA" w:rsidRPr="00274AF2">
        <w:t xml:space="preserve"> dēļ.</w:t>
      </w:r>
    </w:p>
    <w:p w14:paraId="7E3F0937" w14:textId="2D373ACF" w:rsidR="00D46847" w:rsidRPr="00274AF2" w:rsidRDefault="00633AB4" w:rsidP="00274AF2">
      <w:pPr>
        <w:pStyle w:val="BodyText2"/>
      </w:pPr>
      <w:r w:rsidRPr="00274AF2">
        <w:tab/>
      </w:r>
      <w:r w:rsidR="6430ED33" w:rsidRPr="00274AF2">
        <w:t>Sabiedrības ieskatā p</w:t>
      </w:r>
      <w:r w:rsidR="5B225A4C" w:rsidRPr="00274AF2">
        <w:t>recizētajā likumprojektā iekļaujama norma</w:t>
      </w:r>
      <w:r w:rsidR="52303598" w:rsidRPr="00274AF2">
        <w:t xml:space="preserve">, kas paredz </w:t>
      </w:r>
      <w:r w:rsidR="5E23554D" w:rsidRPr="00274AF2">
        <w:t xml:space="preserve">sistēmas operatoru </w:t>
      </w:r>
      <w:r w:rsidR="52303598" w:rsidRPr="00274AF2">
        <w:t>enerģ</w:t>
      </w:r>
      <w:r w:rsidR="00037FD3" w:rsidRPr="00274AF2">
        <w:t>ētikas</w:t>
      </w:r>
      <w:r w:rsidR="52303598" w:rsidRPr="00274AF2">
        <w:t xml:space="preserve"> inovāciju projekt</w:t>
      </w:r>
      <w:r w:rsidR="3B67C7B1" w:rsidRPr="00274AF2">
        <w:t>u</w:t>
      </w:r>
      <w:r w:rsidR="52303598" w:rsidRPr="00274AF2">
        <w:t xml:space="preserve"> </w:t>
      </w:r>
      <w:r w:rsidR="026126F5" w:rsidRPr="00274AF2">
        <w:t>īstenošanas iespēj</w:t>
      </w:r>
      <w:r w:rsidR="00274AF2">
        <w:t>u</w:t>
      </w:r>
      <w:r w:rsidR="52303598" w:rsidRPr="00274AF2">
        <w:t xml:space="preserve"> ar mērķi atbalstīt enerģ</w:t>
      </w:r>
      <w:r w:rsidR="00037FD3" w:rsidRPr="00274AF2">
        <w:t>ētikas</w:t>
      </w:r>
      <w:r w:rsidR="52303598" w:rsidRPr="00274AF2">
        <w:t xml:space="preserve"> </w:t>
      </w:r>
      <w:r w:rsidR="52303598" w:rsidRPr="00274AF2">
        <w:lastRenderedPageBreak/>
        <w:t>inovā</w:t>
      </w:r>
      <w:r w:rsidR="414A2BF3" w:rsidRPr="00274AF2">
        <w:t>ciju</w:t>
      </w:r>
      <w:r w:rsidR="68F8BF28" w:rsidRPr="00274AF2">
        <w:t xml:space="preserve"> projektu</w:t>
      </w:r>
      <w:r w:rsidR="414A2BF3" w:rsidRPr="00274AF2">
        <w:t xml:space="preserve"> ieviešanu Latvijas enerģētikas nozarē.</w:t>
      </w:r>
      <w:r w:rsidR="4B6FD9F1" w:rsidRPr="00274AF2">
        <w:t xml:space="preserve"> </w:t>
      </w:r>
      <w:r w:rsidR="00C17139" w:rsidRPr="00274AF2">
        <w:t>E</w:t>
      </w:r>
      <w:r w:rsidR="000E5FA5" w:rsidRPr="00274AF2">
        <w:t>nerģ</w:t>
      </w:r>
      <w:r w:rsidR="00037FD3" w:rsidRPr="00274AF2">
        <w:t>ētikas inovāciju projekti</w:t>
      </w:r>
      <w:r w:rsidR="00A8150F" w:rsidRPr="00274AF2">
        <w:t xml:space="preserve">, kas </w:t>
      </w:r>
      <w:r w:rsidR="00903F00" w:rsidRPr="00274AF2">
        <w:t xml:space="preserve">tiek </w:t>
      </w:r>
      <w:r w:rsidR="00AB39BA" w:rsidRPr="00274AF2">
        <w:t>apzīmēti</w:t>
      </w:r>
      <w:r w:rsidR="0053264F" w:rsidRPr="00274AF2">
        <w:t xml:space="preserve"> ar </w:t>
      </w:r>
      <w:r w:rsidR="00AB39BA" w:rsidRPr="00274AF2">
        <w:t xml:space="preserve">terminu </w:t>
      </w:r>
      <w:r w:rsidR="00B21179">
        <w:t>“</w:t>
      </w:r>
      <w:proofErr w:type="spellStart"/>
      <w:r w:rsidR="0053264F" w:rsidRPr="00274AF2">
        <w:rPr>
          <w:i/>
          <w:iCs/>
        </w:rPr>
        <w:t>regulatory</w:t>
      </w:r>
      <w:proofErr w:type="spellEnd"/>
      <w:r w:rsidR="0053264F" w:rsidRPr="00274AF2">
        <w:rPr>
          <w:i/>
          <w:iCs/>
        </w:rPr>
        <w:t xml:space="preserve"> </w:t>
      </w:r>
      <w:proofErr w:type="spellStart"/>
      <w:r w:rsidR="0053264F" w:rsidRPr="00274AF2">
        <w:rPr>
          <w:i/>
          <w:iCs/>
        </w:rPr>
        <w:t>sandbox</w:t>
      </w:r>
      <w:proofErr w:type="spellEnd"/>
      <w:r w:rsidR="00B21179">
        <w:t>”</w:t>
      </w:r>
      <w:r w:rsidR="00AB39BA" w:rsidRPr="00274AF2">
        <w:t xml:space="preserve"> jeb regulatīvā smilšu kaste</w:t>
      </w:r>
      <w:r w:rsidR="00714505" w:rsidRPr="00274AF2">
        <w:t xml:space="preserve"> ir plaši atpazīstami visā Eiropā, piemēram, Florences Regulācijas</w:t>
      </w:r>
      <w:r w:rsidR="00391D39" w:rsidRPr="00274AF2">
        <w:t xml:space="preserve"> lietu skol</w:t>
      </w:r>
      <w:r w:rsidR="006A0179" w:rsidRPr="00274AF2">
        <w:t>as</w:t>
      </w:r>
      <w:r w:rsidR="001027BD" w:rsidRPr="00274AF2">
        <w:t xml:space="preserve"> semināros</w:t>
      </w:r>
      <w:r w:rsidR="00DE17C0" w:rsidRPr="00274AF2">
        <w:t xml:space="preserve"> (aplūkojot Itālijas, </w:t>
      </w:r>
      <w:r w:rsidR="00096E47" w:rsidRPr="00274AF2">
        <w:t xml:space="preserve">Nīderlandes, </w:t>
      </w:r>
      <w:r w:rsidR="00DE17C0" w:rsidRPr="00274AF2">
        <w:t>Lielbritānijas</w:t>
      </w:r>
      <w:r w:rsidR="00096E47" w:rsidRPr="00274AF2">
        <w:t xml:space="preserve"> enerģētikas politiku)</w:t>
      </w:r>
      <w:r w:rsidR="00303DEA" w:rsidRPr="00274AF2">
        <w:rPr>
          <w:rStyle w:val="FootnoteReference"/>
        </w:rPr>
        <w:footnoteReference w:id="2"/>
      </w:r>
      <w:r w:rsidR="00391D39" w:rsidRPr="00274AF2">
        <w:t xml:space="preserve">, </w:t>
      </w:r>
      <w:r w:rsidR="001027BD" w:rsidRPr="00274AF2">
        <w:t xml:space="preserve">kā arī </w:t>
      </w:r>
      <w:r w:rsidR="002E6D48" w:rsidRPr="00274AF2">
        <w:t>Lietuvas</w:t>
      </w:r>
      <w:r w:rsidR="006635C1" w:rsidRPr="00274AF2">
        <w:rPr>
          <w:rStyle w:val="FootnoteReference"/>
        </w:rPr>
        <w:footnoteReference w:id="3"/>
      </w:r>
      <w:r w:rsidR="002E6D48" w:rsidRPr="00274AF2">
        <w:t xml:space="preserve"> vai </w:t>
      </w:r>
      <w:r w:rsidR="003B214F" w:rsidRPr="00274AF2">
        <w:t>Vācijas</w:t>
      </w:r>
      <w:r w:rsidR="00FB7EF9" w:rsidRPr="00274AF2">
        <w:rPr>
          <w:rStyle w:val="FootnoteReference"/>
        </w:rPr>
        <w:footnoteReference w:id="4"/>
      </w:r>
      <w:r w:rsidR="003B214F" w:rsidRPr="00274AF2">
        <w:t xml:space="preserve"> enerģētikas politikā</w:t>
      </w:r>
      <w:r w:rsidR="00274AF2">
        <w:t>, kur šo konceptu valsts politikā iedzīvina tieši par enerģētikas nozari atbildīgās ministrijas</w:t>
      </w:r>
      <w:r w:rsidR="003B214F" w:rsidRPr="00274AF2">
        <w:t xml:space="preserve">. </w:t>
      </w:r>
    </w:p>
    <w:p w14:paraId="3B10D26A" w14:textId="779BE09A" w:rsidR="007B1E7D" w:rsidRPr="00274AF2" w:rsidRDefault="00471D5C" w:rsidP="00274AF2">
      <w:pPr>
        <w:pStyle w:val="BodyText2"/>
        <w:ind w:firstLine="709"/>
      </w:pPr>
      <w:r w:rsidRPr="00274AF2">
        <w:t xml:space="preserve">Regulatīvie eksperimenti jeb </w:t>
      </w:r>
      <w:r w:rsidR="00B21179">
        <w:t>“</w:t>
      </w:r>
      <w:r w:rsidRPr="00274AF2">
        <w:t>dinamiskais regulējums</w:t>
      </w:r>
      <w:r w:rsidR="00B21179">
        <w:t>”</w:t>
      </w:r>
      <w:r w:rsidR="00BE43F1" w:rsidRPr="00274AF2">
        <w:t xml:space="preserve">: 1) var tikt piemērots gan regulētiem, gan neregulētiem tirgus dalībniekiem; 2) </w:t>
      </w:r>
      <w:r w:rsidR="0001429C" w:rsidRPr="00274AF2">
        <w:t>lai stimulētu jaunus tirgus dalībniekus un darbības, svarīgs regulatīvais instruments ir atkāpju piešķiršana. Tās piešķir tikai ar speciālu regul</w:t>
      </w:r>
      <w:r w:rsidR="00D46847" w:rsidRPr="00274AF2">
        <w:t>ējošo iestāžu</w:t>
      </w:r>
      <w:r w:rsidR="0001429C" w:rsidRPr="00274AF2">
        <w:t xml:space="preserve"> lēmumu un piešķirtās atkāpes pārskata, kad inovācija ir pietiekami nobriedusi; 3)</w:t>
      </w:r>
      <w:r w:rsidR="0001429C" w:rsidRPr="00B1129F">
        <w:t xml:space="preserve"> </w:t>
      </w:r>
      <w:r w:rsidR="00D860F6">
        <w:t>r</w:t>
      </w:r>
      <w:r w:rsidR="006E4FDC" w:rsidRPr="00274AF2">
        <w:t xml:space="preserve">egulatīvos eksperimentus var definēt kā pagaidu </w:t>
      </w:r>
      <w:r w:rsidR="00EE5262">
        <w:t>regulatīvo šķēršļu novēršanu. Tie</w:t>
      </w:r>
      <w:r w:rsidR="006E4FDC" w:rsidRPr="00274AF2">
        <w:t xml:space="preserve"> var izpausties kā atkāpe no noteikumiem, vai, ka kādam dalībniekam tiek piešķirta jauna atbildība par tādu darbību veikšanu, kurās parasti nav atļauts iesaistīties.</w:t>
      </w:r>
      <w:r w:rsidR="00FD02C5" w:rsidRPr="00274AF2">
        <w:t xml:space="preserve"> Piemēram</w:t>
      </w:r>
      <w:r w:rsidR="4B6FD9F1" w:rsidRPr="00274AF2">
        <w:t>, sistēm</w:t>
      </w:r>
      <w:r w:rsidR="00F75015" w:rsidRPr="00274AF2">
        <w:t>u</w:t>
      </w:r>
      <w:r w:rsidR="4B6FD9F1" w:rsidRPr="00274AF2">
        <w:t xml:space="preserve"> operator</w:t>
      </w:r>
      <w:r w:rsidR="00F75015" w:rsidRPr="00274AF2">
        <w:t>iem</w:t>
      </w:r>
      <w:r w:rsidR="00FD02C5" w:rsidRPr="00274AF2">
        <w:t xml:space="preserve"> vai citiem tirgus dalībniekiem varētu piemērot</w:t>
      </w:r>
      <w:r w:rsidR="540FA42E" w:rsidRPr="00274AF2">
        <w:t xml:space="preserve"> tiesības darboties inovāciju projektu īstenošanas ietvarā atbilstoši Sabiedrisko pakalpojumu regulēšanas komisijas (turpmāk </w:t>
      </w:r>
      <w:r w:rsidR="00B21179">
        <w:t>–</w:t>
      </w:r>
      <w:r w:rsidR="540FA42E" w:rsidRPr="00274AF2">
        <w:t xml:space="preserve"> Regulators) apstiprinātajiem noteiku</w:t>
      </w:r>
      <w:r w:rsidR="0073C100" w:rsidRPr="00274AF2">
        <w:t>miem un/vai noteiktajām metodikām</w:t>
      </w:r>
      <w:r w:rsidR="368E456C" w:rsidRPr="00274AF2">
        <w:t xml:space="preserve">, kuru </w:t>
      </w:r>
      <w:r w:rsidR="7D6A4D21" w:rsidRPr="00274AF2">
        <w:t>izstrādes pienākum</w:t>
      </w:r>
      <w:r w:rsidR="008C7ED5" w:rsidRPr="00274AF2">
        <w:t xml:space="preserve">s </w:t>
      </w:r>
      <w:r w:rsidR="00D860F6">
        <w:t>ietverams</w:t>
      </w:r>
      <w:r w:rsidR="7D6A4D21" w:rsidRPr="00274AF2">
        <w:t xml:space="preserve"> tieši Enerģētikas likumā kā enerģētikas nozares speciālajā normatīvajā aktā</w:t>
      </w:r>
      <w:r w:rsidR="0073C100" w:rsidRPr="00274AF2">
        <w:t>.</w:t>
      </w:r>
      <w:r w:rsidR="540FA42E" w:rsidRPr="00274AF2">
        <w:t xml:space="preserve"> </w:t>
      </w:r>
      <w:r w:rsidR="01CB6A4A" w:rsidRPr="00274AF2">
        <w:t xml:space="preserve">Papildus minētajam </w:t>
      </w:r>
      <w:r w:rsidR="488D8412" w:rsidRPr="00274AF2">
        <w:t>būtu papildināma Enerģētikas likuma 84.</w:t>
      </w:r>
      <w:r w:rsidR="488D8412" w:rsidRPr="00274AF2">
        <w:rPr>
          <w:vertAlign w:val="superscript"/>
        </w:rPr>
        <w:t>1</w:t>
      </w:r>
      <w:r w:rsidR="488D8412" w:rsidRPr="00274AF2">
        <w:t xml:space="preserve"> panta otrā daļa ar </w:t>
      </w:r>
      <w:r w:rsidR="302098DE" w:rsidRPr="00274AF2">
        <w:t xml:space="preserve">jaunu </w:t>
      </w:r>
      <w:r w:rsidR="488D8412" w:rsidRPr="00274AF2">
        <w:t>9.</w:t>
      </w:r>
      <w:r w:rsidR="00274AF2">
        <w:t xml:space="preserve"> </w:t>
      </w:r>
      <w:r w:rsidR="5552DEBD" w:rsidRPr="00274AF2">
        <w:t xml:space="preserve">punktu, kas noteiktu Regulatora pienākumu uzraudzīt </w:t>
      </w:r>
      <w:r w:rsidR="3F8EAF3A" w:rsidRPr="00274AF2">
        <w:t>enerģ</w:t>
      </w:r>
      <w:r w:rsidR="00274AF2">
        <w:t>ētikas</w:t>
      </w:r>
      <w:r w:rsidR="3F8EAF3A" w:rsidRPr="00274AF2">
        <w:t xml:space="preserve"> inovāciju projektu uzsākšanu un īstenošanu.</w:t>
      </w:r>
    </w:p>
    <w:p w14:paraId="02D309A4" w14:textId="3D2BAEC4" w:rsidR="77960D80" w:rsidRPr="00274AF2" w:rsidRDefault="77960D80" w:rsidP="00274AF2">
      <w:pPr>
        <w:pStyle w:val="BodyText2"/>
        <w:ind w:firstLine="709"/>
      </w:pPr>
      <w:r w:rsidRPr="00274AF2">
        <w:tab/>
        <w:t>Attiecīgi Regulator</w:t>
      </w:r>
      <w:r w:rsidR="00811AF4" w:rsidRPr="00274AF2">
        <w:t>s</w:t>
      </w:r>
      <w:r w:rsidR="0006784F" w:rsidRPr="00274AF2">
        <w:t xml:space="preserve"> varētu būt tas, kas nosaka</w:t>
      </w:r>
      <w:r w:rsidR="00B1129F">
        <w:t>,</w:t>
      </w:r>
      <w:r w:rsidRPr="00274AF2">
        <w:t xml:space="preserve"> vai konkrētais enerģ</w:t>
      </w:r>
      <w:r w:rsidR="00274AF2">
        <w:t>ētikas</w:t>
      </w:r>
      <w:r w:rsidRPr="00274AF2">
        <w:t xml:space="preserve"> inovāciju projekts ir pamatots, izvērtējot </w:t>
      </w:r>
      <w:r w:rsidR="240F93CA" w:rsidRPr="00274AF2">
        <w:t xml:space="preserve">gan </w:t>
      </w:r>
      <w:r w:rsidRPr="00274AF2">
        <w:t>ietekmi uz patērētājiem,</w:t>
      </w:r>
      <w:r w:rsidR="190CF245" w:rsidRPr="00274AF2">
        <w:t xml:space="preserve"> gan</w:t>
      </w:r>
      <w:r w:rsidRPr="00274AF2">
        <w:t xml:space="preserve"> identificējot potenciālos regul</w:t>
      </w:r>
      <w:r w:rsidR="17426702" w:rsidRPr="00274AF2">
        <w:t>ējuma trūkumus enerģ</w:t>
      </w:r>
      <w:r w:rsidR="00274AF2">
        <w:t>ētikas</w:t>
      </w:r>
      <w:r w:rsidR="17426702" w:rsidRPr="00274AF2">
        <w:t xml:space="preserve"> inovāciju jomā, </w:t>
      </w:r>
      <w:r w:rsidR="49B439F3" w:rsidRPr="00274AF2">
        <w:t>gan</w:t>
      </w:r>
      <w:r w:rsidR="17426702" w:rsidRPr="00274AF2">
        <w:t xml:space="preserve"> arī Regulatora kompetences ietvaros mazin</w:t>
      </w:r>
      <w:r w:rsidR="00F86A12">
        <w:t>o</w:t>
      </w:r>
      <w:r w:rsidR="17426702" w:rsidRPr="00274AF2">
        <w:t xml:space="preserve">t </w:t>
      </w:r>
      <w:r w:rsidR="49741530" w:rsidRPr="00274AF2">
        <w:t>vai izslē</w:t>
      </w:r>
      <w:r w:rsidR="00F86A12">
        <w:t>dzot</w:t>
      </w:r>
      <w:r w:rsidR="49741530" w:rsidRPr="00274AF2">
        <w:t xml:space="preserve"> potenciāli negatīvo enerģ</w:t>
      </w:r>
      <w:r w:rsidR="00274AF2">
        <w:t>ētikas</w:t>
      </w:r>
      <w:r w:rsidR="49741530" w:rsidRPr="00274AF2">
        <w:t xml:space="preserve"> inovācij</w:t>
      </w:r>
      <w:r w:rsidR="00274AF2">
        <w:t xml:space="preserve">u </w:t>
      </w:r>
      <w:r w:rsidR="49741530" w:rsidRPr="00274AF2">
        <w:t>projektu ietekmi, ja tāda rodas</w:t>
      </w:r>
      <w:r w:rsidR="320175E7" w:rsidRPr="00274AF2">
        <w:t xml:space="preserve"> enerģ</w:t>
      </w:r>
      <w:r w:rsidR="00274AF2">
        <w:t>ētikas</w:t>
      </w:r>
      <w:r w:rsidR="320175E7" w:rsidRPr="00274AF2">
        <w:t xml:space="preserve"> inovāciju projekta īstenošanas gaitā</w:t>
      </w:r>
      <w:r w:rsidR="49741530" w:rsidRPr="00274AF2">
        <w:t>.</w:t>
      </w:r>
      <w:r w:rsidR="006829F6" w:rsidRPr="00274AF2">
        <w:t xml:space="preserve"> </w:t>
      </w:r>
      <w:r w:rsidR="006070BA" w:rsidRPr="00274AF2">
        <w:t>L</w:t>
      </w:r>
      <w:r w:rsidR="006829F6" w:rsidRPr="00274AF2">
        <w:t xml:space="preserve">ūdzam ņemt vērā Sabiedrības </w:t>
      </w:r>
      <w:r w:rsidR="006B5710" w:rsidRPr="00274AF2">
        <w:t>2021.</w:t>
      </w:r>
      <w:r w:rsidR="00274AF2">
        <w:t xml:space="preserve"> </w:t>
      </w:r>
      <w:r w:rsidR="006B5710" w:rsidRPr="00274AF2">
        <w:t>gada 19.</w:t>
      </w:r>
      <w:r w:rsidR="00274AF2">
        <w:t xml:space="preserve"> </w:t>
      </w:r>
      <w:r w:rsidR="006B5710" w:rsidRPr="00274AF2">
        <w:t xml:space="preserve">aprīļa atzinumā Nr. COR-N-2021/0654 sniegtos priekšlikumus un izklāstītos argumentus par regulatīvās smilšu kastes </w:t>
      </w:r>
      <w:r w:rsidR="003E49F4" w:rsidRPr="00274AF2">
        <w:t xml:space="preserve">ieviešanu. Vienlaikus rosinām </w:t>
      </w:r>
      <w:r w:rsidR="00E32064" w:rsidRPr="00274AF2">
        <w:t>pielāgot terminoloģiju un papildināt Enerģētikas likuma 1. pantu ar 55. punktu šādā redakcijā:</w:t>
      </w:r>
      <w:r w:rsidR="00E82E2E" w:rsidRPr="00274AF2">
        <w:t xml:space="preserve"> </w:t>
      </w:r>
      <w:r w:rsidR="00B21179">
        <w:t>“</w:t>
      </w:r>
      <w:r w:rsidR="00E32064" w:rsidRPr="00274AF2">
        <w:t>55) Enerģētikas in</w:t>
      </w:r>
      <w:r w:rsidR="00E82E2E" w:rsidRPr="00274AF2">
        <w:t>ovāciju projekti</w:t>
      </w:r>
      <w:r w:rsidR="00E32064" w:rsidRPr="00274AF2">
        <w:t xml:space="preserve"> – koncepts, kas sniedz iespēju pārbaudīt dažādas inovācijas</w:t>
      </w:r>
      <w:r w:rsidR="00274AF2">
        <w:t xml:space="preserve"> un attīstīt jaunus enerģētikas projektus</w:t>
      </w:r>
      <w:r w:rsidR="00E32064" w:rsidRPr="00274AF2">
        <w:t>, kā arī eksperimentēt kompetentās iestādes uzraudzībā, kur kompetentā iestāde uz laiku sniedz lielāku rīcības brīvību un nodrošina iespēju pielāgot regulējumu, ļaujot attīstīties jaunām iniciatīvām un inovācijām, novēršot vai ierobežojot potenciāli negatīvās sekas, kas var rasties kādai no iesaistītajām pusēm</w:t>
      </w:r>
      <w:r w:rsidR="00B21179">
        <w:t>”</w:t>
      </w:r>
      <w:r w:rsidR="00E82E2E" w:rsidRPr="00274AF2">
        <w:t xml:space="preserve">. </w:t>
      </w:r>
    </w:p>
    <w:p w14:paraId="09A189A3" w14:textId="49903165" w:rsidR="001255B6" w:rsidRPr="00274AF2" w:rsidRDefault="1A50E568" w:rsidP="00274AF2">
      <w:pPr>
        <w:pStyle w:val="BodyText2"/>
        <w:ind w:firstLine="709"/>
      </w:pPr>
      <w:r w:rsidRPr="00274AF2">
        <w:t>Vēršam uzmanību, ka pēc būtības līdzīgs atkāpju piemērošanas režīms</w:t>
      </w:r>
      <w:r w:rsidR="5B9D8BFC" w:rsidRPr="00274AF2">
        <w:t xml:space="preserve"> jau </w:t>
      </w:r>
      <w:r w:rsidR="00EE5262">
        <w:t>pastāv</w:t>
      </w:r>
      <w:r w:rsidR="00F86A12">
        <w:t xml:space="preserve"> </w:t>
      </w:r>
      <w:proofErr w:type="spellStart"/>
      <w:r w:rsidR="00F86A12">
        <w:t>gāzapgādes</w:t>
      </w:r>
      <w:proofErr w:type="spellEnd"/>
      <w:r w:rsidR="00F86A12">
        <w:t xml:space="preserve"> jomas regulējumā.</w:t>
      </w:r>
      <w:r w:rsidR="305319D4" w:rsidRPr="00274AF2">
        <w:t xml:space="preserve"> </w:t>
      </w:r>
      <w:r w:rsidR="00F86A12">
        <w:t>P</w:t>
      </w:r>
      <w:r w:rsidR="305319D4" w:rsidRPr="00274AF2">
        <w:t xml:space="preserve">iemēram, </w:t>
      </w:r>
      <w:r w:rsidR="0C9D0054" w:rsidRPr="00274AF2">
        <w:t xml:space="preserve">Eiropas Parlamenta un Padomes </w:t>
      </w:r>
      <w:r w:rsidR="2C0796FE" w:rsidRPr="00274AF2">
        <w:t>Regulas</w:t>
      </w:r>
      <w:r w:rsidR="6471A927" w:rsidRPr="00274AF2">
        <w:t xml:space="preserve"> Nr.</w:t>
      </w:r>
      <w:r w:rsidR="00274AF2">
        <w:t> </w:t>
      </w:r>
      <w:r w:rsidR="6471A927" w:rsidRPr="00274AF2">
        <w:t>347/2013 (2013.</w:t>
      </w:r>
      <w:r w:rsidR="00274AF2">
        <w:t xml:space="preserve"> </w:t>
      </w:r>
      <w:r w:rsidR="6471A927" w:rsidRPr="00274AF2">
        <w:t>gada 17.</w:t>
      </w:r>
      <w:r w:rsidR="00274AF2">
        <w:t xml:space="preserve"> </w:t>
      </w:r>
      <w:r w:rsidR="6471A927" w:rsidRPr="00274AF2">
        <w:t>aprīlis)</w:t>
      </w:r>
      <w:r w:rsidR="2C0796FE" w:rsidRPr="00274AF2">
        <w:t xml:space="preserve">, </w:t>
      </w:r>
      <w:r w:rsidR="0C9D0054" w:rsidRPr="00274AF2">
        <w:t xml:space="preserve">ar ko nosaka Eiropas </w:t>
      </w:r>
      <w:proofErr w:type="spellStart"/>
      <w:r w:rsidR="0C9D0054" w:rsidRPr="00274AF2">
        <w:t>energoinfrastruktūras</w:t>
      </w:r>
      <w:proofErr w:type="spellEnd"/>
      <w:r w:rsidR="0C9D0054" w:rsidRPr="00274AF2">
        <w:t xml:space="preserve"> pamatnostādnes un atceļ Lēmumu Nr. 1364/2006/EK, groza Regulu (EK) Nr. 713/2009, Regulu (EK) Nr. 714/2009 un Regulu (EK) Nr. 715/2009</w:t>
      </w:r>
      <w:r w:rsidR="2C0796FE" w:rsidRPr="00274AF2">
        <w:t xml:space="preserve"> 13.</w:t>
      </w:r>
      <w:r w:rsidR="00274AF2">
        <w:t xml:space="preserve"> </w:t>
      </w:r>
      <w:r w:rsidR="2C0796FE" w:rsidRPr="00274AF2">
        <w:t>pant</w:t>
      </w:r>
      <w:r w:rsidR="00F86A12">
        <w:t>ā</w:t>
      </w:r>
      <w:r w:rsidR="2C0796FE" w:rsidRPr="00274AF2">
        <w:t xml:space="preserve"> </w:t>
      </w:r>
      <w:r w:rsidR="39790816" w:rsidRPr="00274AF2">
        <w:t>tiek aplūkoti</w:t>
      </w:r>
      <w:r w:rsidR="62E9D374" w:rsidRPr="00274AF2">
        <w:t xml:space="preserve"> </w:t>
      </w:r>
      <w:r w:rsidR="00F86A12">
        <w:t>kopīgu interešu projekt</w:t>
      </w:r>
      <w:r w:rsidR="00D40263">
        <w:t>u</w:t>
      </w:r>
      <w:r w:rsidR="00F86A12">
        <w:t xml:space="preserve"> stimuli</w:t>
      </w:r>
      <w:r w:rsidR="39790816" w:rsidRPr="00274AF2">
        <w:t xml:space="preserve">, </w:t>
      </w:r>
      <w:r w:rsidR="298A5CFC" w:rsidRPr="00274AF2">
        <w:t>tāpat arī Enerģētikas likums pieļauj atkāpes no trešo personu piekļuves principa ievērošanas</w:t>
      </w:r>
      <w:r w:rsidR="2BB075A2" w:rsidRPr="00274AF2">
        <w:t>, saskaņā ar Enerģētikas likuma 45.</w:t>
      </w:r>
      <w:r w:rsidR="2BB075A2" w:rsidRPr="00274AF2">
        <w:rPr>
          <w:vertAlign w:val="superscript"/>
        </w:rPr>
        <w:t>3</w:t>
      </w:r>
      <w:r w:rsidR="0072669D">
        <w:rPr>
          <w:vertAlign w:val="superscript"/>
        </w:rPr>
        <w:t xml:space="preserve"> </w:t>
      </w:r>
      <w:r w:rsidR="2BB075A2" w:rsidRPr="00274AF2">
        <w:t xml:space="preserve">pantu, </w:t>
      </w:r>
      <w:r w:rsidR="35C35F74" w:rsidRPr="00274AF2">
        <w:t xml:space="preserve">Regulatoram piešķirot lemšanas tiesības par atkāpju piemērošanu. </w:t>
      </w:r>
    </w:p>
    <w:p w14:paraId="10F38B4F" w14:textId="0B4CE432" w:rsidR="00E82E2E" w:rsidRPr="00F72F05" w:rsidRDefault="005E423C" w:rsidP="00274AF2">
      <w:pPr>
        <w:pStyle w:val="BodyText2"/>
        <w:ind w:firstLine="709"/>
      </w:pPr>
      <w:r>
        <w:t>Ievērojot minēto</w:t>
      </w:r>
      <w:r w:rsidR="00B1129F">
        <w:t>,</w:t>
      </w:r>
      <w:r w:rsidR="35C35F74" w:rsidRPr="00274AF2">
        <w:t xml:space="preserve"> atkāpju piemērošana enerģētikas inovāciju projektiem</w:t>
      </w:r>
      <w:r w:rsidR="19432DAD" w:rsidRPr="00274AF2">
        <w:t xml:space="preserve"> </w:t>
      </w:r>
      <w:r w:rsidR="662094FF" w:rsidRPr="00274AF2">
        <w:t xml:space="preserve">Sabiedrības ieskatā varētu sniegt būtisku un ievērojamu atbalstu valsts dekarbonizācijas un </w:t>
      </w:r>
      <w:proofErr w:type="spellStart"/>
      <w:r w:rsidR="662094FF" w:rsidRPr="00274AF2">
        <w:lastRenderedPageBreak/>
        <w:t>klimatneitralitātes</w:t>
      </w:r>
      <w:proofErr w:type="spellEnd"/>
      <w:r w:rsidR="662094FF" w:rsidRPr="00274AF2">
        <w:t xml:space="preserve"> mērķu </w:t>
      </w:r>
      <w:r w:rsidR="662094FF" w:rsidRPr="00F72F05">
        <w:t>sasniegšanai, ļaujot arvien vairāk attīstīties dažādām atjaunojamo energoresursu tehnoloģijām, tostarp, gāzes sektorā veicinot biometāna, sintētiskā metāna un ūdeņraža tehnoloģisko progresu</w:t>
      </w:r>
      <w:r w:rsidR="00274AF2" w:rsidRPr="00F72F05">
        <w:t xml:space="preserve"> inovācijas valsts mērogā</w:t>
      </w:r>
      <w:r w:rsidR="662094FF" w:rsidRPr="00F72F05">
        <w:t xml:space="preserve">. </w:t>
      </w:r>
    </w:p>
    <w:p w14:paraId="66BF4B5A" w14:textId="565A0960" w:rsidR="587F251C" w:rsidRPr="00F72F05" w:rsidRDefault="587F251C" w:rsidP="00274AF2">
      <w:pPr>
        <w:pStyle w:val="BodyText2"/>
        <w:numPr>
          <w:ilvl w:val="0"/>
          <w:numId w:val="12"/>
        </w:numPr>
        <w:tabs>
          <w:tab w:val="left" w:pos="1134"/>
        </w:tabs>
        <w:ind w:left="0" w:firstLine="851"/>
      </w:pPr>
      <w:r w:rsidRPr="00F72F05">
        <w:t>Enerģētikas likuma 6. panta 3</w:t>
      </w:r>
      <w:r w:rsidR="1F2CC24D" w:rsidRPr="00F72F05">
        <w:t>.</w:t>
      </w:r>
      <w:r w:rsidRPr="00F72F05">
        <w:rPr>
          <w:vertAlign w:val="superscript"/>
        </w:rPr>
        <w:t>1</w:t>
      </w:r>
      <w:r w:rsidRPr="00F72F05">
        <w:t xml:space="preserve"> daļa noteic: </w:t>
      </w:r>
      <w:r w:rsidR="00B21179">
        <w:t>“</w:t>
      </w:r>
      <w:r w:rsidRPr="00F72F05">
        <w:t>Energoapgādes komersants, kas piegādā siltumenerģiju enerģijas lietotājiem, pārdod siltumenerģiju tiem nepieciešamajā vai noteiktajā kvalitātē un pieprasītajā daudzumā par regulatora noteiktajiem tarifiem vai par tarifiem, ko noteicis attiecīgais pakalpojumu sniedzējs saskaņā ar regulatora noteikto tarifu aprēķināšanas metodiku, ja ir saņemta regulatora atļauja, izņemot šā likuma 49. panta pirmajā daļā minētos gadījumus.</w:t>
      </w:r>
      <w:r w:rsidR="00B21179">
        <w:t>”</w:t>
      </w:r>
    </w:p>
    <w:p w14:paraId="1E5DA3F6" w14:textId="01E5A368" w:rsidR="587F251C" w:rsidRPr="00F72F05" w:rsidRDefault="00A060B2" w:rsidP="00274AF2">
      <w:pPr>
        <w:pStyle w:val="BodyText2"/>
        <w:ind w:firstLine="709"/>
      </w:pPr>
      <w:r w:rsidRPr="00F72F05">
        <w:t>Ar precizēto likumprojektu (likumprojekta 5. punkts) plānots izslēgt Enerģētikas likuma 6. panta 3</w:t>
      </w:r>
      <w:r w:rsidR="00554AAC" w:rsidRPr="00F72F05">
        <w:t>.</w:t>
      </w:r>
      <w:r w:rsidRPr="00F72F05">
        <w:rPr>
          <w:vertAlign w:val="superscript"/>
        </w:rPr>
        <w:t>1</w:t>
      </w:r>
      <w:r w:rsidRPr="00F72F05">
        <w:t> daļu. Šīs normas izslēgšana anotācijā pamatota ar Komisijas 2017. gada 16. marta Regulas Nr. 2017/460 (turpmāk – Tarifu tīkla kodekss), ar ko izveido tīkla kodeksu par harmonizētām gāzes pārvades tarifu struktūrām piemērošanu, tomēr šāda atsauce nav korekta, jo Tarifu tīkla kodekss ir attiecināms uz harmonizētām tarifu struktūrām gāzes pārvade</w:t>
      </w:r>
      <w:r w:rsidR="00D40263">
        <w:t>i</w:t>
      </w:r>
      <w:r w:rsidRPr="00F72F05">
        <w:t>.</w:t>
      </w:r>
    </w:p>
    <w:p w14:paraId="7791B481" w14:textId="6E069383" w:rsidR="00554AAC" w:rsidRPr="00F72F05" w:rsidRDefault="00554AAC" w:rsidP="00274AF2">
      <w:pPr>
        <w:pStyle w:val="BodyText2"/>
        <w:ind w:firstLine="709"/>
      </w:pPr>
      <w:r w:rsidRPr="00F72F05">
        <w:t xml:space="preserve">Ievērojot minēto, norādām, ka Sabiedrībai nav iebildumu pret minētās normas izslēgšanu no Enerģētikas likuma, bet atkārtoti aicinām Ekonomikas ministriju korekti labot </w:t>
      </w:r>
      <w:r w:rsidR="00F24962">
        <w:t xml:space="preserve"> </w:t>
      </w:r>
      <w:r w:rsidRPr="00F72F05">
        <w:t>anotāciju, norādot atbilstošu skaidrojumu likuma 6. panta 3.</w:t>
      </w:r>
      <w:r w:rsidR="00221CF8" w:rsidRPr="00F72F05">
        <w:rPr>
          <w:vertAlign w:val="superscript"/>
        </w:rPr>
        <w:t>1</w:t>
      </w:r>
      <w:r w:rsidR="00221CF8" w:rsidRPr="00F72F05">
        <w:t> daļas izslēgšanai (skatīt anotācijas 13.-14. </w:t>
      </w:r>
      <w:proofErr w:type="spellStart"/>
      <w:r w:rsidR="00221CF8" w:rsidRPr="00F72F05">
        <w:t>lpp</w:t>
      </w:r>
      <w:proofErr w:type="spellEnd"/>
      <w:r w:rsidR="00221CF8" w:rsidRPr="00F72F05">
        <w:t xml:space="preserve"> 23. punktu).</w:t>
      </w:r>
    </w:p>
    <w:p w14:paraId="0EEE8C6E" w14:textId="4B39B9BD" w:rsidR="002A704D" w:rsidRDefault="00AC5ED5" w:rsidP="002A704D">
      <w:pPr>
        <w:pStyle w:val="BodyText2"/>
        <w:numPr>
          <w:ilvl w:val="0"/>
          <w:numId w:val="12"/>
        </w:numPr>
        <w:tabs>
          <w:tab w:val="left" w:pos="1134"/>
        </w:tabs>
        <w:ind w:left="0" w:firstLine="851"/>
      </w:pPr>
      <w:r w:rsidRPr="00F72F05">
        <w:t xml:space="preserve">Precizētā likumprojekta </w:t>
      </w:r>
      <w:r w:rsidR="002A704D" w:rsidRPr="00F72F05">
        <w:t>58.</w:t>
      </w:r>
      <w:r w:rsidR="002A704D" w:rsidRPr="00F72F05">
        <w:rPr>
          <w:vertAlign w:val="superscript"/>
        </w:rPr>
        <w:t>8</w:t>
      </w:r>
      <w:r w:rsidR="002A704D" w:rsidRPr="00F72F05">
        <w:t xml:space="preserve"> panta desmitā daļa noteic, ka</w:t>
      </w:r>
      <w:r w:rsidR="00B1129F" w:rsidRPr="00F72F05">
        <w:t>,</w:t>
      </w:r>
      <w:r w:rsidR="002A704D" w:rsidRPr="00F72F05">
        <w:t xml:space="preserve"> lai segtu ar izcelsmes apliecinājuma izsniegšanu un elektroniskās</w:t>
      </w:r>
      <w:r w:rsidR="002A704D">
        <w:t xml:space="preserve"> sistēmas uzturēšanu saistītās mainīgās izmaksas, vienotais dabasgāzes pārvades un uzglabāšanas sistēmas operators par izcelsmes apliecinājuma izsniegšanu pieprasa maksu, kuras aprēķināšanas kārtību tas izstrādā un publicē savā tīmekļa vietnē. Savukārt, ar izcelsmes apliecinājumu elektroniskās sistēmas ieviešanu un darbības nodrošināšanu saistītās pamatotās izmaksas sedz vienotais dabasgāzes pārvades un uzglabāšanas sistēmas operators, un tās iekļauj pārvades sistēmas pakalpojumu tarifos.</w:t>
      </w:r>
    </w:p>
    <w:p w14:paraId="33B392C2" w14:textId="1ECF2B3D" w:rsidR="002A704D" w:rsidRDefault="002A704D" w:rsidP="002A704D">
      <w:pPr>
        <w:pStyle w:val="BodyText2"/>
        <w:ind w:firstLine="851"/>
      </w:pPr>
      <w:r>
        <w:t>Sabiedrības ieskatā izcelsmes apliecinājumu sistēmas ieviešanai jābūt izmaksu neitrālai un tā nedrīkst radīt nedz peļņu, nedz nesegtus izdevumus. Līdzīgi kā jau nostiprināts Balansēšanas tīkla kodeksa (Komis</w:t>
      </w:r>
      <w:r w:rsidR="006133D6">
        <w:t>ijas Regula (ES) Nr. 312/2014 (</w:t>
      </w:r>
      <w:r>
        <w:t xml:space="preserve">2014. gada 26. marts), ar ko izveido tīkla kodeksu gāzes balansēšanai pārvades tīklos) 29. panta 1. punktā, kur noteikts pārvades sistēmas operatora neitralitātes princips. Minētais punkts noteic, ka pārvades sistēmas operators </w:t>
      </w:r>
      <w:r w:rsidR="00B21179">
        <w:t>“</w:t>
      </w:r>
      <w:r>
        <w:t xml:space="preserve">(...) nezaudē, veicot maksājumus un saņemot dienas </w:t>
      </w:r>
      <w:proofErr w:type="spellStart"/>
      <w:r>
        <w:t>nebalansa</w:t>
      </w:r>
      <w:proofErr w:type="spellEnd"/>
      <w:r>
        <w:t xml:space="preserve"> maksas, tekošās dienas maksas, balansēšanas darbību maksas un citas maksas, kas saistītas ar balansēšanas darbībām, par kurām uzskatāmas darbības, ko pārvades sistēmas operators veic, lai pildītu Regulā Nr. 312/2014 noteiktos pienākumus</w:t>
      </w:r>
      <w:r w:rsidR="00B21179">
        <w:t>”</w:t>
      </w:r>
      <w:r>
        <w:t xml:space="preserve">. Līdz ar to arī izcelsmes apliecinājuma reģistra ieviešanai un uzturēšanai nevajadzētu radīt ne ieguvumus, ne zaudējumus. </w:t>
      </w:r>
    </w:p>
    <w:p w14:paraId="09B8CA6C" w14:textId="2CF985EB" w:rsidR="002A704D" w:rsidRDefault="002A704D" w:rsidP="002A704D">
      <w:pPr>
        <w:pStyle w:val="BodyText2"/>
        <w:ind w:firstLine="851"/>
      </w:pPr>
      <w:r>
        <w:t xml:space="preserve">Ņemot vērā, ka sākotnēji izcelsmes apliecinājumu sistēmas ietvaros aktivitāte ir sagaidāma ne visai augsta, lai neradītu pārmērīgu finansiālu slogu izcelsmes apliecinājumu sistēmas dalībniekiem, kas veidosies no izcelsmes apliecinājumu sistēmas izveidošanas un izmantošanas, vienlaikus nodrošinot </w:t>
      </w:r>
      <w:r w:rsidR="00981881">
        <w:t xml:space="preserve">sistēmas </w:t>
      </w:r>
      <w:r>
        <w:t>operatora izmaksu neitralitāti (tai skaitā nepieļaujot zaudējumus), ir pamatoti noteikt, ka tarifos ir iekļaujamas visas ar izcelsmes apliecinājumu sistēmas izveidošanu un darbības nodrošināšanu saistītās fiksētās izmaksas. Savukārt, visas mainīgās izmaksas, kas rodas</w:t>
      </w:r>
      <w:r w:rsidR="00B21179">
        <w:t>,</w:t>
      </w:r>
      <w:r>
        <w:t xml:space="preserve"> izsniedzot vai veicot citas nepieciešamās darbības ar izcelsmes apliecinājumiem, sedz faktiskie izcelsmes apliecinājumu lietotāji, saskaņā ar vienotā dabasgāzes pārvades un uzglabāšanas sistēmas operatora noteikto un publicēto cenrādi. </w:t>
      </w:r>
    </w:p>
    <w:p w14:paraId="52F20CDE" w14:textId="16DD831F" w:rsidR="002A704D" w:rsidRPr="00274AF2" w:rsidRDefault="002A704D" w:rsidP="002A704D">
      <w:pPr>
        <w:pStyle w:val="BodyText2"/>
        <w:ind w:firstLine="993"/>
      </w:pPr>
      <w:r>
        <w:t xml:space="preserve">Līdz ar to </w:t>
      </w:r>
      <w:r w:rsidR="00B21179">
        <w:t xml:space="preserve">lūdzam </w:t>
      </w:r>
      <w:r>
        <w:t xml:space="preserve">augstākminēto skaidrojumu iekļaut anotācijā, savukārt </w:t>
      </w:r>
      <w:r w:rsidR="003A0546">
        <w:t xml:space="preserve">precizētā likumprojekta </w:t>
      </w:r>
      <w:r>
        <w:t>58.</w:t>
      </w:r>
      <w:r w:rsidRPr="00E6276B">
        <w:rPr>
          <w:vertAlign w:val="superscript"/>
        </w:rPr>
        <w:t>8</w:t>
      </w:r>
      <w:r>
        <w:t xml:space="preserve"> panta desmitajā daļā aiz vārdiem </w:t>
      </w:r>
      <w:r w:rsidR="00B21179">
        <w:t>“</w:t>
      </w:r>
      <w:r>
        <w:t>Savukārt, ar izcelsmes apliecinājumu elektroniskās sistēmas ieviešanu un darbības nodrošināšanu saistītās pamatotās (...)</w:t>
      </w:r>
      <w:r w:rsidR="00B21179">
        <w:t>”</w:t>
      </w:r>
      <w:r>
        <w:t xml:space="preserve"> papildināt ar vārdu </w:t>
      </w:r>
      <w:r w:rsidR="00B21179">
        <w:t>“</w:t>
      </w:r>
      <w:r w:rsidR="005213DD">
        <w:t>fiksētās</w:t>
      </w:r>
      <w:r w:rsidR="00B21179">
        <w:t>”</w:t>
      </w:r>
      <w:r w:rsidR="00981881">
        <w:t xml:space="preserve"> </w:t>
      </w:r>
      <w:r>
        <w:t>(izmaksas).</w:t>
      </w:r>
    </w:p>
    <w:p w14:paraId="3DCEA709" w14:textId="07297F4B" w:rsidR="008D0E99" w:rsidRPr="00274AF2" w:rsidRDefault="3F911407" w:rsidP="00274AF2">
      <w:pPr>
        <w:pStyle w:val="BodyText2"/>
        <w:numPr>
          <w:ilvl w:val="0"/>
          <w:numId w:val="12"/>
        </w:numPr>
        <w:tabs>
          <w:tab w:val="left" w:pos="1134"/>
        </w:tabs>
        <w:ind w:left="0" w:firstLine="851"/>
      </w:pPr>
      <w:r w:rsidRPr="00274AF2">
        <w:lastRenderedPageBreak/>
        <w:t>Precizētais likumprojekts paredz Enerģētikas likuma papildināšanu ar 106. panta 2.</w:t>
      </w:r>
      <w:r w:rsidRPr="00274AF2">
        <w:rPr>
          <w:vertAlign w:val="superscript"/>
        </w:rPr>
        <w:t>2</w:t>
      </w:r>
      <w:r w:rsidRPr="00274AF2">
        <w:t xml:space="preserve"> daļu un </w:t>
      </w:r>
      <w:r w:rsidR="5580673E" w:rsidRPr="00274AF2">
        <w:t>Regulator</w:t>
      </w:r>
      <w:r w:rsidR="52F9EE0B" w:rsidRPr="00274AF2">
        <w:t>a</w:t>
      </w:r>
      <w:r w:rsidRPr="00274AF2">
        <w:t xml:space="preserve"> pienākumu noteikt gāzes pārvades maksas vērtības aprēķināšanas metodiku</w:t>
      </w:r>
      <w:r w:rsidR="2643929E" w:rsidRPr="00274AF2">
        <w:t>. Vienlaikus anotācijā noteikts, ka metodika būtu nosakāma</w:t>
      </w:r>
      <w:r w:rsidRPr="00274AF2">
        <w:t xml:space="preserve">, balstoties uz sistēmā ievadīto jaudu. Sabiedrība lūdz precizēt piedāvātās normas </w:t>
      </w:r>
      <w:r w:rsidR="2382AC0F" w:rsidRPr="00274AF2">
        <w:t xml:space="preserve"> skaidrojumu</w:t>
      </w:r>
      <w:r w:rsidRPr="00274AF2">
        <w:t>, nosakot, ka maksas noteikšanas metodika ir balstīta uz sistēmā ievadītās enerģijas daudzumu, nevis jaudu, kā tas šobrīd norādīts anotācijā.</w:t>
      </w:r>
    </w:p>
    <w:p w14:paraId="080C6E6A" w14:textId="5E050B2E" w:rsidR="006539F8" w:rsidRPr="00274AF2" w:rsidRDefault="4250E464" w:rsidP="00274AF2">
      <w:pPr>
        <w:pStyle w:val="BodyText2"/>
        <w:numPr>
          <w:ilvl w:val="0"/>
          <w:numId w:val="12"/>
        </w:numPr>
        <w:tabs>
          <w:tab w:val="left" w:pos="1134"/>
        </w:tabs>
        <w:ind w:left="0" w:firstLine="851"/>
        <w:rPr>
          <w:noProof/>
        </w:rPr>
      </w:pPr>
      <w:r w:rsidRPr="00274AF2">
        <w:t>Sabiedrība uztur iebildumu par normu iekļaušanu likumā</w:t>
      </w:r>
      <w:r w:rsidR="30045CA1" w:rsidRPr="00274AF2">
        <w:t xml:space="preserve"> (117.</w:t>
      </w:r>
      <w:r w:rsidR="2296C9B5" w:rsidRPr="00274AF2">
        <w:rPr>
          <w:vertAlign w:val="superscript"/>
        </w:rPr>
        <w:t>1</w:t>
      </w:r>
      <w:r w:rsidR="2296C9B5" w:rsidRPr="00274AF2">
        <w:t> pants)</w:t>
      </w:r>
      <w:r w:rsidRPr="00274AF2">
        <w:t xml:space="preserve">, kas paredz pienākumu dabasgāzes pārvades sistēmas operatoram reizi divos gados izstrādāt un iesniegt apstiprināšanai </w:t>
      </w:r>
      <w:r w:rsidR="5580673E" w:rsidRPr="00274AF2">
        <w:t>Regulatorā</w:t>
      </w:r>
      <w:r w:rsidRPr="00274AF2">
        <w:t xml:space="preserve"> dabasgāzes pārvades sistēmas 10 gadu attīstības plānu.</w:t>
      </w:r>
      <w:r w:rsidR="4D5BF353" w:rsidRPr="00274AF2">
        <w:t xml:space="preserve"> </w:t>
      </w:r>
      <w:r w:rsidR="1990CC39" w:rsidRPr="00274AF2">
        <w:t xml:space="preserve">Šāda koncepta ieviešanu Ekonomikas ministrija anotācijā skaidro ar nepieciešamību nodrošināt koordinētu un tālredzīgu pārvades sistēmas attīstību. Turpretī </w:t>
      </w:r>
      <w:r w:rsidR="25357612" w:rsidRPr="00274AF2">
        <w:t xml:space="preserve">Eiropas Komisijas 2010. gada 10. janvāra darba dokuments par elektroenerģijas un dabasgāzes sistēmas </w:t>
      </w:r>
      <w:r w:rsidR="25357612" w:rsidRPr="00274AF2">
        <w:rPr>
          <w:noProof/>
        </w:rPr>
        <w:t xml:space="preserve">operatoru nodalīšanas režīmiem </w:t>
      </w:r>
      <w:r w:rsidR="2E1E58F7" w:rsidRPr="00274AF2">
        <w:rPr>
          <w:noProof/>
        </w:rPr>
        <w:t>satur</w:t>
      </w:r>
      <w:r w:rsidR="25357612" w:rsidRPr="00274AF2">
        <w:rPr>
          <w:noProof/>
        </w:rPr>
        <w:t xml:space="preserve"> norādes par desmit gadu tīkla attīstības plāna </w:t>
      </w:r>
      <w:r w:rsidR="2E1E58F7" w:rsidRPr="00274AF2">
        <w:rPr>
          <w:noProof/>
        </w:rPr>
        <w:t xml:space="preserve">izstrādes pienākuma nepieciešamību tikai situācijā, ja dalībvalstī </w:t>
      </w:r>
      <w:r w:rsidR="1D133308" w:rsidRPr="00274AF2">
        <w:rPr>
          <w:noProof/>
        </w:rPr>
        <w:t xml:space="preserve">sistēmas operatora nodalīšanai </w:t>
      </w:r>
      <w:r w:rsidR="2E1E58F7" w:rsidRPr="00274AF2">
        <w:rPr>
          <w:noProof/>
        </w:rPr>
        <w:t xml:space="preserve">tiek piemērots </w:t>
      </w:r>
      <w:r w:rsidR="1D133308" w:rsidRPr="00274AF2">
        <w:rPr>
          <w:noProof/>
        </w:rPr>
        <w:t>neatkarīga pārvades sistēmas operatora (</w:t>
      </w:r>
      <w:r w:rsidR="1D133308" w:rsidRPr="00274AF2">
        <w:rPr>
          <w:i/>
          <w:iCs/>
          <w:noProof/>
        </w:rPr>
        <w:t>independent transmission</w:t>
      </w:r>
      <w:r w:rsidR="7C91F2EB" w:rsidRPr="00274AF2">
        <w:rPr>
          <w:i/>
          <w:iCs/>
          <w:noProof/>
        </w:rPr>
        <w:t xml:space="preserve"> system</w:t>
      </w:r>
      <w:r w:rsidR="1D133308" w:rsidRPr="00274AF2">
        <w:rPr>
          <w:i/>
          <w:iCs/>
          <w:noProof/>
        </w:rPr>
        <w:t xml:space="preserve"> operator</w:t>
      </w:r>
      <w:r w:rsidR="1D133308" w:rsidRPr="00274AF2">
        <w:rPr>
          <w:noProof/>
        </w:rPr>
        <w:t>)</w:t>
      </w:r>
      <w:r w:rsidR="0886298F" w:rsidRPr="00274AF2">
        <w:rPr>
          <w:noProof/>
        </w:rPr>
        <w:t xml:space="preserve"> (turpmāk – ITO)</w:t>
      </w:r>
      <w:r w:rsidR="1D133308" w:rsidRPr="00274AF2">
        <w:rPr>
          <w:noProof/>
        </w:rPr>
        <w:t xml:space="preserve"> modelis</w:t>
      </w:r>
      <w:r w:rsidR="00A05A77" w:rsidRPr="00274AF2">
        <w:rPr>
          <w:noProof/>
          <w:vertAlign w:val="superscript"/>
        </w:rPr>
        <w:footnoteReference w:id="5"/>
      </w:r>
      <w:r w:rsidR="1D133308" w:rsidRPr="00274AF2">
        <w:rPr>
          <w:noProof/>
        </w:rPr>
        <w:t>.</w:t>
      </w:r>
      <w:r w:rsidR="0886298F" w:rsidRPr="00274AF2">
        <w:rPr>
          <w:noProof/>
        </w:rPr>
        <w:t xml:space="preserve"> Tas tiek pamatots ar apsvērumu, ka ITO modeļa piemērošanas gadījumā ITO </w:t>
      </w:r>
      <w:r w:rsidR="0EC4DA5F" w:rsidRPr="00274AF2">
        <w:rPr>
          <w:noProof/>
        </w:rPr>
        <w:t>uzraugāms</w:t>
      </w:r>
      <w:r w:rsidR="0886298F" w:rsidRPr="00274AF2">
        <w:rPr>
          <w:noProof/>
        </w:rPr>
        <w:t xml:space="preserve">, lai tas veiktu ieguldījumus un pieņemtu atbilstošus lēmumus par ieguldījumiem ar mērķi nodrošināt tīkla attīstību. </w:t>
      </w:r>
      <w:r w:rsidR="1D155BC0" w:rsidRPr="00274AF2">
        <w:rPr>
          <w:noProof/>
        </w:rPr>
        <w:t xml:space="preserve"> </w:t>
      </w:r>
    </w:p>
    <w:p w14:paraId="262E2DAA" w14:textId="2508EB66" w:rsidR="00B76FC8" w:rsidRPr="00274AF2" w:rsidRDefault="00B76FC8" w:rsidP="00274AF2">
      <w:pPr>
        <w:pStyle w:val="BodyText2"/>
      </w:pPr>
      <w:r w:rsidRPr="00274AF2">
        <w:rPr>
          <w:noProof/>
        </w:rPr>
        <w:tab/>
        <w:t>Enerģētikas likuma redakcija, kas tika sagatavota dabasgāzes tirgus liberalizēšanai, paredzēja un arī šobrīd paredz vienotā dabasgāzes pārvades un uzglabāšanas sistēmas operatora īpašumtiesību nodalīšanas mode</w:t>
      </w:r>
      <w:r w:rsidR="009C4279" w:rsidRPr="00274AF2">
        <w:rPr>
          <w:noProof/>
        </w:rPr>
        <w:t>ļa</w:t>
      </w:r>
      <w:r w:rsidRPr="00274AF2">
        <w:rPr>
          <w:noProof/>
        </w:rPr>
        <w:t xml:space="preserve"> (</w:t>
      </w:r>
      <w:r w:rsidRPr="00274AF2">
        <w:rPr>
          <w:i/>
          <w:noProof/>
        </w:rPr>
        <w:t>ownership unbundling</w:t>
      </w:r>
      <w:r w:rsidRPr="00274AF2">
        <w:rPr>
          <w:noProof/>
        </w:rPr>
        <w:t>), nevis ITO vai neatkarīga sistēmas operatora (</w:t>
      </w:r>
      <w:r w:rsidRPr="00274AF2">
        <w:rPr>
          <w:i/>
          <w:noProof/>
        </w:rPr>
        <w:t>independent system operator</w:t>
      </w:r>
      <w:r w:rsidRPr="00274AF2">
        <w:rPr>
          <w:noProof/>
        </w:rPr>
        <w:t>)</w:t>
      </w:r>
      <w:r w:rsidR="007C795F" w:rsidRPr="00274AF2">
        <w:rPr>
          <w:noProof/>
        </w:rPr>
        <w:t xml:space="preserve"> (turpmāk </w:t>
      </w:r>
      <w:r w:rsidR="00B21179">
        <w:rPr>
          <w:noProof/>
        </w:rPr>
        <w:t>–</w:t>
      </w:r>
      <w:r w:rsidR="007C795F" w:rsidRPr="00274AF2">
        <w:rPr>
          <w:noProof/>
        </w:rPr>
        <w:t xml:space="preserve"> ISO</w:t>
      </w:r>
      <w:r w:rsidR="007C795F" w:rsidRPr="00274AF2">
        <w:t>)</w:t>
      </w:r>
      <w:r w:rsidR="009C4279" w:rsidRPr="00274AF2">
        <w:t>, īstenošanu un piemērošanu</w:t>
      </w:r>
      <w:r w:rsidRPr="00274AF2">
        <w:t>.</w:t>
      </w:r>
      <w:r w:rsidR="009C4279" w:rsidRPr="00274AF2">
        <w:t xml:space="preserve"> Tas nozīmē, ka likumdevējam pieņemot lēmumu par vienotā dabasgāzes pārvades un uzglabāšanas sistēmas operatora ī</w:t>
      </w:r>
      <w:r w:rsidR="007C795F" w:rsidRPr="00274AF2">
        <w:t>pašumtiesību nodalīšanas modeli</w:t>
      </w:r>
      <w:r w:rsidR="006E115B" w:rsidRPr="00274AF2">
        <w:t xml:space="preserve"> (2016. gada 2. februāra grozījumi Enerģētikas likumā, kas stājās spēkā 2016. gada 8. martā)</w:t>
      </w:r>
      <w:r w:rsidR="007C795F" w:rsidRPr="00274AF2">
        <w:t xml:space="preserve">, tika pieņemts lēmums šo modeli </w:t>
      </w:r>
      <w:r w:rsidR="005F6984" w:rsidRPr="00274AF2">
        <w:t>īstenot</w:t>
      </w:r>
      <w:r w:rsidR="00604C21" w:rsidRPr="00274AF2">
        <w:t xml:space="preserve"> atbilstoši šobrīd Enerģētikas likumā noteiktajam, nevis piemērot </w:t>
      </w:r>
      <w:r w:rsidR="005F5494" w:rsidRPr="00274AF2">
        <w:t xml:space="preserve">papildus </w:t>
      </w:r>
      <w:r w:rsidR="00604C21" w:rsidRPr="00274AF2">
        <w:t>nosacījumus, kas izriet, piemēram, no ISO vai attiecīgi ITO modeļa</w:t>
      </w:r>
      <w:r w:rsidR="005F5494" w:rsidRPr="00274AF2">
        <w:t xml:space="preserve">, </w:t>
      </w:r>
      <w:r w:rsidR="00667037" w:rsidRPr="00274AF2">
        <w:t>lai tādējādi izveidotu jaunu nodalīšanas modeli, kas jebkurā gadījumā būtu pretrunā Eiropas Parlamenta un Padomes Direktīvā 2009/73/EK (2009. gada 13. jūlijs) par kopīgiem noteikumiem attiecībā uz dabasgāzes iekšējo tirgu un par Direktīvas 2003/55/EK atcelšanu noteiktajam</w:t>
      </w:r>
      <w:r w:rsidR="00667037" w:rsidRPr="00274AF2">
        <w:rPr>
          <w:rStyle w:val="FootnoteReference"/>
        </w:rPr>
        <w:footnoteReference w:id="6"/>
      </w:r>
      <w:r w:rsidR="00667037" w:rsidRPr="00274AF2">
        <w:t>.</w:t>
      </w:r>
      <w:r w:rsidR="00604C21" w:rsidRPr="00274AF2">
        <w:t xml:space="preserve"> </w:t>
      </w:r>
      <w:r w:rsidR="005F6984" w:rsidRPr="00274AF2">
        <w:t xml:space="preserve"> </w:t>
      </w:r>
    </w:p>
    <w:p w14:paraId="15ABAA21" w14:textId="294D67B7" w:rsidR="0058109A" w:rsidRPr="00274AF2" w:rsidRDefault="005F6984" w:rsidP="00274AF2">
      <w:pPr>
        <w:pStyle w:val="BodyText2"/>
        <w:rPr>
          <w:rFonts w:eastAsia="Times New Roman"/>
        </w:rPr>
      </w:pPr>
      <w:r w:rsidRPr="00274AF2">
        <w:tab/>
      </w:r>
      <w:r w:rsidR="1FA0A34E" w:rsidRPr="00274AF2">
        <w:t>At</w:t>
      </w:r>
      <w:r w:rsidR="1FA0A34E" w:rsidRPr="00274AF2">
        <w:rPr>
          <w:rFonts w:eastAsia="Times New Roman"/>
        </w:rPr>
        <w:t>ti</w:t>
      </w:r>
      <w:r w:rsidR="5F90743B" w:rsidRPr="00274AF2">
        <w:rPr>
          <w:rFonts w:eastAsia="Times New Roman"/>
        </w:rPr>
        <w:t xml:space="preserve">ecībā uz ieguldījumu plānošanu </w:t>
      </w:r>
      <w:r w:rsidR="1FA0A34E" w:rsidRPr="00274AF2">
        <w:rPr>
          <w:rFonts w:eastAsia="Times New Roman"/>
        </w:rPr>
        <w:t>īpašumtiesību nodalīšanas modeļa piemērošanas gadījumā</w:t>
      </w:r>
      <w:r w:rsidR="5F90743B" w:rsidRPr="00274AF2">
        <w:rPr>
          <w:rFonts w:eastAsia="Times New Roman"/>
        </w:rPr>
        <w:t xml:space="preserve">, </w:t>
      </w:r>
      <w:r w:rsidR="6E15CC7B" w:rsidRPr="00274AF2">
        <w:rPr>
          <w:rFonts w:eastAsia="Times New Roman"/>
        </w:rPr>
        <w:t xml:space="preserve">dabasgāzes </w:t>
      </w:r>
      <w:r w:rsidR="5F90743B" w:rsidRPr="00274AF2">
        <w:rPr>
          <w:rFonts w:eastAsia="Times New Roman"/>
        </w:rPr>
        <w:t>pārvades sistēmas</w:t>
      </w:r>
      <w:r w:rsidR="6E15CC7B" w:rsidRPr="00274AF2">
        <w:rPr>
          <w:rFonts w:eastAsia="Times New Roman"/>
        </w:rPr>
        <w:t xml:space="preserve"> un Inčukalna pazemes gāzes krātuves</w:t>
      </w:r>
      <w:r w:rsidR="5F90743B" w:rsidRPr="00274AF2">
        <w:rPr>
          <w:rFonts w:eastAsia="Times New Roman"/>
        </w:rPr>
        <w:t xml:space="preserve"> īpašniekam Enerģētikas likuma 15. panta sestajā daļā un 112. panta pirmajā punktā </w:t>
      </w:r>
      <w:r w:rsidR="647A2490" w:rsidRPr="00274AF2">
        <w:rPr>
          <w:rFonts w:eastAsia="Times New Roman"/>
        </w:rPr>
        <w:t xml:space="preserve">jau </w:t>
      </w:r>
      <w:r w:rsidR="5F90743B" w:rsidRPr="00274AF2">
        <w:rPr>
          <w:rFonts w:eastAsia="Times New Roman"/>
        </w:rPr>
        <w:t>ir noteikts pienākums caur ieguldījumu plānošanu</w:t>
      </w:r>
      <w:r w:rsidR="6E15CC7B" w:rsidRPr="00274AF2">
        <w:rPr>
          <w:rFonts w:eastAsia="Times New Roman"/>
        </w:rPr>
        <w:t xml:space="preserve"> un atbilstoši pieprasījumam</w:t>
      </w:r>
      <w:r w:rsidR="5F90743B" w:rsidRPr="00274AF2">
        <w:rPr>
          <w:rFonts w:eastAsia="Times New Roman"/>
        </w:rPr>
        <w:t xml:space="preserve"> nodrošināt </w:t>
      </w:r>
      <w:r w:rsidR="6E15CC7B" w:rsidRPr="00274AF2">
        <w:rPr>
          <w:rFonts w:eastAsia="Times New Roman"/>
        </w:rPr>
        <w:t>ilglaicīgu spēju enerģijas pārvadei un uzglabāšanai.</w:t>
      </w:r>
      <w:r w:rsidR="647A2490" w:rsidRPr="00274AF2">
        <w:rPr>
          <w:rFonts w:eastAsia="Times New Roman"/>
        </w:rPr>
        <w:t xml:space="preserve"> </w:t>
      </w:r>
    </w:p>
    <w:p w14:paraId="19516216" w14:textId="02C816DA" w:rsidR="0B64C4CC" w:rsidRPr="00274AF2" w:rsidRDefault="0B64C4CC" w:rsidP="00274AF2">
      <w:pPr>
        <w:pStyle w:val="BodyText2"/>
        <w:rPr>
          <w:rFonts w:eastAsia="MS Mincho"/>
        </w:rPr>
      </w:pPr>
      <w:r w:rsidRPr="00274AF2">
        <w:tab/>
      </w:r>
      <w:r w:rsidR="62C819B0" w:rsidRPr="00274AF2">
        <w:rPr>
          <w:rFonts w:eastAsia="MS Mincho"/>
        </w:rPr>
        <w:t>2006.</w:t>
      </w:r>
      <w:r w:rsidR="0080498E">
        <w:rPr>
          <w:rFonts w:eastAsia="MS Mincho"/>
        </w:rPr>
        <w:t xml:space="preserve"> </w:t>
      </w:r>
      <w:r w:rsidR="62C819B0" w:rsidRPr="00274AF2">
        <w:rPr>
          <w:rFonts w:eastAsia="MS Mincho"/>
        </w:rPr>
        <w:t>gada 20.</w:t>
      </w:r>
      <w:r w:rsidR="0080498E">
        <w:rPr>
          <w:rFonts w:eastAsia="MS Mincho"/>
        </w:rPr>
        <w:t xml:space="preserve"> </w:t>
      </w:r>
      <w:r w:rsidR="62C819B0" w:rsidRPr="00274AF2">
        <w:rPr>
          <w:rFonts w:eastAsia="MS Mincho"/>
        </w:rPr>
        <w:t>jūnija Ministru kabineta noteikumi Nr.</w:t>
      </w:r>
      <w:r w:rsidR="0080498E">
        <w:rPr>
          <w:rFonts w:eastAsia="MS Mincho"/>
        </w:rPr>
        <w:t xml:space="preserve"> </w:t>
      </w:r>
      <w:r w:rsidR="62C819B0" w:rsidRPr="00274AF2">
        <w:rPr>
          <w:rFonts w:eastAsia="MS Mincho"/>
        </w:rPr>
        <w:t xml:space="preserve">482 </w:t>
      </w:r>
      <w:r w:rsidR="00B21179">
        <w:rPr>
          <w:rFonts w:eastAsia="MS Mincho"/>
        </w:rPr>
        <w:t>“</w:t>
      </w:r>
      <w:r w:rsidR="62C819B0" w:rsidRPr="00274AF2">
        <w:rPr>
          <w:rFonts w:eastAsia="MS Mincho"/>
        </w:rPr>
        <w:t>Noteikumi par dabasgāzes pārvades sistēmas operatora ikgadējo novērtējuma ziņojumu</w:t>
      </w:r>
      <w:r w:rsidR="00B21179">
        <w:rPr>
          <w:rFonts w:eastAsia="MS Mincho"/>
        </w:rPr>
        <w:t>”</w:t>
      </w:r>
      <w:r w:rsidR="7E093BDD" w:rsidRPr="00274AF2">
        <w:rPr>
          <w:rFonts w:eastAsia="MS Mincho"/>
        </w:rPr>
        <w:t xml:space="preserve"> (turpmāk </w:t>
      </w:r>
      <w:r w:rsidR="00B21179">
        <w:rPr>
          <w:rFonts w:eastAsia="MS Mincho"/>
        </w:rPr>
        <w:t>–</w:t>
      </w:r>
      <w:r w:rsidR="7E093BDD" w:rsidRPr="00274AF2">
        <w:rPr>
          <w:rFonts w:eastAsia="MS Mincho"/>
        </w:rPr>
        <w:t xml:space="preserve"> MK noteikumi Nr.</w:t>
      </w:r>
      <w:r w:rsidR="0080498E">
        <w:rPr>
          <w:rFonts w:eastAsia="MS Mincho"/>
        </w:rPr>
        <w:t> </w:t>
      </w:r>
      <w:r w:rsidR="7E093BDD" w:rsidRPr="00274AF2">
        <w:rPr>
          <w:rFonts w:eastAsia="MS Mincho"/>
        </w:rPr>
        <w:t>482)</w:t>
      </w:r>
      <w:r w:rsidR="59AB4DAF" w:rsidRPr="00274AF2">
        <w:rPr>
          <w:rFonts w:eastAsia="MS Mincho"/>
        </w:rPr>
        <w:t xml:space="preserve"> jau paredz pienākumu Sabiedrībai ikgadēji izstrādāt un iesniegt Ekonomikas ministrijā un Regulatorā piegādes un patēriņa atbilstības u</w:t>
      </w:r>
      <w:r w:rsidR="4546BAEE" w:rsidRPr="00274AF2">
        <w:rPr>
          <w:rFonts w:eastAsia="MS Mincho"/>
        </w:rPr>
        <w:t xml:space="preserve">n valsts dabasgāzes apgādes drošuma novērtējuma ziņojumu  (turpmāk </w:t>
      </w:r>
      <w:r w:rsidR="00B21179">
        <w:rPr>
          <w:rFonts w:eastAsia="MS Mincho"/>
        </w:rPr>
        <w:t>–</w:t>
      </w:r>
      <w:r w:rsidR="4546BAEE" w:rsidRPr="00274AF2">
        <w:rPr>
          <w:rFonts w:eastAsia="MS Mincho"/>
        </w:rPr>
        <w:t xml:space="preserve"> ziņojums). </w:t>
      </w:r>
      <w:r w:rsidR="5426358E" w:rsidRPr="00274AF2">
        <w:rPr>
          <w:rFonts w:eastAsia="MS Mincho"/>
        </w:rPr>
        <w:t>Šāds</w:t>
      </w:r>
      <w:r w:rsidR="126DCE9F" w:rsidRPr="00274AF2">
        <w:rPr>
          <w:rFonts w:eastAsia="MS Mincho"/>
        </w:rPr>
        <w:t xml:space="preserve"> </w:t>
      </w:r>
      <w:r w:rsidR="000F7670">
        <w:rPr>
          <w:rFonts w:eastAsia="MS Mincho"/>
        </w:rPr>
        <w:t>z</w:t>
      </w:r>
      <w:r w:rsidR="4546BAEE" w:rsidRPr="00274AF2">
        <w:rPr>
          <w:rFonts w:eastAsia="MS Mincho"/>
        </w:rPr>
        <w:t>iņojums</w:t>
      </w:r>
      <w:r w:rsidR="527786DC" w:rsidRPr="00274AF2">
        <w:rPr>
          <w:rFonts w:eastAsia="MS Mincho"/>
        </w:rPr>
        <w:t>, cita starpā,</w:t>
      </w:r>
      <w:r w:rsidR="4546BAEE" w:rsidRPr="00274AF2">
        <w:rPr>
          <w:rFonts w:eastAsia="MS Mincho"/>
        </w:rPr>
        <w:t xml:space="preserve"> satur </w:t>
      </w:r>
      <w:r w:rsidR="1C0093A8" w:rsidRPr="00274AF2">
        <w:rPr>
          <w:rFonts w:eastAsia="MS Mincho"/>
        </w:rPr>
        <w:t>pārvades sistēmas operatora pienākumu izstrādāt gan dabasgāzes pieprasījuma prognozi nākamajiem 10 gadiem</w:t>
      </w:r>
      <w:r w:rsidR="7BA834E6" w:rsidRPr="00274AF2">
        <w:rPr>
          <w:rFonts w:eastAsia="MS Mincho"/>
        </w:rPr>
        <w:t xml:space="preserve">, vērtējumu par attiecīgu dabasgāzes piegādes un patēriņa atbilstību pārskata periodā un prognozi 10 gadu periodam, </w:t>
      </w:r>
      <w:r w:rsidR="00B21179">
        <w:rPr>
          <w:rFonts w:eastAsia="MS Mincho"/>
        </w:rPr>
        <w:t xml:space="preserve">gan </w:t>
      </w:r>
      <w:r w:rsidR="003D6618">
        <w:rPr>
          <w:rFonts w:eastAsia="MS Mincho"/>
        </w:rPr>
        <w:t xml:space="preserve">sagatavot </w:t>
      </w:r>
      <w:r w:rsidR="7BA834E6" w:rsidRPr="00274AF2">
        <w:rPr>
          <w:rFonts w:eastAsia="MS Mincho"/>
        </w:rPr>
        <w:t xml:space="preserve">informāciju par dabasgāzes pārvades sistēmas atbilstību pieprasījumam un uzturēšanas kvalitāti, </w:t>
      </w:r>
      <w:r w:rsidR="402F7E5A" w:rsidRPr="00274AF2">
        <w:rPr>
          <w:rFonts w:eastAsia="MS Mincho"/>
        </w:rPr>
        <w:t xml:space="preserve">tai skaitā informāciju par būvējamiem objektiem un plānotajām dabasgāzes pārvades jaudām un pasākumiem, kas tiek </w:t>
      </w:r>
      <w:r w:rsidR="402F7E5A" w:rsidRPr="00274AF2">
        <w:rPr>
          <w:rFonts w:eastAsia="MS Mincho"/>
        </w:rPr>
        <w:lastRenderedPageBreak/>
        <w:t xml:space="preserve">veikti maksimāla pieprasījuma gadījumā </w:t>
      </w:r>
      <w:r w:rsidR="4945419F" w:rsidRPr="00274AF2">
        <w:rPr>
          <w:rFonts w:eastAsia="MS Mincho"/>
        </w:rPr>
        <w:t>un viena vai vairāku piegādātāju iztrūkuma gadījumā</w:t>
      </w:r>
      <w:r w:rsidR="402F7E5A" w:rsidRPr="00274AF2">
        <w:rPr>
          <w:rFonts w:eastAsia="MS Mincho"/>
        </w:rPr>
        <w:t>.</w:t>
      </w:r>
      <w:r w:rsidR="1F066248" w:rsidRPr="00274AF2">
        <w:rPr>
          <w:rFonts w:eastAsia="MS Mincho"/>
        </w:rPr>
        <w:t xml:space="preserve"> Turklāt MK noteikumu Nr.</w:t>
      </w:r>
      <w:r w:rsidR="0080498E">
        <w:rPr>
          <w:rFonts w:eastAsia="MS Mincho"/>
        </w:rPr>
        <w:t xml:space="preserve"> </w:t>
      </w:r>
      <w:r w:rsidR="1F066248" w:rsidRPr="00274AF2">
        <w:rPr>
          <w:rFonts w:eastAsia="MS Mincho"/>
        </w:rPr>
        <w:t>482 6.</w:t>
      </w:r>
      <w:r w:rsidR="0080498E">
        <w:rPr>
          <w:rFonts w:eastAsia="MS Mincho"/>
        </w:rPr>
        <w:t xml:space="preserve"> </w:t>
      </w:r>
      <w:r w:rsidR="1F066248" w:rsidRPr="00274AF2">
        <w:rPr>
          <w:rFonts w:eastAsia="MS Mincho"/>
        </w:rPr>
        <w:t>punktā noteikts Ekonomikas ministrijas pienākums ziņojumu publicēt gan savā</w:t>
      </w:r>
      <w:r w:rsidR="47903FE8" w:rsidRPr="00274AF2">
        <w:rPr>
          <w:rFonts w:eastAsia="MS Mincho"/>
        </w:rPr>
        <w:t xml:space="preserve"> tīmekļvietnē, gan nosūtīt arī Eiropas Komisijai.</w:t>
      </w:r>
      <w:r w:rsidR="402F7E5A" w:rsidRPr="00274AF2">
        <w:rPr>
          <w:rFonts w:eastAsia="MS Mincho"/>
        </w:rPr>
        <w:t xml:space="preserve"> </w:t>
      </w:r>
    </w:p>
    <w:p w14:paraId="1177C6CC" w14:textId="29919608" w:rsidR="00B76FC8" w:rsidRPr="00274AF2" w:rsidRDefault="402F7E5A" w:rsidP="00274AF2">
      <w:pPr>
        <w:pStyle w:val="BodyText2"/>
        <w:ind w:firstLine="720"/>
      </w:pPr>
      <w:r w:rsidRPr="00274AF2">
        <w:rPr>
          <w:rFonts w:eastAsia="MS Mincho"/>
        </w:rPr>
        <w:t>L</w:t>
      </w:r>
      <w:r w:rsidR="40B3B07C" w:rsidRPr="00274AF2">
        <w:rPr>
          <w:rFonts w:eastAsia="MS Mincho"/>
        </w:rPr>
        <w:t xml:space="preserve">īdz ar to pēc nepieciešamības būtu veicamas izmaiņas </w:t>
      </w:r>
      <w:r w:rsidR="62DA4E0E" w:rsidRPr="00274AF2">
        <w:rPr>
          <w:rFonts w:eastAsia="MS Mincho"/>
        </w:rPr>
        <w:t xml:space="preserve">Enerģētikas likumā, </w:t>
      </w:r>
      <w:r w:rsidR="40B3B07C" w:rsidRPr="00274AF2">
        <w:rPr>
          <w:rFonts w:eastAsia="MS Mincho"/>
        </w:rPr>
        <w:t>MK noteikumos Nr.</w:t>
      </w:r>
      <w:r w:rsidR="0080498E">
        <w:rPr>
          <w:rFonts w:eastAsia="MS Mincho"/>
        </w:rPr>
        <w:t xml:space="preserve"> </w:t>
      </w:r>
      <w:r w:rsidR="40B3B07C" w:rsidRPr="00274AF2">
        <w:rPr>
          <w:rFonts w:eastAsia="MS Mincho"/>
        </w:rPr>
        <w:t>482, kas precizēt</w:t>
      </w:r>
      <w:r w:rsidR="5E26D624" w:rsidRPr="00274AF2">
        <w:rPr>
          <w:rFonts w:eastAsia="MS Mincho"/>
        </w:rPr>
        <w:t>u vai noteiktu papildus ziņojumā iekļaujamo saturu,</w:t>
      </w:r>
      <w:r w:rsidR="4DAF76AE" w:rsidRPr="00274AF2">
        <w:rPr>
          <w:rFonts w:eastAsia="MS Mincho"/>
        </w:rPr>
        <w:t xml:space="preserve"> tostarp </w:t>
      </w:r>
      <w:proofErr w:type="spellStart"/>
      <w:r w:rsidR="4DAF76AE" w:rsidRPr="00274AF2">
        <w:rPr>
          <w:rFonts w:eastAsia="MS Mincho"/>
        </w:rPr>
        <w:t>Energoregulatoru</w:t>
      </w:r>
      <w:proofErr w:type="spellEnd"/>
      <w:r w:rsidR="4DAF76AE" w:rsidRPr="00274AF2">
        <w:rPr>
          <w:rFonts w:eastAsia="MS Mincho"/>
        </w:rPr>
        <w:t xml:space="preserve"> sadarbības aģentūras (ACER) un ENTSOG informēšanas pienākumu par </w:t>
      </w:r>
      <w:r w:rsidR="1236C022" w:rsidRPr="00274AF2">
        <w:rPr>
          <w:rFonts w:eastAsia="MS Mincho"/>
        </w:rPr>
        <w:t xml:space="preserve">periodiski izstrādāto </w:t>
      </w:r>
      <w:r w:rsidR="4DAF76AE" w:rsidRPr="00274AF2">
        <w:rPr>
          <w:rFonts w:eastAsia="MS Mincho"/>
        </w:rPr>
        <w:t>ziņojumu,</w:t>
      </w:r>
      <w:r w:rsidR="5E26D624" w:rsidRPr="00274AF2">
        <w:rPr>
          <w:rFonts w:eastAsia="MS Mincho"/>
        </w:rPr>
        <w:t xml:space="preserve"> nevis Enerģ</w:t>
      </w:r>
      <w:r w:rsidR="43DFDF21" w:rsidRPr="00274AF2">
        <w:rPr>
          <w:rFonts w:eastAsia="MS Mincho"/>
        </w:rPr>
        <w:t>ētikas likumā</w:t>
      </w:r>
      <w:r w:rsidR="5E26D624" w:rsidRPr="00274AF2">
        <w:rPr>
          <w:rFonts w:eastAsia="MS Mincho"/>
        </w:rPr>
        <w:t xml:space="preserve"> ieviešot </w:t>
      </w:r>
      <w:r w:rsidR="02A8EECF" w:rsidRPr="00274AF2">
        <w:rPr>
          <w:rFonts w:eastAsia="MS Mincho"/>
        </w:rPr>
        <w:t xml:space="preserve">pēc būtības </w:t>
      </w:r>
      <w:r w:rsidR="5E26D624" w:rsidRPr="00274AF2">
        <w:rPr>
          <w:rFonts w:eastAsia="MS Mincho"/>
        </w:rPr>
        <w:t xml:space="preserve">analoģisku </w:t>
      </w:r>
      <w:r w:rsidR="3718C511" w:rsidRPr="00274AF2">
        <w:rPr>
          <w:rFonts w:eastAsia="MS Mincho"/>
        </w:rPr>
        <w:t>mehānismu tam,</w:t>
      </w:r>
      <w:r w:rsidR="6C2BB65B" w:rsidRPr="00274AF2">
        <w:rPr>
          <w:rFonts w:eastAsia="MS Mincho"/>
        </w:rPr>
        <w:t xml:space="preserve"> kas jau šobrīd noteikts Enerģētikas likuma 43.</w:t>
      </w:r>
      <w:r w:rsidR="6C2BB65B" w:rsidRPr="00274AF2">
        <w:rPr>
          <w:rFonts w:eastAsia="MS Mincho"/>
          <w:vertAlign w:val="superscript"/>
        </w:rPr>
        <w:t>1</w:t>
      </w:r>
      <w:r w:rsidR="6C2BB65B" w:rsidRPr="00274AF2">
        <w:rPr>
          <w:rFonts w:eastAsia="MS Mincho"/>
        </w:rPr>
        <w:t xml:space="preserve"> pantā</w:t>
      </w:r>
      <w:r w:rsidR="1106F2D2" w:rsidRPr="00274AF2">
        <w:rPr>
          <w:rFonts w:eastAsia="MS Mincho"/>
        </w:rPr>
        <w:t>.</w:t>
      </w:r>
      <w:r w:rsidR="00AD6CE2" w:rsidRPr="00274AF2">
        <w:rPr>
          <w:rFonts w:eastAsia="MS Mincho"/>
        </w:rPr>
        <w:t xml:space="preserve"> </w:t>
      </w:r>
      <w:r w:rsidR="647A2490" w:rsidRPr="00274AF2">
        <w:t xml:space="preserve">Ievērojot minēto, priekšlikums papildus regulējumam </w:t>
      </w:r>
      <w:r w:rsidR="5D7B8460" w:rsidRPr="00274AF2">
        <w:t xml:space="preserve">precizētajā likumprojektā </w:t>
      </w:r>
      <w:r w:rsidR="647A2490" w:rsidRPr="00274AF2">
        <w:t>par desmit gadu tīkla attīstības plāna izstrādes un apstiprināšanas nepieciešamību Sabiedrības ieskatā nav balstīts uz pamatotiem apsvērumiem</w:t>
      </w:r>
      <w:r w:rsidR="52FBC6C2" w:rsidRPr="00274AF2">
        <w:t xml:space="preserve"> un nav skaidrs šāda regulējuma mērķis</w:t>
      </w:r>
      <w:r w:rsidR="7B5A90A9" w:rsidRPr="00274AF2">
        <w:t xml:space="preserve"> situācijā, kad īstenotais īpašumtiesību nodalīšanas modelis dabasgāzes jomā ir funkcionējošs</w:t>
      </w:r>
      <w:r w:rsidR="20AE644C" w:rsidRPr="00274AF2">
        <w:t xml:space="preserve"> un Sabiedrība </w:t>
      </w:r>
      <w:r w:rsidR="27619782" w:rsidRPr="00274AF2">
        <w:t xml:space="preserve">jau </w:t>
      </w:r>
      <w:r w:rsidR="20AE644C" w:rsidRPr="00274AF2">
        <w:t xml:space="preserve">pilda </w:t>
      </w:r>
      <w:r w:rsidR="3603C3F4" w:rsidRPr="00274AF2">
        <w:t>Enerģētikas likuma 43.</w:t>
      </w:r>
      <w:r w:rsidR="3603C3F4" w:rsidRPr="00274AF2">
        <w:rPr>
          <w:vertAlign w:val="superscript"/>
        </w:rPr>
        <w:t xml:space="preserve">1 </w:t>
      </w:r>
      <w:r w:rsidR="3603C3F4" w:rsidRPr="00274AF2">
        <w:t xml:space="preserve">pantā un </w:t>
      </w:r>
      <w:r w:rsidR="20AE644C" w:rsidRPr="00274AF2">
        <w:t>MK noteikum</w:t>
      </w:r>
      <w:r w:rsidR="2DC82DE6" w:rsidRPr="00274AF2">
        <w:t>os</w:t>
      </w:r>
      <w:r w:rsidR="20AE644C" w:rsidRPr="00274AF2">
        <w:t xml:space="preserve"> Nr.</w:t>
      </w:r>
      <w:r w:rsidR="0080498E">
        <w:t xml:space="preserve"> </w:t>
      </w:r>
      <w:r w:rsidR="20AE644C" w:rsidRPr="00274AF2">
        <w:t>482 noteiktās prasības</w:t>
      </w:r>
      <w:r w:rsidR="647A2490" w:rsidRPr="00274AF2">
        <w:t>.</w:t>
      </w:r>
    </w:p>
    <w:p w14:paraId="2DA79E7E" w14:textId="356EA5EF" w:rsidR="2B629172" w:rsidRPr="00274AF2" w:rsidRDefault="008E2904" w:rsidP="00274AF2">
      <w:pPr>
        <w:pStyle w:val="BodyText2"/>
        <w:numPr>
          <w:ilvl w:val="0"/>
          <w:numId w:val="12"/>
        </w:numPr>
        <w:tabs>
          <w:tab w:val="left" w:pos="1134"/>
        </w:tabs>
        <w:ind w:left="0" w:firstLine="851"/>
      </w:pPr>
      <w:r>
        <w:t xml:space="preserve">No </w:t>
      </w:r>
      <w:r w:rsidR="00274AF2">
        <w:t>izziņ</w:t>
      </w:r>
      <w:r>
        <w:t>as secināms</w:t>
      </w:r>
      <w:r w:rsidR="00274AF2">
        <w:t xml:space="preserve">, </w:t>
      </w:r>
      <w:r>
        <w:t xml:space="preserve">ka </w:t>
      </w:r>
      <w:r w:rsidR="0072669D">
        <w:t xml:space="preserve">atsevišķi </w:t>
      </w:r>
      <w:r w:rsidR="00274AF2">
        <w:t>saskaņošanas procesa dalībnieki</w:t>
      </w:r>
      <w:r w:rsidR="2CFAD9FE" w:rsidRPr="00274AF2">
        <w:t xml:space="preserve"> iebilst pret </w:t>
      </w:r>
      <w:r>
        <w:t xml:space="preserve">precizētā </w:t>
      </w:r>
      <w:r w:rsidR="0166BBCC" w:rsidRPr="00274AF2">
        <w:t>likumprojekta</w:t>
      </w:r>
      <w:r w:rsidR="1B1BC6AD" w:rsidRPr="00274AF2">
        <w:t xml:space="preserve"> </w:t>
      </w:r>
      <w:r w:rsidR="0166BBCC" w:rsidRPr="00274AF2">
        <w:t xml:space="preserve">24. </w:t>
      </w:r>
      <w:r w:rsidR="673EEC06" w:rsidRPr="00274AF2">
        <w:t>punktu</w:t>
      </w:r>
      <w:r w:rsidR="0166BBCC" w:rsidRPr="00274AF2">
        <w:t>, kas paredz Enerģētikas likumu papildināt ar  58.</w:t>
      </w:r>
      <w:r w:rsidR="0166BBCC" w:rsidRPr="00274AF2">
        <w:rPr>
          <w:vertAlign w:val="superscript"/>
        </w:rPr>
        <w:t>8</w:t>
      </w:r>
      <w:r w:rsidR="0166BBCC" w:rsidRPr="00274AF2">
        <w:t xml:space="preserve"> punktu</w:t>
      </w:r>
      <w:r w:rsidR="7E41BD84" w:rsidRPr="00274AF2">
        <w:t xml:space="preserve">, kura </w:t>
      </w:r>
      <w:r w:rsidR="155FCE26" w:rsidRPr="00274AF2">
        <w:t>devītā</w:t>
      </w:r>
      <w:r w:rsidR="7E41BD84" w:rsidRPr="00274AF2">
        <w:t xml:space="preserve"> daļa nosaka, ka </w:t>
      </w:r>
      <w:r w:rsidR="00B21179">
        <w:t>“</w:t>
      </w:r>
      <w:r w:rsidR="7E41BD84" w:rsidRPr="00274AF2">
        <w:t>Izcelsmes apliecinājumus no atjaunojamiem energoresursiem iegūtai gāzei izsniedz un atceļ vienotais dabasgāzes pārvades un uzglabāšanas sistēmas operators. Vienotais dabasgāzes pārvades un uzglabāšanas sistēmas operators nodrošina elektroniskas sistēmas kurā tiek reģistrēti, savākti, uzglabāti un apstrādāti dati saistībā ar izcelsmes apliecinājumiem no atjaunojamiem energoresursiem iegūtai gāzei, izveidi, uzraudzību un uzturēšanu.</w:t>
      </w:r>
      <w:r w:rsidR="00B21179">
        <w:t>”</w:t>
      </w:r>
      <w:r w:rsidR="7E41BD84" w:rsidRPr="00274AF2">
        <w:t xml:space="preserve"> </w:t>
      </w:r>
    </w:p>
    <w:p w14:paraId="41038C31" w14:textId="4A490973" w:rsidR="7E41BD84" w:rsidRPr="00274AF2" w:rsidRDefault="00274AF2" w:rsidP="00274AF2">
      <w:pPr>
        <w:pStyle w:val="BodyText2"/>
        <w:ind w:firstLine="720"/>
      </w:pPr>
      <w:r>
        <w:t>Daži no saskaņošanas procesa dalībniekiem</w:t>
      </w:r>
      <w:r w:rsidR="14C8DC47" w:rsidRPr="00274AF2">
        <w:t xml:space="preserve"> iebilst, ka šis </w:t>
      </w:r>
      <w:r w:rsidR="00F94959">
        <w:t xml:space="preserve">precizētā </w:t>
      </w:r>
      <w:r w:rsidR="14C8DC47" w:rsidRPr="00274AF2">
        <w:t xml:space="preserve">likumprojekta punkts uzskatāms par </w:t>
      </w:r>
      <w:r w:rsidR="2F0ED37D" w:rsidRPr="00274AF2">
        <w:t xml:space="preserve">valsts pārvaldes uzdevuma </w:t>
      </w:r>
      <w:r w:rsidR="6A1E45FB" w:rsidRPr="00274AF2">
        <w:t>deleģējumu</w:t>
      </w:r>
      <w:r w:rsidR="2F0ED37D" w:rsidRPr="00274AF2">
        <w:t xml:space="preserve"> privātpersonai, kas neatbilst Valsts pārvaldes </w:t>
      </w:r>
      <w:r w:rsidR="008E2904">
        <w:t xml:space="preserve">iekārtas </w:t>
      </w:r>
      <w:r w:rsidR="2F0ED37D" w:rsidRPr="00274AF2">
        <w:t xml:space="preserve">likuma 42. </w:t>
      </w:r>
      <w:r w:rsidR="5DD3DD47" w:rsidRPr="00274AF2">
        <w:t>p</w:t>
      </w:r>
      <w:r w:rsidR="2F0ED37D" w:rsidRPr="00274AF2">
        <w:t>anta prasībām. Sabiedrība vērš Ekonomikas ministrijas uzmanību uz apstākli, ka, S</w:t>
      </w:r>
      <w:r w:rsidR="0E6804BD" w:rsidRPr="00274AF2">
        <w:t xml:space="preserve">abiedrības ieskatā, </w:t>
      </w:r>
      <w:r>
        <w:t>iepriekš</w:t>
      </w:r>
      <w:r w:rsidR="0E6804BD" w:rsidRPr="00274AF2">
        <w:t xml:space="preserve">minētais iebildums nav juridiski pareizs. </w:t>
      </w:r>
    </w:p>
    <w:p w14:paraId="46E6570D" w14:textId="0B9D8B1F" w:rsidR="1C39154F" w:rsidRPr="00274AF2" w:rsidRDefault="1C39154F" w:rsidP="00274AF2">
      <w:pPr>
        <w:pStyle w:val="BodyText2"/>
        <w:ind w:firstLine="720"/>
      </w:pPr>
      <w:r w:rsidRPr="00274AF2">
        <w:t xml:space="preserve">Valsts pārvaldes </w:t>
      </w:r>
      <w:r w:rsidR="008E2904">
        <w:t xml:space="preserve">iekārtas </w:t>
      </w:r>
      <w:r w:rsidRPr="00274AF2">
        <w:t xml:space="preserve">likuma 41. panta </w:t>
      </w:r>
      <w:r w:rsidR="6FC6BF63" w:rsidRPr="00274AF2">
        <w:t>pirm</w:t>
      </w:r>
      <w:r w:rsidR="50C328E0" w:rsidRPr="00274AF2">
        <w:t xml:space="preserve">ās </w:t>
      </w:r>
      <w:r w:rsidR="6FC6BF63" w:rsidRPr="00274AF2">
        <w:t>daļ</w:t>
      </w:r>
      <w:r w:rsidR="243026D0" w:rsidRPr="00274AF2">
        <w:t>as pirmajā teikumā</w:t>
      </w:r>
      <w:r w:rsidR="6FC6BF63" w:rsidRPr="00274AF2">
        <w:t xml:space="preserve"> ir noteikts, ka </w:t>
      </w:r>
      <w:r w:rsidR="00B21179">
        <w:t>“</w:t>
      </w:r>
      <w:r w:rsidR="0F2409CF" w:rsidRPr="00274AF2">
        <w:t>Publiska persona var deleģēt pārvaldes uzdevumus, kuru izpilde ietilpst šīs publiskās personas vai tās iestādes kompetencē.</w:t>
      </w:r>
      <w:r w:rsidR="00B21179">
        <w:t>”</w:t>
      </w:r>
      <w:r w:rsidR="0F2409CF" w:rsidRPr="00274AF2">
        <w:t xml:space="preserve"> Sabiedrība iebilst, ka pašlaik izcelsmes apliecinājumu</w:t>
      </w:r>
      <w:r w:rsidR="3CE2C841" w:rsidRPr="00274AF2">
        <w:t xml:space="preserve"> no atjaunojamiem energoresursiem iegūtai gāzei izdošana nav nevienas publiskas personas vai tās iestādes kompetencē un tādēļ </w:t>
      </w:r>
      <w:r w:rsidR="68D81C68" w:rsidRPr="00274AF2">
        <w:t>to nav iespējams deleģēt saskaņā ar Valsts pārvaldes iekārtas likuma V nodaļas noteikumiem.</w:t>
      </w:r>
    </w:p>
    <w:p w14:paraId="558843DB" w14:textId="2C4B31D5" w:rsidR="415D12D4" w:rsidRPr="00274AF2" w:rsidRDefault="415D12D4" w:rsidP="00752A92">
      <w:pPr>
        <w:pStyle w:val="BodyText2"/>
        <w:spacing w:after="120"/>
        <w:ind w:firstLine="720"/>
      </w:pPr>
      <w:r w:rsidRPr="00274AF2">
        <w:t xml:space="preserve">Papildus iepriekš minētajam, Sabiedrība norāda, ka Valsts pārvaldes iekārtas likuma </w:t>
      </w:r>
      <w:r w:rsidR="2BA0898E" w:rsidRPr="00274AF2">
        <w:t xml:space="preserve">43. panta pirmā daļa nosaka, ka </w:t>
      </w:r>
      <w:r w:rsidR="00B21179">
        <w:t>“</w:t>
      </w:r>
      <w:r w:rsidR="2BA0898E" w:rsidRPr="00274AF2">
        <w:t>deleģējot pārvaldes uzdevumu, ārējā normatīvajā aktā nosaka iestādi, kuras padotībā atrodas pilnvarotā persona attiecībā uz konkrētā uzdevuma izpildi.</w:t>
      </w:r>
      <w:r w:rsidR="00B21179">
        <w:t>”</w:t>
      </w:r>
      <w:r w:rsidR="2BA0898E" w:rsidRPr="00274AF2">
        <w:t xml:space="preserve"> </w:t>
      </w:r>
      <w:r w:rsidR="00E928A8">
        <w:t>Precizētais l</w:t>
      </w:r>
      <w:r w:rsidR="286621CF" w:rsidRPr="00274AF2">
        <w:t xml:space="preserve">ikumprojekts nesatur punktu, kas </w:t>
      </w:r>
      <w:r w:rsidR="12339F81" w:rsidRPr="00274AF2">
        <w:t xml:space="preserve">noteiktu iestādi, kuras padotībā būtu Sabiedrība, kad tā pilda </w:t>
      </w:r>
      <w:r w:rsidR="00075219">
        <w:t xml:space="preserve">precizētā </w:t>
      </w:r>
      <w:r w:rsidR="12339F81" w:rsidRPr="00274AF2">
        <w:t>likumprojekta 24. punktā minētos pienākumus. Sabiedrī</w:t>
      </w:r>
      <w:r w:rsidR="2E66910C" w:rsidRPr="00274AF2">
        <w:t>b</w:t>
      </w:r>
      <w:r w:rsidR="12339F81" w:rsidRPr="00274AF2">
        <w:t xml:space="preserve">as ieskatā šis ir papildus arguments tam, ka </w:t>
      </w:r>
      <w:r w:rsidR="00075219">
        <w:t xml:space="preserve">precizētā </w:t>
      </w:r>
      <w:r w:rsidR="16BA613E" w:rsidRPr="00274AF2">
        <w:t>likumprojekta 24. punktā iekļautā Enerģētikas likuma 58.</w:t>
      </w:r>
      <w:r w:rsidR="16BA613E" w:rsidRPr="00274AF2">
        <w:rPr>
          <w:vertAlign w:val="superscript"/>
        </w:rPr>
        <w:t>8</w:t>
      </w:r>
      <w:r w:rsidR="16BA613E" w:rsidRPr="00274AF2">
        <w:t xml:space="preserve"> panta devītā daļa </w:t>
      </w:r>
      <w:r w:rsidR="00B97F5D">
        <w:t>ne</w:t>
      </w:r>
      <w:r w:rsidR="16BA613E" w:rsidRPr="00274AF2">
        <w:t>būtu uzskatāma par valsts pārvaldes uzdevuma deleģējumu Valsts pārvaldes iekārtas likuma izpratnē.</w:t>
      </w:r>
    </w:p>
    <w:p w14:paraId="4A5648B8" w14:textId="581A196F" w:rsidR="4ECDF7E9" w:rsidRPr="00274AF2" w:rsidRDefault="4ECDF7E9" w:rsidP="00392D80">
      <w:pPr>
        <w:pStyle w:val="BodyText2"/>
        <w:spacing w:after="120"/>
        <w:ind w:firstLine="720"/>
      </w:pPr>
      <w:r w:rsidRPr="00274AF2">
        <w:t>Sabiedrība vērš Ekonomikas ministrijas uzmanību uz diviem papildus apstākļiem:</w:t>
      </w:r>
    </w:p>
    <w:p w14:paraId="1B0F6446" w14:textId="0845F2DF" w:rsidR="004F7DDF" w:rsidRDefault="4ECDF7E9" w:rsidP="001F4212">
      <w:pPr>
        <w:pStyle w:val="BodyText2"/>
        <w:ind w:firstLine="720"/>
      </w:pPr>
      <w:r w:rsidRPr="00274AF2">
        <w:t xml:space="preserve">1) </w:t>
      </w:r>
      <w:r w:rsidR="6F7B8550" w:rsidRPr="00274AF2">
        <w:t xml:space="preserve">2018. gada 11. decembra Eiropas Parlamenta un Padomes direktīva Nr. 2018/2001 par no atjaunojamajiem energoresursiem iegūtas enerģijas izmantošanas veicināšanu (turpmāk </w:t>
      </w:r>
      <w:r w:rsidR="00B21179">
        <w:t>–</w:t>
      </w:r>
      <w:r w:rsidR="6F7B8550" w:rsidRPr="00274AF2">
        <w:t xml:space="preserve"> RED II) 19. panta </w:t>
      </w:r>
      <w:r w:rsidR="7FDA75C2" w:rsidRPr="00274AF2">
        <w:t>piektajā</w:t>
      </w:r>
      <w:r w:rsidR="070C46B7" w:rsidRPr="00274AF2">
        <w:t xml:space="preserve"> </w:t>
      </w:r>
      <w:r w:rsidR="00075219">
        <w:t>punktā</w:t>
      </w:r>
      <w:r w:rsidR="070C46B7" w:rsidRPr="00274AF2">
        <w:t xml:space="preserve"> noteikts, </w:t>
      </w:r>
      <w:r w:rsidR="45B12BE8" w:rsidRPr="00274AF2">
        <w:t xml:space="preserve">ka dalībvalstīm ir pienākums </w:t>
      </w:r>
      <w:r w:rsidR="45B12BE8" w:rsidRPr="00274AF2">
        <w:rPr>
          <w:u w:val="single"/>
        </w:rPr>
        <w:t>nodrošināt</w:t>
      </w:r>
      <w:r w:rsidR="45B12BE8" w:rsidRPr="0080498E">
        <w:t xml:space="preserve"> </w:t>
      </w:r>
      <w:r w:rsidR="45B12BE8" w:rsidRPr="00274AF2">
        <w:t>izcelsmes apliecinājumu izsniegšanu</w:t>
      </w:r>
      <w:r w:rsidR="00B1129F">
        <w:t xml:space="preserve">, </w:t>
      </w:r>
      <w:r w:rsidR="00B1129F" w:rsidRPr="00274AF2">
        <w:t xml:space="preserve">nevis, ka izcelsmes apliecinājumu izsniegšana būtu dalībvalsts vai tās </w:t>
      </w:r>
      <w:r w:rsidR="00FA30F4">
        <w:t xml:space="preserve">kompetentās </w:t>
      </w:r>
      <w:r w:rsidR="00B1129F" w:rsidRPr="00274AF2">
        <w:t>iestādes</w:t>
      </w:r>
      <w:r w:rsidR="00FA30F4">
        <w:t xml:space="preserve"> </w:t>
      </w:r>
      <w:r w:rsidR="00B1129F" w:rsidRPr="00274AF2">
        <w:t>kompetencē</w:t>
      </w:r>
      <w:r w:rsidR="00B1129F">
        <w:t xml:space="preserve">. </w:t>
      </w:r>
      <w:r w:rsidR="45B12BE8" w:rsidRPr="00274AF2">
        <w:t>Sabiedrības ieskatā</w:t>
      </w:r>
      <w:r w:rsidR="2BD8FD8F" w:rsidRPr="00274AF2">
        <w:t xml:space="preserve"> minētais formulējums ir izvēlēts ar nolūku atļaut dalībvalstīm uzticēt izcelsmes apliecinājumu apriti citai </w:t>
      </w:r>
      <w:r w:rsidR="004F7DDF">
        <w:t xml:space="preserve">izraudzītajai </w:t>
      </w:r>
      <w:r w:rsidR="00FA30F4">
        <w:t>kompetentajai iestādei (</w:t>
      </w:r>
      <w:proofErr w:type="spellStart"/>
      <w:r w:rsidR="00FA30F4" w:rsidRPr="00FA30F4">
        <w:rPr>
          <w:i/>
        </w:rPr>
        <w:t>designated</w:t>
      </w:r>
      <w:proofErr w:type="spellEnd"/>
      <w:r w:rsidR="00FA30F4" w:rsidRPr="00FA30F4">
        <w:rPr>
          <w:i/>
        </w:rPr>
        <w:t xml:space="preserve"> </w:t>
      </w:r>
      <w:proofErr w:type="spellStart"/>
      <w:r w:rsidR="00FA30F4" w:rsidRPr="00FA30F4">
        <w:rPr>
          <w:i/>
        </w:rPr>
        <w:t>competent</w:t>
      </w:r>
      <w:proofErr w:type="spellEnd"/>
      <w:r w:rsidR="00FA30F4" w:rsidRPr="00FA30F4">
        <w:rPr>
          <w:i/>
        </w:rPr>
        <w:t xml:space="preserve"> </w:t>
      </w:r>
      <w:proofErr w:type="spellStart"/>
      <w:r w:rsidR="00FA30F4" w:rsidRPr="00FA30F4">
        <w:rPr>
          <w:i/>
        </w:rPr>
        <w:t>body</w:t>
      </w:r>
      <w:proofErr w:type="spellEnd"/>
      <w:r w:rsidR="00FA30F4">
        <w:t>)</w:t>
      </w:r>
      <w:r w:rsidR="2BD8FD8F" w:rsidRPr="00274AF2">
        <w:t xml:space="preserve">, tajā skaitā </w:t>
      </w:r>
      <w:r w:rsidR="00B21179">
        <w:t>–</w:t>
      </w:r>
      <w:r w:rsidR="2BD8FD8F" w:rsidRPr="00274AF2">
        <w:t xml:space="preserve"> privātai personai kā vienotajam pārvades un uzglabāšanas sistēmas operatoram</w:t>
      </w:r>
      <w:r w:rsidR="42FAF64B" w:rsidRPr="00274AF2">
        <w:t>.</w:t>
      </w:r>
      <w:r w:rsidR="001F4212">
        <w:t xml:space="preserve"> </w:t>
      </w:r>
    </w:p>
    <w:p w14:paraId="7C4E8CF7" w14:textId="03A19852" w:rsidR="007851DA" w:rsidRPr="00274AF2" w:rsidRDefault="001F4212" w:rsidP="00274AF2">
      <w:pPr>
        <w:pStyle w:val="BodyText2"/>
        <w:ind w:firstLine="720"/>
      </w:pPr>
      <w:r>
        <w:lastRenderedPageBreak/>
        <w:t xml:space="preserve">Piemēram, </w:t>
      </w:r>
      <w:r w:rsidRPr="00B97F5D">
        <w:t xml:space="preserve">Eiropas Parlamenta un Padomes Regulas (ES) 2017/1938 (2017. gada 25. oktobris) par gāzes piegādes drošības aizsardzības pasākumiem un ar ko atceļ Regulu (ES) Nr. 994/2010 2. panta </w:t>
      </w:r>
      <w:r w:rsidR="00075219">
        <w:t xml:space="preserve">septītajā </w:t>
      </w:r>
      <w:r>
        <w:t>punktā skaidrot</w:t>
      </w:r>
      <w:r w:rsidR="004F7DDF">
        <w:t>s</w:t>
      </w:r>
      <w:r>
        <w:t xml:space="preserve">, ka ar jēdzienu </w:t>
      </w:r>
      <w:r w:rsidR="00B21179">
        <w:t>“</w:t>
      </w:r>
      <w:r>
        <w:t>kompetentā iestāde</w:t>
      </w:r>
      <w:r w:rsidR="00B21179">
        <w:t>”</w:t>
      </w:r>
      <w:r>
        <w:t xml:space="preserve"> (</w:t>
      </w:r>
      <w:proofErr w:type="spellStart"/>
      <w:r w:rsidRPr="00B97F5D">
        <w:rPr>
          <w:i/>
        </w:rPr>
        <w:t>competent</w:t>
      </w:r>
      <w:proofErr w:type="spellEnd"/>
      <w:r w:rsidRPr="00B97F5D">
        <w:rPr>
          <w:i/>
        </w:rPr>
        <w:t xml:space="preserve"> </w:t>
      </w:r>
      <w:proofErr w:type="spellStart"/>
      <w:r w:rsidRPr="00B97F5D">
        <w:rPr>
          <w:i/>
        </w:rPr>
        <w:t>authority</w:t>
      </w:r>
      <w:proofErr w:type="spellEnd"/>
      <w:r>
        <w:t>) jāsaprot dalībvalsts norīkotu valsts pārvaldes iestādi vai valsts regulatīvo iestādi, kurai uzticēt</w:t>
      </w:r>
      <w:r w:rsidR="00C9108E">
        <w:t>s</w:t>
      </w:r>
      <w:r>
        <w:t xml:space="preserve"> nodrošināt šajā regulā [Regula (ES) 2017/1938] paredzēto pasākumu īstenošanu.</w:t>
      </w:r>
      <w:r w:rsidR="005E423C">
        <w:t xml:space="preserve"> Līdz ar to</w:t>
      </w:r>
      <w:r w:rsidR="004F7DDF">
        <w:t xml:space="preserve"> RED II 19. panta piektajā </w:t>
      </w:r>
      <w:r w:rsidR="004A5C50">
        <w:t>punktā</w:t>
      </w:r>
      <w:r w:rsidR="004F7DDF">
        <w:t xml:space="preserve"> izmantotais termins </w:t>
      </w:r>
      <w:r w:rsidR="00B21179">
        <w:t>“</w:t>
      </w:r>
      <w:r w:rsidR="004F7DDF" w:rsidRPr="00B97F5D">
        <w:t>izraudzītā kompetentā iestāde</w:t>
      </w:r>
      <w:r w:rsidR="00B21179">
        <w:t>”</w:t>
      </w:r>
      <w:r w:rsidR="004F7DDF" w:rsidRPr="00B97F5D">
        <w:t xml:space="preserve"> (</w:t>
      </w:r>
      <w:proofErr w:type="spellStart"/>
      <w:r w:rsidR="004F7DDF" w:rsidRPr="00B97F5D">
        <w:rPr>
          <w:i/>
        </w:rPr>
        <w:t>designated</w:t>
      </w:r>
      <w:proofErr w:type="spellEnd"/>
      <w:r w:rsidR="004F7DDF" w:rsidRPr="00B97F5D">
        <w:rPr>
          <w:i/>
        </w:rPr>
        <w:t xml:space="preserve"> </w:t>
      </w:r>
      <w:proofErr w:type="spellStart"/>
      <w:r w:rsidR="004F7DDF" w:rsidRPr="00B97F5D">
        <w:rPr>
          <w:i/>
        </w:rPr>
        <w:t>competent</w:t>
      </w:r>
      <w:proofErr w:type="spellEnd"/>
      <w:r w:rsidR="004F7DDF" w:rsidRPr="00B97F5D">
        <w:rPr>
          <w:i/>
        </w:rPr>
        <w:t xml:space="preserve"> </w:t>
      </w:r>
      <w:proofErr w:type="spellStart"/>
      <w:r w:rsidR="004F7DDF" w:rsidRPr="00B97F5D">
        <w:rPr>
          <w:i/>
        </w:rPr>
        <w:t>body</w:t>
      </w:r>
      <w:proofErr w:type="spellEnd"/>
      <w:r w:rsidR="004F7DDF" w:rsidRPr="00B97F5D">
        <w:t xml:space="preserve">) nav </w:t>
      </w:r>
      <w:r w:rsidR="005C7B1F" w:rsidRPr="00B97F5D">
        <w:t>skatāms kopsakarā ar valsts pārvaldes funkciju</w:t>
      </w:r>
      <w:r w:rsidR="005C7B1F" w:rsidRPr="005C7B1F">
        <w:t xml:space="preserve"> izpild</w:t>
      </w:r>
      <w:r w:rsidR="00C9108E">
        <w:t>es pienākumu</w:t>
      </w:r>
      <w:r w:rsidR="005C7B1F" w:rsidRPr="005C7B1F">
        <w:t>, kas</w:t>
      </w:r>
      <w:r w:rsidR="00FB0F07">
        <w:t xml:space="preserve"> faktiski</w:t>
      </w:r>
      <w:r w:rsidR="005C7B1F" w:rsidRPr="005C7B1F">
        <w:t xml:space="preserve"> izriet no termina </w:t>
      </w:r>
      <w:r w:rsidR="00B21179">
        <w:t>“</w:t>
      </w:r>
      <w:r w:rsidR="005C7B1F" w:rsidRPr="005C7B1F">
        <w:t>kompetentā iestāde</w:t>
      </w:r>
      <w:r w:rsidR="00B21179">
        <w:t>”</w:t>
      </w:r>
      <w:r w:rsidR="005C7B1F">
        <w:t xml:space="preserve"> (</w:t>
      </w:r>
      <w:proofErr w:type="spellStart"/>
      <w:r w:rsidR="005C7B1F" w:rsidRPr="00B97F5D">
        <w:rPr>
          <w:i/>
        </w:rPr>
        <w:t>competent</w:t>
      </w:r>
      <w:proofErr w:type="spellEnd"/>
      <w:r w:rsidR="005C7B1F" w:rsidRPr="00B97F5D">
        <w:rPr>
          <w:i/>
        </w:rPr>
        <w:t xml:space="preserve"> </w:t>
      </w:r>
      <w:proofErr w:type="spellStart"/>
      <w:r w:rsidR="005C7B1F" w:rsidRPr="00B97F5D">
        <w:rPr>
          <w:i/>
        </w:rPr>
        <w:t>authority</w:t>
      </w:r>
      <w:proofErr w:type="spellEnd"/>
      <w:r w:rsidR="005C7B1F">
        <w:t>)</w:t>
      </w:r>
      <w:r w:rsidR="00392D80">
        <w:t>, tādējādi izcelsmes apliecinājumu sistēmas izveides un uzturēšanas pienākuma uzticēšana vienotajam pārvades un uzglabāšanas sistēmas operatoram</w:t>
      </w:r>
      <w:r w:rsidR="002E6693">
        <w:t xml:space="preserve"> kā izraudzītajai kompetentajai iestādei</w:t>
      </w:r>
      <w:r w:rsidR="00392D80">
        <w:t xml:space="preserve"> nav uzskatāma par deleģētu valsts pārvaldes funkciju</w:t>
      </w:r>
      <w:r w:rsidR="005C7B1F">
        <w:t>.</w:t>
      </w:r>
    </w:p>
    <w:p w14:paraId="3B383E58" w14:textId="4BDBF5B7" w:rsidR="42FAF64B" w:rsidRPr="00274AF2" w:rsidRDefault="42FAF64B" w:rsidP="00D65B15">
      <w:pPr>
        <w:pStyle w:val="BodyText2"/>
        <w:spacing w:after="120"/>
        <w:ind w:firstLine="720"/>
      </w:pPr>
      <w:r w:rsidRPr="00274AF2">
        <w:t xml:space="preserve">2) RED II 19. panta </w:t>
      </w:r>
      <w:r w:rsidR="6CAB5F98" w:rsidRPr="00274AF2">
        <w:t>piektajā</w:t>
      </w:r>
      <w:r w:rsidRPr="00274AF2">
        <w:t xml:space="preserve"> </w:t>
      </w:r>
      <w:r w:rsidR="00075219">
        <w:t>punktā</w:t>
      </w:r>
      <w:r w:rsidR="00075219" w:rsidRPr="00274AF2">
        <w:t xml:space="preserve"> </w:t>
      </w:r>
      <w:r w:rsidRPr="00274AF2">
        <w:t xml:space="preserve">ir noteikts, ka </w:t>
      </w:r>
      <w:r w:rsidR="00B21179">
        <w:t>“</w:t>
      </w:r>
      <w:r w:rsidR="750FBCD5" w:rsidRPr="00274AF2">
        <w:t>dalībvalstis vai izraudzītās kompetentās iestādes pārrauga izcelsmes apliecinājumu izsniegšanu, nodošanu un atcelšanu. Izraudzīto kompetento iestāžu atbildība ģeogrāfiski nepārklājas, un tās ir neatkarīgas no ražošanas, tirdzniecības un piegādes darbībām.</w:t>
      </w:r>
      <w:r w:rsidR="00B21179">
        <w:t>”</w:t>
      </w:r>
      <w:r w:rsidR="750FBCD5" w:rsidRPr="00274AF2">
        <w:t xml:space="preserve"> </w:t>
      </w:r>
      <w:r w:rsidR="05F82B72" w:rsidRPr="00274AF2">
        <w:t xml:space="preserve">Sabiedrība norāda, ka </w:t>
      </w:r>
      <w:r w:rsidR="1B56E95D" w:rsidRPr="00274AF2">
        <w:t>izcelsmes apliecinājumu aprites nodrošināšanas uzticēšana Sabiedrībai nod</w:t>
      </w:r>
      <w:r w:rsidR="133B5142" w:rsidRPr="00274AF2">
        <w:t>ro</w:t>
      </w:r>
      <w:r w:rsidR="1B56E95D" w:rsidRPr="00274AF2">
        <w:t xml:space="preserve">šinātu, ka visā Latvijas teritorijā ir viena </w:t>
      </w:r>
      <w:r w:rsidR="004A5C50">
        <w:t xml:space="preserve">izraudzītā </w:t>
      </w:r>
      <w:r w:rsidR="1B56E95D" w:rsidRPr="00274AF2">
        <w:t>kompetentā iestāde izcelsmes apliecinājumu aprites jautājumos</w:t>
      </w:r>
      <w:r w:rsidR="71AA40D4" w:rsidRPr="00274AF2">
        <w:t xml:space="preserve">, kuras darbības teritorija ģeogrāfiski nepārklājas ar citas </w:t>
      </w:r>
      <w:r w:rsidR="004A5C50">
        <w:t xml:space="preserve">izraudzītās </w:t>
      </w:r>
      <w:r w:rsidR="71AA40D4" w:rsidRPr="00274AF2">
        <w:t>kompetentās iestādes darbības teritoriju. Turklāt,</w:t>
      </w:r>
      <w:r w:rsidR="09936712" w:rsidRPr="00274AF2">
        <w:t xml:space="preserve"> Sabiedrība jau atbilst RED II 19. </w:t>
      </w:r>
      <w:r w:rsidR="4B5BE38F" w:rsidRPr="00274AF2">
        <w:t>p</w:t>
      </w:r>
      <w:r w:rsidR="09936712" w:rsidRPr="00274AF2">
        <w:t xml:space="preserve">anta piektā </w:t>
      </w:r>
      <w:r w:rsidR="004A5C50">
        <w:t>punkta</w:t>
      </w:r>
      <w:r w:rsidR="09936712" w:rsidRPr="00274AF2">
        <w:t xml:space="preserve"> </w:t>
      </w:r>
      <w:r w:rsidR="004A5C50">
        <w:t>nosacījumam</w:t>
      </w:r>
      <w:r w:rsidR="4D69910D" w:rsidRPr="00274AF2">
        <w:t xml:space="preserve">, ka </w:t>
      </w:r>
      <w:r w:rsidR="004A5C50">
        <w:t xml:space="preserve">izraudzītajai </w:t>
      </w:r>
      <w:r w:rsidR="4D69910D" w:rsidRPr="00274AF2">
        <w:t xml:space="preserve">kompetentajai iestādei jābūt neatkarīgai no ražošanas, tirdzniecības un piegādes darbībām, jo </w:t>
      </w:r>
      <w:r w:rsidR="79902F2C" w:rsidRPr="00274AF2">
        <w:t xml:space="preserve">Enerģētikas likuma 111. panta otrajā daļā ir noteikts, ka </w:t>
      </w:r>
      <w:r w:rsidR="00B21179">
        <w:t>“</w:t>
      </w:r>
      <w:r w:rsidR="79902F2C" w:rsidRPr="00274AF2">
        <w:t>vienotais dabasgāzes pārvades un uzglabāšanas sistēmas operators vai dabasgāzes pārvades sistēmas operators ir energoapgādes komersants, kas nošķirts no dabasgāzes ražošanas un tirdzniecības darbībām un elektroenerģijas ražošanas un tirdzniecības darbībām un neietilpst vertikāli integrēta dabasgāzes apgādes komersanta vai vertikāli integrēta elektroapgādes komersanta sastāvā</w:t>
      </w:r>
      <w:r w:rsidR="00B21179">
        <w:t>”</w:t>
      </w:r>
      <w:r w:rsidR="79902F2C" w:rsidRPr="00274AF2">
        <w:t xml:space="preserve"> un </w:t>
      </w:r>
      <w:r w:rsidR="00752A92">
        <w:t>Regulators ir apstiprinājis</w:t>
      </w:r>
      <w:r w:rsidR="58E2A1C5" w:rsidRPr="00274AF2">
        <w:t xml:space="preserve"> Sabiedrības atbilstību Enerģētikas likuma 111. panta </w:t>
      </w:r>
      <w:r w:rsidR="00F72F05">
        <w:t>trešās</w:t>
      </w:r>
      <w:r w:rsidR="00F72F05" w:rsidRPr="00274AF2">
        <w:t xml:space="preserve"> </w:t>
      </w:r>
      <w:r w:rsidR="58E2A1C5" w:rsidRPr="00274AF2">
        <w:t>daļas</w:t>
      </w:r>
      <w:r w:rsidR="00F72F05">
        <w:t xml:space="preserve"> 1., 2. un 3. punktā noteiktajām vienotā dabasgāzes pārvades un uzglabāšanas sistēmas operatora neatkarības</w:t>
      </w:r>
      <w:r w:rsidR="58E2A1C5" w:rsidRPr="00274AF2">
        <w:t xml:space="preserve"> prasībām, </w:t>
      </w:r>
      <w:r w:rsidR="00392D80">
        <w:t xml:space="preserve">Regulatoram </w:t>
      </w:r>
      <w:r w:rsidR="58E2A1C5" w:rsidRPr="00274AF2">
        <w:t xml:space="preserve">pieņemot </w:t>
      </w:r>
      <w:r w:rsidR="5C12D281" w:rsidRPr="00274AF2">
        <w:t xml:space="preserve">2020. gada 1. oktobra </w:t>
      </w:r>
      <w:r w:rsidR="00392D80">
        <w:t xml:space="preserve">padomes </w:t>
      </w:r>
      <w:r w:rsidR="58E2A1C5" w:rsidRPr="00274AF2">
        <w:t>lēmumu</w:t>
      </w:r>
      <w:r w:rsidR="66288627" w:rsidRPr="00274AF2">
        <w:t xml:space="preserve"> Nr. 128</w:t>
      </w:r>
      <w:r w:rsidR="00392D80">
        <w:t xml:space="preserve"> </w:t>
      </w:r>
      <w:r w:rsidR="00B21179">
        <w:t>“</w:t>
      </w:r>
      <w:r w:rsidR="00392D80">
        <w:t xml:space="preserve">Par akciju sabiedrības </w:t>
      </w:r>
      <w:r w:rsidR="00B21179">
        <w:t>“</w:t>
      </w:r>
      <w:r w:rsidR="00392D80">
        <w:t>Conexus Baltic Grid</w:t>
      </w:r>
      <w:r w:rsidR="00B21179">
        <w:t>”</w:t>
      </w:r>
      <w:r w:rsidR="00392D80" w:rsidRPr="00E93346">
        <w:t xml:space="preserve"> sertificēšanas nosac</w:t>
      </w:r>
      <w:r w:rsidR="00392D80">
        <w:t>ījumu izpildi</w:t>
      </w:r>
      <w:r w:rsidR="00B21179">
        <w:t>”</w:t>
      </w:r>
      <w:r w:rsidR="66288627" w:rsidRPr="00274AF2">
        <w:t>.</w:t>
      </w:r>
    </w:p>
    <w:p w14:paraId="7BE2BF4D" w14:textId="4D15D35F" w:rsidR="2B629172" w:rsidRPr="00274AF2" w:rsidRDefault="0F7D69E4" w:rsidP="00274AF2">
      <w:pPr>
        <w:pStyle w:val="BodyText2"/>
        <w:ind w:firstLine="720"/>
      </w:pPr>
      <w:r w:rsidRPr="00274AF2">
        <w:t xml:space="preserve">Sabiedrības ieskatā apstāklis, ka Sabiedrība atbilst abiem augstāk minētajiem RED II 19. panta piektā </w:t>
      </w:r>
      <w:r w:rsidR="00F72F05">
        <w:t>punkta</w:t>
      </w:r>
      <w:r w:rsidRPr="00274AF2">
        <w:t xml:space="preserve"> nosacījumiem ir arguments par labu tam, lai Sabiedrībai uzticētu </w:t>
      </w:r>
      <w:r w:rsidR="00F72F05">
        <w:t xml:space="preserve">gāzes jomas </w:t>
      </w:r>
      <w:r w:rsidRPr="00274AF2">
        <w:t>izcelsmes aplieci</w:t>
      </w:r>
      <w:r w:rsidR="7B18D722" w:rsidRPr="00274AF2">
        <w:t>nājumu aprites nodrošināšanu.</w:t>
      </w:r>
    </w:p>
    <w:p w14:paraId="74E8AE81" w14:textId="704C1668" w:rsidR="2B629172" w:rsidRPr="00274AF2" w:rsidRDefault="2B629172" w:rsidP="2B629172">
      <w:pPr>
        <w:pStyle w:val="BodyText2"/>
      </w:pPr>
    </w:p>
    <w:p w14:paraId="46D4CE5B" w14:textId="77777777" w:rsidR="002D3A4E" w:rsidRPr="00274AF2" w:rsidRDefault="002D3A4E" w:rsidP="00265863">
      <w:pPr>
        <w:jc w:val="both"/>
        <w:rPr>
          <w:rFonts w:ascii="Times New Roman" w:hAnsi="Times New Roman" w:cs="Times New Roman"/>
          <w:lang w:val="lv-LV"/>
        </w:rPr>
      </w:pPr>
    </w:p>
    <w:p w14:paraId="0EF27F10" w14:textId="7A4E1AB2" w:rsidR="00727986" w:rsidRPr="00274AF2" w:rsidRDefault="00727986" w:rsidP="00065E35">
      <w:pPr>
        <w:tabs>
          <w:tab w:val="left" w:pos="2360"/>
        </w:tabs>
        <w:jc w:val="both"/>
        <w:rPr>
          <w:rFonts w:ascii="Times New Roman" w:hAnsi="Times New Roman" w:cs="Times New Roman"/>
          <w:lang w:val="lv-LV"/>
        </w:rPr>
      </w:pPr>
      <w:r w:rsidRPr="00274AF2">
        <w:rPr>
          <w:rFonts w:ascii="Times New Roman" w:hAnsi="Times New Roman" w:cs="Times New Roman"/>
          <w:lang w:val="lv-LV"/>
        </w:rPr>
        <w:t>Cieņā</w:t>
      </w:r>
      <w:r w:rsidR="00065E35" w:rsidRPr="00274AF2">
        <w:rPr>
          <w:rFonts w:ascii="Times New Roman" w:hAnsi="Times New Roman" w:cs="Times New Roman"/>
          <w:lang w:val="lv-LV"/>
        </w:rPr>
        <w:tab/>
      </w:r>
    </w:p>
    <w:p w14:paraId="64C3056E" w14:textId="77777777" w:rsidR="00065E35" w:rsidRPr="00274AF2" w:rsidRDefault="00065E35" w:rsidP="00065E35">
      <w:pPr>
        <w:tabs>
          <w:tab w:val="left" w:pos="2360"/>
        </w:tabs>
        <w:jc w:val="both"/>
        <w:rPr>
          <w:rFonts w:ascii="Times New Roman" w:hAnsi="Times New Roman" w:cs="Times New Roman"/>
          <w:lang w:val="lv-LV"/>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8"/>
        <w:gridCol w:w="2104"/>
        <w:gridCol w:w="2219"/>
      </w:tblGrid>
      <w:tr w:rsidR="00727986" w:rsidRPr="00274AF2" w14:paraId="41F2735E" w14:textId="77777777" w:rsidTr="002D3A4E">
        <w:tc>
          <w:tcPr>
            <w:tcW w:w="4608" w:type="dxa"/>
          </w:tcPr>
          <w:p w14:paraId="08013A32" w14:textId="5BBF9F01" w:rsidR="00727986" w:rsidRPr="00274AF2" w:rsidRDefault="00727986" w:rsidP="00265863">
            <w:pPr>
              <w:tabs>
                <w:tab w:val="left" w:pos="6804"/>
              </w:tabs>
            </w:pPr>
            <w:r w:rsidRPr="00274AF2">
              <w:t>Valdes priekšsēdētāj</w:t>
            </w:r>
            <w:r w:rsidR="002D2226" w:rsidRPr="00274AF2">
              <w:t>s</w:t>
            </w:r>
            <w:r w:rsidRPr="00274AF2">
              <w:t>, komercpilnvarnie</w:t>
            </w:r>
            <w:r w:rsidR="002D2226" w:rsidRPr="00274AF2">
              <w:t>ks</w:t>
            </w:r>
          </w:p>
        </w:tc>
        <w:tc>
          <w:tcPr>
            <w:tcW w:w="2104" w:type="dxa"/>
          </w:tcPr>
          <w:p w14:paraId="3222382D" w14:textId="10E8F2CB" w:rsidR="00727986" w:rsidRPr="00274AF2" w:rsidRDefault="00B21179" w:rsidP="00B21179">
            <w:pPr>
              <w:tabs>
                <w:tab w:val="left" w:pos="6804"/>
              </w:tabs>
              <w:jc w:val="center"/>
            </w:pPr>
            <w:r>
              <w:t xml:space="preserve">      (paraksts*)</w:t>
            </w:r>
          </w:p>
        </w:tc>
        <w:tc>
          <w:tcPr>
            <w:tcW w:w="2219" w:type="dxa"/>
          </w:tcPr>
          <w:p w14:paraId="65D1F009" w14:textId="067464D9" w:rsidR="00727986" w:rsidRPr="00274AF2" w:rsidRDefault="002D2226" w:rsidP="00265863">
            <w:pPr>
              <w:tabs>
                <w:tab w:val="left" w:pos="6804"/>
              </w:tabs>
              <w:jc w:val="right"/>
            </w:pPr>
            <w:r w:rsidRPr="00274AF2">
              <w:t>Uldis Bariss</w:t>
            </w:r>
          </w:p>
        </w:tc>
      </w:tr>
    </w:tbl>
    <w:p w14:paraId="07E3CC23" w14:textId="16E1D2FF" w:rsidR="00727986" w:rsidRPr="00274AF2" w:rsidRDefault="00727986" w:rsidP="00AE7EEA">
      <w:pPr>
        <w:tabs>
          <w:tab w:val="left" w:pos="6804"/>
        </w:tabs>
        <w:ind w:right="-7"/>
        <w:rPr>
          <w:rFonts w:ascii="Times New Roman" w:hAnsi="Times New Roman" w:cs="Times New Roman"/>
          <w:lang w:val="lv-LV"/>
        </w:rPr>
      </w:pPr>
    </w:p>
    <w:p w14:paraId="70684378" w14:textId="77777777" w:rsidR="00AE7EEA" w:rsidRPr="00274AF2" w:rsidRDefault="00AE7EEA" w:rsidP="00AE7EEA">
      <w:pPr>
        <w:tabs>
          <w:tab w:val="left" w:pos="6804"/>
        </w:tabs>
        <w:ind w:right="-7"/>
        <w:rPr>
          <w:rFonts w:ascii="Times New Roman" w:hAnsi="Times New Roman" w:cs="Times New Roman"/>
          <w:lang w:val="lv-LV"/>
        </w:rPr>
      </w:pPr>
    </w:p>
    <w:p w14:paraId="50924B54" w14:textId="42E7C749" w:rsidR="00ED0202" w:rsidRPr="00B21179" w:rsidRDefault="00B21179" w:rsidP="00ED0202">
      <w:pPr>
        <w:jc w:val="both"/>
        <w:rPr>
          <w:rFonts w:ascii="Times New Roman" w:eastAsia="Calibri" w:hAnsi="Times New Roman" w:cs="Times New Roman"/>
          <w:spacing w:val="2"/>
          <w:sz w:val="22"/>
          <w:szCs w:val="22"/>
          <w:lang w:val="en-GB" w:eastAsia="ja-JP"/>
        </w:rPr>
      </w:pPr>
      <w:r w:rsidRPr="00B21179">
        <w:rPr>
          <w:rFonts w:ascii="Times New Roman" w:eastAsia="Calibri" w:hAnsi="Times New Roman" w:cs="Times New Roman"/>
          <w:spacing w:val="2"/>
          <w:sz w:val="22"/>
          <w:szCs w:val="22"/>
          <w:lang w:val="en-GB" w:eastAsia="ja-JP"/>
        </w:rPr>
        <w:t xml:space="preserve">* </w:t>
      </w:r>
      <w:proofErr w:type="spellStart"/>
      <w:r w:rsidRPr="00B21179">
        <w:rPr>
          <w:rFonts w:ascii="Times New Roman" w:eastAsia="Calibri" w:hAnsi="Times New Roman" w:cs="Times New Roman"/>
          <w:spacing w:val="2"/>
          <w:sz w:val="22"/>
          <w:szCs w:val="22"/>
          <w:lang w:val="en-GB" w:eastAsia="ja-JP"/>
        </w:rPr>
        <w:t>Dokuments</w:t>
      </w:r>
      <w:proofErr w:type="spellEnd"/>
      <w:r w:rsidRPr="00B21179">
        <w:rPr>
          <w:rFonts w:ascii="Times New Roman" w:eastAsia="Calibri" w:hAnsi="Times New Roman" w:cs="Times New Roman"/>
          <w:spacing w:val="2"/>
          <w:sz w:val="22"/>
          <w:szCs w:val="22"/>
          <w:lang w:val="en-GB" w:eastAsia="ja-JP"/>
        </w:rPr>
        <w:t xml:space="preserve"> </w:t>
      </w:r>
      <w:proofErr w:type="spellStart"/>
      <w:r w:rsidRPr="00B21179">
        <w:rPr>
          <w:rFonts w:ascii="Times New Roman" w:eastAsia="Calibri" w:hAnsi="Times New Roman" w:cs="Times New Roman"/>
          <w:spacing w:val="2"/>
          <w:sz w:val="22"/>
          <w:szCs w:val="22"/>
          <w:lang w:val="en-GB" w:eastAsia="ja-JP"/>
        </w:rPr>
        <w:t>parakstīts</w:t>
      </w:r>
      <w:proofErr w:type="spellEnd"/>
      <w:r w:rsidRPr="00B21179">
        <w:rPr>
          <w:rFonts w:ascii="Times New Roman" w:eastAsia="Calibri" w:hAnsi="Times New Roman" w:cs="Times New Roman"/>
          <w:spacing w:val="2"/>
          <w:sz w:val="22"/>
          <w:szCs w:val="22"/>
          <w:lang w:val="en-GB" w:eastAsia="ja-JP"/>
        </w:rPr>
        <w:t xml:space="preserve"> </w:t>
      </w:r>
      <w:proofErr w:type="spellStart"/>
      <w:r w:rsidRPr="00B21179">
        <w:rPr>
          <w:rFonts w:ascii="Times New Roman" w:eastAsia="Calibri" w:hAnsi="Times New Roman" w:cs="Times New Roman"/>
          <w:spacing w:val="2"/>
          <w:sz w:val="22"/>
          <w:szCs w:val="22"/>
          <w:lang w:val="en-GB" w:eastAsia="ja-JP"/>
        </w:rPr>
        <w:t>ar</w:t>
      </w:r>
      <w:proofErr w:type="spellEnd"/>
      <w:r w:rsidRPr="00B21179">
        <w:rPr>
          <w:rFonts w:ascii="Times New Roman" w:eastAsia="Calibri" w:hAnsi="Times New Roman" w:cs="Times New Roman"/>
          <w:spacing w:val="2"/>
          <w:sz w:val="22"/>
          <w:szCs w:val="22"/>
          <w:lang w:val="en-GB" w:eastAsia="ja-JP"/>
        </w:rPr>
        <w:t xml:space="preserve"> </w:t>
      </w:r>
      <w:proofErr w:type="spellStart"/>
      <w:r w:rsidRPr="00B21179">
        <w:rPr>
          <w:rFonts w:ascii="Times New Roman" w:eastAsia="Calibri" w:hAnsi="Times New Roman" w:cs="Times New Roman"/>
          <w:spacing w:val="2"/>
          <w:sz w:val="22"/>
          <w:szCs w:val="22"/>
          <w:lang w:val="en-GB" w:eastAsia="ja-JP"/>
        </w:rPr>
        <w:t>drošu</w:t>
      </w:r>
      <w:proofErr w:type="spellEnd"/>
      <w:r w:rsidRPr="00B21179">
        <w:rPr>
          <w:rFonts w:ascii="Times New Roman" w:eastAsia="Calibri" w:hAnsi="Times New Roman" w:cs="Times New Roman"/>
          <w:spacing w:val="2"/>
          <w:sz w:val="22"/>
          <w:szCs w:val="22"/>
          <w:lang w:val="en-GB" w:eastAsia="ja-JP"/>
        </w:rPr>
        <w:t xml:space="preserve"> </w:t>
      </w:r>
      <w:proofErr w:type="spellStart"/>
      <w:r w:rsidRPr="00B21179">
        <w:rPr>
          <w:rFonts w:ascii="Times New Roman" w:eastAsia="Calibri" w:hAnsi="Times New Roman" w:cs="Times New Roman"/>
          <w:spacing w:val="2"/>
          <w:sz w:val="22"/>
          <w:szCs w:val="22"/>
          <w:lang w:val="en-GB" w:eastAsia="ja-JP"/>
        </w:rPr>
        <w:t>elektronisko</w:t>
      </w:r>
      <w:proofErr w:type="spellEnd"/>
      <w:r w:rsidRPr="00B21179">
        <w:rPr>
          <w:rFonts w:ascii="Times New Roman" w:eastAsia="Calibri" w:hAnsi="Times New Roman" w:cs="Times New Roman"/>
          <w:spacing w:val="2"/>
          <w:sz w:val="22"/>
          <w:szCs w:val="22"/>
          <w:lang w:val="en-GB" w:eastAsia="ja-JP"/>
        </w:rPr>
        <w:t xml:space="preserve"> </w:t>
      </w:r>
      <w:proofErr w:type="spellStart"/>
      <w:r w:rsidRPr="00B21179">
        <w:rPr>
          <w:rFonts w:ascii="Times New Roman" w:eastAsia="Calibri" w:hAnsi="Times New Roman" w:cs="Times New Roman"/>
          <w:spacing w:val="2"/>
          <w:sz w:val="22"/>
          <w:szCs w:val="22"/>
          <w:lang w:val="en-GB" w:eastAsia="ja-JP"/>
        </w:rPr>
        <w:t>parakstu</w:t>
      </w:r>
      <w:proofErr w:type="spellEnd"/>
    </w:p>
    <w:p w14:paraId="2CEE0BA1" w14:textId="77777777" w:rsidR="00727986" w:rsidRPr="00274AF2" w:rsidRDefault="00727986" w:rsidP="00265863">
      <w:pPr>
        <w:tabs>
          <w:tab w:val="left" w:pos="6521"/>
        </w:tabs>
        <w:ind w:right="-7"/>
        <w:rPr>
          <w:rFonts w:ascii="Times New Roman" w:hAnsi="Times New Roman" w:cs="Times New Roman"/>
          <w:sz w:val="20"/>
          <w:szCs w:val="20"/>
          <w:lang w:val="lv-LV"/>
        </w:rPr>
      </w:pPr>
    </w:p>
    <w:p w14:paraId="4340FCA0" w14:textId="77777777" w:rsidR="00727986" w:rsidRPr="00274AF2" w:rsidRDefault="00727986" w:rsidP="00265863">
      <w:pPr>
        <w:tabs>
          <w:tab w:val="left" w:pos="6521"/>
        </w:tabs>
        <w:ind w:right="-7"/>
        <w:rPr>
          <w:rFonts w:ascii="Times New Roman" w:hAnsi="Times New Roman" w:cs="Times New Roman"/>
          <w:sz w:val="20"/>
          <w:szCs w:val="20"/>
          <w:lang w:val="lv-LV"/>
        </w:rPr>
      </w:pPr>
    </w:p>
    <w:p w14:paraId="2F285780" w14:textId="7069E969" w:rsidR="00727986" w:rsidRPr="00274AF2" w:rsidRDefault="00421A49" w:rsidP="00265863">
      <w:pPr>
        <w:tabs>
          <w:tab w:val="left" w:pos="6521"/>
        </w:tabs>
        <w:ind w:right="-7"/>
        <w:rPr>
          <w:rFonts w:ascii="Times New Roman" w:hAnsi="Times New Roman" w:cs="Times New Roman"/>
          <w:sz w:val="20"/>
          <w:szCs w:val="20"/>
          <w:lang w:val="lv-LV"/>
        </w:rPr>
      </w:pPr>
      <w:r w:rsidRPr="00274AF2">
        <w:rPr>
          <w:rFonts w:ascii="Times New Roman" w:hAnsi="Times New Roman" w:cs="Times New Roman"/>
          <w:sz w:val="20"/>
          <w:szCs w:val="20"/>
          <w:lang w:val="lv-LV"/>
        </w:rPr>
        <w:t>Poriņš</w:t>
      </w:r>
      <w:r w:rsidR="00727986" w:rsidRPr="00274AF2">
        <w:rPr>
          <w:rFonts w:ascii="Times New Roman" w:hAnsi="Times New Roman" w:cs="Times New Roman"/>
          <w:sz w:val="20"/>
          <w:szCs w:val="20"/>
          <w:lang w:val="lv-LV"/>
        </w:rPr>
        <w:t xml:space="preserve"> </w:t>
      </w:r>
      <w:r w:rsidR="00CA5878" w:rsidRPr="00274AF2">
        <w:rPr>
          <w:rFonts w:ascii="Times New Roman" w:hAnsi="Times New Roman" w:cs="Times New Roman"/>
          <w:sz w:val="20"/>
          <w:szCs w:val="20"/>
          <w:lang w:val="lv-LV"/>
        </w:rPr>
        <w:t>22132711</w:t>
      </w:r>
    </w:p>
    <w:p w14:paraId="565F7B40" w14:textId="11FC2102" w:rsidR="00F37524" w:rsidRPr="00274AF2" w:rsidRDefault="00F37524" w:rsidP="00265863">
      <w:pPr>
        <w:tabs>
          <w:tab w:val="left" w:pos="6521"/>
        </w:tabs>
        <w:ind w:right="-7"/>
        <w:rPr>
          <w:rFonts w:ascii="Times New Roman" w:hAnsi="Times New Roman" w:cs="Times New Roman"/>
          <w:sz w:val="20"/>
          <w:szCs w:val="20"/>
          <w:lang w:val="lv-LV"/>
        </w:rPr>
      </w:pPr>
      <w:r w:rsidRPr="00274AF2">
        <w:rPr>
          <w:rFonts w:ascii="Times New Roman" w:hAnsi="Times New Roman" w:cs="Times New Roman"/>
          <w:sz w:val="20"/>
          <w:szCs w:val="20"/>
          <w:lang w:val="lv-LV"/>
        </w:rPr>
        <w:t>Kristians.Porins@conexus.lv</w:t>
      </w:r>
    </w:p>
    <w:p w14:paraId="66980567" w14:textId="77777777" w:rsidR="00E6276B" w:rsidRDefault="00E6276B" w:rsidP="00421A49">
      <w:pPr>
        <w:tabs>
          <w:tab w:val="left" w:pos="6521"/>
        </w:tabs>
        <w:ind w:right="-7"/>
        <w:rPr>
          <w:rFonts w:ascii="Times New Roman" w:hAnsi="Times New Roman" w:cs="Times New Roman"/>
          <w:sz w:val="20"/>
          <w:szCs w:val="20"/>
          <w:lang w:val="lv-LV"/>
        </w:rPr>
      </w:pPr>
    </w:p>
    <w:p w14:paraId="6A958329" w14:textId="61B2923A" w:rsidR="00727986" w:rsidRPr="00274AF2" w:rsidRDefault="00421A49" w:rsidP="00421A49">
      <w:pPr>
        <w:tabs>
          <w:tab w:val="left" w:pos="6521"/>
        </w:tabs>
        <w:ind w:right="-7"/>
        <w:rPr>
          <w:rFonts w:ascii="Times New Roman" w:hAnsi="Times New Roman" w:cs="Times New Roman"/>
          <w:sz w:val="20"/>
          <w:szCs w:val="20"/>
          <w:lang w:val="lv-LV"/>
        </w:rPr>
      </w:pPr>
      <w:r w:rsidRPr="00274AF2">
        <w:rPr>
          <w:rFonts w:ascii="Times New Roman" w:hAnsi="Times New Roman" w:cs="Times New Roman"/>
          <w:sz w:val="20"/>
          <w:szCs w:val="20"/>
          <w:lang w:val="lv-LV"/>
        </w:rPr>
        <w:t>Ansone</w:t>
      </w:r>
      <w:r w:rsidR="00CA5878" w:rsidRPr="00274AF2">
        <w:rPr>
          <w:rFonts w:ascii="Times New Roman" w:hAnsi="Times New Roman" w:cs="Times New Roman"/>
          <w:sz w:val="20"/>
          <w:szCs w:val="20"/>
          <w:lang w:val="lv-LV"/>
        </w:rPr>
        <w:t xml:space="preserve"> 25546549</w:t>
      </w:r>
    </w:p>
    <w:p w14:paraId="3FDE3D07" w14:textId="1A6D1279" w:rsidR="00F37524" w:rsidRPr="00274AF2" w:rsidRDefault="00F37524" w:rsidP="00421A49">
      <w:pPr>
        <w:tabs>
          <w:tab w:val="left" w:pos="6521"/>
        </w:tabs>
        <w:ind w:right="-7"/>
        <w:rPr>
          <w:rFonts w:ascii="Times New Roman" w:hAnsi="Times New Roman" w:cs="Times New Roman"/>
          <w:sz w:val="20"/>
          <w:szCs w:val="20"/>
          <w:lang w:val="lv-LV"/>
        </w:rPr>
      </w:pPr>
      <w:r w:rsidRPr="00274AF2">
        <w:rPr>
          <w:rFonts w:ascii="Times New Roman" w:hAnsi="Times New Roman" w:cs="Times New Roman"/>
          <w:sz w:val="20"/>
          <w:szCs w:val="20"/>
          <w:lang w:val="lv-LV"/>
        </w:rPr>
        <w:t>Ance.Ansone@conexus.lv</w:t>
      </w:r>
    </w:p>
    <w:p w14:paraId="2F705769" w14:textId="77777777" w:rsidR="00E6276B" w:rsidRDefault="00E6276B" w:rsidP="4488BA53">
      <w:pPr>
        <w:tabs>
          <w:tab w:val="left" w:pos="6521"/>
        </w:tabs>
        <w:ind w:right="-7"/>
        <w:rPr>
          <w:rFonts w:ascii="Times New Roman" w:hAnsi="Times New Roman" w:cs="Times New Roman"/>
          <w:sz w:val="20"/>
          <w:szCs w:val="20"/>
          <w:lang w:val="lv-LV"/>
        </w:rPr>
      </w:pPr>
    </w:p>
    <w:p w14:paraId="5E80E5DB" w14:textId="5843507D" w:rsidR="017F6D87" w:rsidRPr="00274AF2" w:rsidRDefault="017F6D87" w:rsidP="4488BA53">
      <w:pPr>
        <w:tabs>
          <w:tab w:val="left" w:pos="6521"/>
        </w:tabs>
        <w:ind w:right="-7"/>
        <w:rPr>
          <w:rFonts w:ascii="Times New Roman" w:hAnsi="Times New Roman" w:cs="Times New Roman"/>
          <w:sz w:val="20"/>
          <w:szCs w:val="20"/>
          <w:lang w:val="lv-LV"/>
        </w:rPr>
      </w:pPr>
      <w:r w:rsidRPr="00274AF2">
        <w:rPr>
          <w:rFonts w:ascii="Times New Roman" w:hAnsi="Times New Roman" w:cs="Times New Roman"/>
          <w:sz w:val="20"/>
          <w:szCs w:val="20"/>
          <w:lang w:val="lv-LV"/>
        </w:rPr>
        <w:t>Bibiks 29328594</w:t>
      </w:r>
    </w:p>
    <w:p w14:paraId="3F7FA849" w14:textId="797B5DD5" w:rsidR="017F6D87" w:rsidRPr="00274AF2" w:rsidRDefault="017F6D87" w:rsidP="4488BA53">
      <w:pPr>
        <w:tabs>
          <w:tab w:val="left" w:pos="6521"/>
        </w:tabs>
        <w:ind w:right="-7"/>
        <w:rPr>
          <w:rFonts w:ascii="Times New Roman" w:hAnsi="Times New Roman" w:cs="Times New Roman"/>
          <w:sz w:val="20"/>
          <w:szCs w:val="20"/>
          <w:lang w:val="lv-LV"/>
        </w:rPr>
      </w:pPr>
      <w:r w:rsidRPr="00274AF2">
        <w:rPr>
          <w:rFonts w:ascii="Times New Roman" w:hAnsi="Times New Roman" w:cs="Times New Roman"/>
          <w:sz w:val="20"/>
          <w:szCs w:val="20"/>
          <w:lang w:val="lv-LV"/>
        </w:rPr>
        <w:t>Filips.Bibiks@conexus.lv</w:t>
      </w:r>
    </w:p>
    <w:sectPr w:rsidR="017F6D87" w:rsidRPr="00274AF2" w:rsidSect="00CC210D">
      <w:headerReference w:type="default" r:id="rId11"/>
      <w:footerReference w:type="default" r:id="rId12"/>
      <w:headerReference w:type="first" r:id="rId13"/>
      <w:footerReference w:type="first" r:id="rId14"/>
      <w:pgSz w:w="11900" w:h="16840"/>
      <w:pgMar w:top="1672" w:right="1268" w:bottom="1134" w:left="1701" w:header="705" w:footer="54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2BC87F" w14:textId="77777777" w:rsidR="00341823" w:rsidRDefault="00341823">
      <w:r>
        <w:separator/>
      </w:r>
    </w:p>
  </w:endnote>
  <w:endnote w:type="continuationSeparator" w:id="0">
    <w:p w14:paraId="7D91605F" w14:textId="77777777" w:rsidR="00341823" w:rsidRDefault="00341823">
      <w:r>
        <w:continuationSeparator/>
      </w:r>
    </w:p>
  </w:endnote>
  <w:endnote w:type="continuationNotice" w:id="1">
    <w:p w14:paraId="08167FF5" w14:textId="77777777" w:rsidR="00341823" w:rsidRDefault="003418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1933588165"/>
      <w:docPartObj>
        <w:docPartGallery w:val="Page Numbers (Bottom of Page)"/>
        <w:docPartUnique/>
      </w:docPartObj>
    </w:sdtPr>
    <w:sdtEndPr>
      <w:rPr>
        <w:noProof/>
      </w:rPr>
    </w:sdtEndPr>
    <w:sdtContent>
      <w:p w14:paraId="283B4AFB" w14:textId="073CE668" w:rsidR="00E6276B" w:rsidRPr="00E6276B" w:rsidRDefault="00E6276B">
        <w:pPr>
          <w:pStyle w:val="Footer"/>
          <w:jc w:val="right"/>
          <w:rPr>
            <w:rFonts w:ascii="Times New Roman" w:hAnsi="Times New Roman" w:cs="Times New Roman"/>
          </w:rPr>
        </w:pPr>
        <w:r w:rsidRPr="00E6276B">
          <w:rPr>
            <w:rFonts w:ascii="Times New Roman" w:hAnsi="Times New Roman" w:cs="Times New Roman"/>
          </w:rPr>
          <w:fldChar w:fldCharType="begin"/>
        </w:r>
        <w:r w:rsidRPr="00E6276B">
          <w:rPr>
            <w:rFonts w:ascii="Times New Roman" w:hAnsi="Times New Roman" w:cs="Times New Roman"/>
          </w:rPr>
          <w:instrText xml:space="preserve"> PAGE   \* MERGEFORMAT </w:instrText>
        </w:r>
        <w:r w:rsidRPr="00E6276B">
          <w:rPr>
            <w:rFonts w:ascii="Times New Roman" w:hAnsi="Times New Roman" w:cs="Times New Roman"/>
          </w:rPr>
          <w:fldChar w:fldCharType="separate"/>
        </w:r>
        <w:r w:rsidR="00752A92">
          <w:rPr>
            <w:rFonts w:ascii="Times New Roman" w:hAnsi="Times New Roman" w:cs="Times New Roman"/>
            <w:noProof/>
          </w:rPr>
          <w:t>7</w:t>
        </w:r>
        <w:r w:rsidRPr="00E6276B">
          <w:rPr>
            <w:rFonts w:ascii="Times New Roman" w:hAnsi="Times New Roman" w:cs="Times New Roman"/>
            <w:noProof/>
          </w:rPr>
          <w:fldChar w:fldCharType="end"/>
        </w:r>
      </w:p>
    </w:sdtContent>
  </w:sdt>
  <w:p w14:paraId="4A1EA890" w14:textId="77777777" w:rsidR="00CC210D" w:rsidRPr="00E6276B" w:rsidRDefault="00CC210D" w:rsidP="00CC210D">
    <w:pPr>
      <w:pStyle w:val="Footer"/>
      <w:tabs>
        <w:tab w:val="left" w:pos="8789"/>
      </w:tabs>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AC025D" w14:textId="77777777" w:rsidR="00CC210D" w:rsidRDefault="00CC210D">
    <w:pPr>
      <w:pStyle w:val="Footer"/>
      <w:jc w:val="right"/>
    </w:pPr>
    <w:r>
      <w:rPr>
        <w:noProof/>
      </w:rPr>
      <w:drawing>
        <wp:anchor distT="0" distB="0" distL="114300" distR="114300" simplePos="0" relativeHeight="251658241" behindDoc="0" locked="0" layoutInCell="1" allowOverlap="1" wp14:anchorId="676DC4C5" wp14:editId="7922B92B">
          <wp:simplePos x="0" y="0"/>
          <wp:positionH relativeFrom="column">
            <wp:posOffset>5248195</wp:posOffset>
          </wp:positionH>
          <wp:positionV relativeFrom="paragraph">
            <wp:posOffset>-240030</wp:posOffset>
          </wp:positionV>
          <wp:extent cx="926465" cy="415925"/>
          <wp:effectExtent l="0" t="0" r="0" b="0"/>
          <wp:wrapTight wrapText="bothSides">
            <wp:wrapPolygon edited="0">
              <wp:start x="0" y="0"/>
              <wp:lineTo x="0" y="19786"/>
              <wp:lineTo x="20727" y="19786"/>
              <wp:lineTo x="20727" y="0"/>
              <wp:lineTo x="0" y="0"/>
            </wp:wrapPolygon>
          </wp:wrapTight>
          <wp:docPr id="27" name="Picture 27" descr="Macintosh HD:Users:gitadeniskane:Desktop:VUCA:conex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gitadeniskane:Desktop:VUCA:conexu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6465" cy="41592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208FB8" w14:textId="77777777" w:rsidR="00341823" w:rsidRDefault="00341823">
      <w:r>
        <w:separator/>
      </w:r>
    </w:p>
  </w:footnote>
  <w:footnote w:type="continuationSeparator" w:id="0">
    <w:p w14:paraId="0FBF9CBC" w14:textId="77777777" w:rsidR="00341823" w:rsidRDefault="00341823">
      <w:r>
        <w:continuationSeparator/>
      </w:r>
    </w:p>
  </w:footnote>
  <w:footnote w:type="continuationNotice" w:id="1">
    <w:p w14:paraId="41D7BB4F" w14:textId="77777777" w:rsidR="00341823" w:rsidRDefault="00341823"/>
  </w:footnote>
  <w:footnote w:id="2">
    <w:p w14:paraId="3783233C" w14:textId="3C684889" w:rsidR="00303DEA" w:rsidRPr="00AD6CE2" w:rsidRDefault="00303DEA" w:rsidP="00AD6CE2">
      <w:pPr>
        <w:pStyle w:val="FootnoteText"/>
        <w:jc w:val="both"/>
        <w:rPr>
          <w:noProof/>
          <w:sz w:val="20"/>
          <w:lang w:val="en-GB"/>
        </w:rPr>
      </w:pPr>
      <w:r w:rsidRPr="00BE6FF4">
        <w:rPr>
          <w:rStyle w:val="FootnoteReference"/>
          <w:sz w:val="20"/>
        </w:rPr>
        <w:footnoteRef/>
      </w:r>
      <w:r w:rsidRPr="00BE6FF4">
        <w:rPr>
          <w:sz w:val="20"/>
        </w:rPr>
        <w:t xml:space="preserve"> </w:t>
      </w:r>
      <w:r w:rsidR="00B21179">
        <w:rPr>
          <w:sz w:val="20"/>
        </w:rPr>
        <w:t>“</w:t>
      </w:r>
      <w:r w:rsidR="00AD6CE2" w:rsidRPr="00AD6CE2">
        <w:rPr>
          <w:noProof/>
          <w:sz w:val="20"/>
          <w:lang w:val="en-GB"/>
        </w:rPr>
        <w:t>Regulatory sandboxes in the energy sector – the what, the who and the how</w:t>
      </w:r>
      <w:r w:rsidR="00B21179">
        <w:rPr>
          <w:noProof/>
          <w:sz w:val="20"/>
          <w:lang w:val="en-GB"/>
        </w:rPr>
        <w:t>”</w:t>
      </w:r>
      <w:r w:rsidR="00AD6CE2" w:rsidRPr="00AD6CE2">
        <w:rPr>
          <w:noProof/>
          <w:sz w:val="20"/>
          <w:lang w:val="en-GB"/>
        </w:rPr>
        <w:t xml:space="preserve"> </w:t>
      </w:r>
      <w:hyperlink r:id="rId1" w:history="1">
        <w:r w:rsidR="00AD6CE2" w:rsidRPr="00AD6CE2">
          <w:rPr>
            <w:rStyle w:val="Hyperlink"/>
            <w:noProof/>
            <w:sz w:val="20"/>
            <w:lang w:val="en-GB"/>
          </w:rPr>
          <w:t>https://fsr.eui.eu/regulatory-sandboxes-in-the-energy-sector-the-what-the-who-and-the-how/</w:t>
        </w:r>
      </w:hyperlink>
      <w:r w:rsidR="00AD6CE2" w:rsidRPr="00AD6CE2">
        <w:rPr>
          <w:noProof/>
          <w:sz w:val="20"/>
          <w:lang w:val="en-GB"/>
        </w:rPr>
        <w:t xml:space="preserve"> </w:t>
      </w:r>
    </w:p>
  </w:footnote>
  <w:footnote w:id="3">
    <w:p w14:paraId="72A7CD97" w14:textId="755763E7" w:rsidR="006635C1" w:rsidRPr="00AD6CE2" w:rsidRDefault="006635C1" w:rsidP="00AD6CE2">
      <w:pPr>
        <w:pStyle w:val="FootnoteText"/>
        <w:jc w:val="both"/>
        <w:rPr>
          <w:noProof/>
          <w:sz w:val="20"/>
          <w:lang w:val="en-GB"/>
        </w:rPr>
      </w:pPr>
      <w:r w:rsidRPr="00AD6CE2">
        <w:rPr>
          <w:rStyle w:val="FootnoteReference"/>
          <w:noProof/>
          <w:lang w:val="en-GB"/>
        </w:rPr>
        <w:footnoteRef/>
      </w:r>
      <w:r w:rsidRPr="00AD6CE2">
        <w:rPr>
          <w:noProof/>
          <w:sz w:val="20"/>
          <w:lang w:val="en-GB"/>
        </w:rPr>
        <w:t xml:space="preserve"> </w:t>
      </w:r>
      <w:r w:rsidR="00B21179">
        <w:rPr>
          <w:noProof/>
          <w:sz w:val="20"/>
          <w:lang w:val="en-GB"/>
        </w:rPr>
        <w:t>“</w:t>
      </w:r>
      <w:r w:rsidR="00AD6CE2" w:rsidRPr="00AD6CE2">
        <w:rPr>
          <w:noProof/>
          <w:sz w:val="20"/>
          <w:lang w:val="en-GB"/>
        </w:rPr>
        <w:t>Regulatory Sandbox for the Energy Sector</w:t>
      </w:r>
      <w:r w:rsidR="00B21179">
        <w:rPr>
          <w:noProof/>
          <w:sz w:val="20"/>
          <w:lang w:val="en-GB"/>
        </w:rPr>
        <w:t>”</w:t>
      </w:r>
      <w:r w:rsidR="00AD6CE2" w:rsidRPr="00AD6CE2">
        <w:rPr>
          <w:noProof/>
          <w:sz w:val="20"/>
          <w:lang w:val="en-GB"/>
        </w:rPr>
        <w:t xml:space="preserve"> </w:t>
      </w:r>
      <w:hyperlink r:id="rId2" w:history="1">
        <w:r w:rsidR="00AD6CE2" w:rsidRPr="00AD6CE2">
          <w:rPr>
            <w:rStyle w:val="Hyperlink"/>
            <w:noProof/>
            <w:sz w:val="20"/>
            <w:lang w:val="en-GB"/>
          </w:rPr>
          <w:t>https://enmin.lrv.lt/en/sectoral-policy/research-and-innovation-in-the-energy-sector/regulatory-sandbox-for-the-energy-sector</w:t>
        </w:r>
      </w:hyperlink>
      <w:r w:rsidR="00AD6CE2" w:rsidRPr="00AD6CE2">
        <w:rPr>
          <w:noProof/>
          <w:sz w:val="20"/>
          <w:lang w:val="en-GB"/>
        </w:rPr>
        <w:t xml:space="preserve"> </w:t>
      </w:r>
    </w:p>
  </w:footnote>
  <w:footnote w:id="4">
    <w:p w14:paraId="34ADA0FD" w14:textId="2367A02B" w:rsidR="00FB7EF9" w:rsidRPr="00BE6FF4" w:rsidRDefault="00FB7EF9" w:rsidP="00AD6CE2">
      <w:pPr>
        <w:pStyle w:val="FootnoteText"/>
        <w:jc w:val="both"/>
        <w:rPr>
          <w:sz w:val="20"/>
        </w:rPr>
      </w:pPr>
      <w:r w:rsidRPr="00AD6CE2">
        <w:rPr>
          <w:rStyle w:val="FootnoteReference"/>
          <w:noProof/>
          <w:sz w:val="20"/>
          <w:lang w:val="en-GB"/>
        </w:rPr>
        <w:footnoteRef/>
      </w:r>
      <w:r w:rsidRPr="00AD6CE2">
        <w:rPr>
          <w:noProof/>
          <w:sz w:val="20"/>
          <w:lang w:val="en-GB"/>
        </w:rPr>
        <w:t xml:space="preserve"> </w:t>
      </w:r>
      <w:r w:rsidR="00B21179">
        <w:rPr>
          <w:noProof/>
          <w:sz w:val="20"/>
          <w:lang w:val="en-GB"/>
        </w:rPr>
        <w:t>“</w:t>
      </w:r>
      <w:r w:rsidR="00AD6CE2" w:rsidRPr="00AD6CE2">
        <w:rPr>
          <w:noProof/>
          <w:sz w:val="20"/>
          <w:lang w:val="en-GB"/>
        </w:rPr>
        <w:t>Regulatory sandboxes for the energy transition: launch of the Darmstadt-based DELTA project</w:t>
      </w:r>
      <w:r w:rsidR="00B21179">
        <w:rPr>
          <w:noProof/>
          <w:sz w:val="20"/>
          <w:lang w:val="en-GB"/>
        </w:rPr>
        <w:t>”</w:t>
      </w:r>
      <w:r w:rsidR="00AD6CE2">
        <w:rPr>
          <w:sz w:val="20"/>
        </w:rPr>
        <w:t xml:space="preserve"> </w:t>
      </w:r>
      <w:hyperlink r:id="rId3" w:history="1">
        <w:r w:rsidR="00AD6CE2" w:rsidRPr="00843834">
          <w:rPr>
            <w:rStyle w:val="Hyperlink"/>
            <w:sz w:val="20"/>
          </w:rPr>
          <w:t>https://www.bmwi.de/Redaktion/EN/Pressemitteilungen/2021/05/20210511-regulatory-sandboxes-for-the-energy-transition.html</w:t>
        </w:r>
      </w:hyperlink>
      <w:r w:rsidRPr="00BE6FF4">
        <w:rPr>
          <w:sz w:val="20"/>
        </w:rPr>
        <w:t xml:space="preserve"> </w:t>
      </w:r>
    </w:p>
  </w:footnote>
  <w:footnote w:id="5">
    <w:p w14:paraId="2B0FD9C5" w14:textId="5E006112" w:rsidR="00A05A77" w:rsidRPr="00E93346" w:rsidRDefault="00A05A77" w:rsidP="00AD6CE2">
      <w:pPr>
        <w:pStyle w:val="FootnoteText"/>
        <w:jc w:val="both"/>
        <w:rPr>
          <w:color w:val="000000" w:themeColor="text1"/>
          <w:sz w:val="20"/>
          <w:lang w:val="en-GB"/>
        </w:rPr>
      </w:pPr>
      <w:r w:rsidRPr="00E93346">
        <w:rPr>
          <w:rStyle w:val="FootnoteReference"/>
          <w:sz w:val="20"/>
          <w:lang w:val="en-GB"/>
        </w:rPr>
        <w:footnoteRef/>
      </w:r>
      <w:r w:rsidRPr="00E93346">
        <w:rPr>
          <w:sz w:val="20"/>
          <w:lang w:val="en-GB"/>
        </w:rPr>
        <w:t xml:space="preserve"> </w:t>
      </w:r>
      <w:r w:rsidR="00E93346" w:rsidRPr="00E93346">
        <w:rPr>
          <w:sz w:val="20"/>
          <w:lang w:val="en-GB"/>
        </w:rPr>
        <w:t xml:space="preserve">European Commission. Commission Staff Working Paper. Interpretative note on Directive 2009/72/EC concerning common rules for the internal market in electricity and Directive 2009/73/EC concerning common rules for the internal market in natural gas. The unbundling regime. Brussels, 22 January 2010. </w:t>
      </w:r>
      <w:hyperlink r:id="rId4" w:history="1">
        <w:r w:rsidR="007255E2" w:rsidRPr="00E93346">
          <w:rPr>
            <w:rStyle w:val="Hyperlink"/>
            <w:sz w:val="20"/>
            <w:lang w:val="en-GB"/>
          </w:rPr>
          <w:t>https://ec.europa.eu/energy/sites/default/files/documents/2010_01_21_the_unbundling_regime.pdf</w:t>
        </w:r>
      </w:hyperlink>
      <w:r w:rsidR="007255E2" w:rsidRPr="00E93346">
        <w:rPr>
          <w:color w:val="000000" w:themeColor="text1"/>
          <w:sz w:val="20"/>
          <w:lang w:val="en-GB"/>
        </w:rPr>
        <w:t xml:space="preserve"> </w:t>
      </w:r>
      <w:r w:rsidRPr="00E93346">
        <w:rPr>
          <w:color w:val="000000" w:themeColor="text1"/>
          <w:sz w:val="20"/>
          <w:lang w:val="en-GB"/>
        </w:rPr>
        <w:t xml:space="preserve"> 20-21. </w:t>
      </w:r>
      <w:r w:rsidRPr="00E93346">
        <w:rPr>
          <w:color w:val="000000" w:themeColor="text1"/>
          <w:sz w:val="20"/>
          <w:lang w:val="en-GB"/>
        </w:rPr>
        <w:t>lpp</w:t>
      </w:r>
    </w:p>
  </w:footnote>
  <w:footnote w:id="6">
    <w:p w14:paraId="62FC0671" w14:textId="51D14275" w:rsidR="00667037" w:rsidRPr="00E93346" w:rsidRDefault="00667037" w:rsidP="00AD6CE2">
      <w:pPr>
        <w:pStyle w:val="FootnoteText"/>
        <w:jc w:val="both"/>
      </w:pPr>
      <w:r w:rsidRPr="00E93346">
        <w:rPr>
          <w:rStyle w:val="FootnoteReference"/>
          <w:color w:val="000000" w:themeColor="text1"/>
          <w:sz w:val="20"/>
        </w:rPr>
        <w:footnoteRef/>
      </w:r>
      <w:r w:rsidRPr="00E93346">
        <w:rPr>
          <w:color w:val="000000" w:themeColor="text1"/>
          <w:sz w:val="20"/>
        </w:rPr>
        <w:t xml:space="preserve"> </w:t>
      </w:r>
      <w:hyperlink r:id="rId5" w:history="1">
        <w:r w:rsidR="00E93346" w:rsidRPr="00E93346">
          <w:rPr>
            <w:rStyle w:val="Hyperlink"/>
            <w:color w:val="000000" w:themeColor="text1"/>
            <w:sz w:val="20"/>
            <w:u w:val="none"/>
          </w:rPr>
          <w:t>Turpat</w:t>
        </w:r>
        <w:r w:rsidR="00AD6CE2" w:rsidRPr="00E93346">
          <w:rPr>
            <w:rStyle w:val="Hyperlink"/>
            <w:color w:val="000000" w:themeColor="text1"/>
            <w:sz w:val="20"/>
            <w:u w:val="none"/>
          </w:rPr>
          <w:t xml:space="preserve"> </w:t>
        </w:r>
      </w:hyperlink>
      <w:r w:rsidRPr="00E93346">
        <w:rPr>
          <w:color w:val="000000" w:themeColor="text1"/>
          <w:sz w:val="20"/>
        </w:rPr>
        <w:t> </w:t>
      </w:r>
      <w:r w:rsidR="00AD6CE2" w:rsidRPr="00E93346">
        <w:rPr>
          <w:color w:val="000000" w:themeColor="text1"/>
          <w:sz w:val="20"/>
        </w:rPr>
        <w:t xml:space="preserve">5. </w:t>
      </w:r>
      <w:r w:rsidRPr="00E93346">
        <w:rPr>
          <w:color w:val="000000" w:themeColor="text1"/>
          <w:sz w:val="20"/>
        </w:rPr>
        <w:t>lp</w:t>
      </w:r>
      <w:r w:rsidR="008E2904">
        <w:rPr>
          <w:color w:val="000000" w:themeColor="text1"/>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CCE025" w14:textId="77777777" w:rsidR="00CC210D" w:rsidRPr="00A246AD" w:rsidRDefault="00CC210D" w:rsidP="00CC210D">
    <w:pPr>
      <w:jc w:val="right"/>
      <w:rPr>
        <w:rFonts w:ascii="Arial" w:hAnsi="Arial" w:cs="Arial"/>
        <w:b/>
        <w:color w:val="5B566E"/>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287D7" w14:textId="77777777" w:rsidR="00CC210D" w:rsidRDefault="00CC210D">
    <w:pPr>
      <w:pStyle w:val="Header"/>
      <w:jc w:val="right"/>
    </w:pPr>
    <w:r>
      <w:rPr>
        <w:noProof/>
        <w:color w:val="5B566E"/>
      </w:rPr>
      <mc:AlternateContent>
        <mc:Choice Requires="wps">
          <w:drawing>
            <wp:anchor distT="0" distB="0" distL="114300" distR="114300" simplePos="0" relativeHeight="251658240" behindDoc="0" locked="0" layoutInCell="1" allowOverlap="1" wp14:anchorId="244E4235" wp14:editId="694EA76B">
              <wp:simplePos x="0" y="0"/>
              <wp:positionH relativeFrom="column">
                <wp:posOffset>3942080</wp:posOffset>
              </wp:positionH>
              <wp:positionV relativeFrom="paragraph">
                <wp:posOffset>-76835</wp:posOffset>
              </wp:positionV>
              <wp:extent cx="2439035" cy="818515"/>
              <wp:effectExtent l="0" t="0" r="0" b="63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9035" cy="818515"/>
                      </a:xfrm>
                      <a:prstGeom prst="rect">
                        <a:avLst/>
                      </a:prstGeom>
                      <a:noFill/>
                      <a:ln>
                        <a:noFill/>
                      </a:ln>
                      <a:effectLst/>
                      <a:extLst>
                        <a:ext uri="{C572A759-6A51-4108-AA02-DFA0A04FC94B}"/>
                      </a:extLst>
                    </wps:spPr>
                    <wps:txbx>
                      <w:txbxContent>
                        <w:p w14:paraId="44268D46" w14:textId="77777777" w:rsidR="00CC210D" w:rsidRPr="001B3361" w:rsidRDefault="00CC210D" w:rsidP="00CC210D">
                          <w:pPr>
                            <w:rPr>
                              <w:rFonts w:ascii="Arial" w:hAnsi="Arial" w:cs="Arial"/>
                              <w:b/>
                              <w:color w:val="5B566E"/>
                              <w:sz w:val="16"/>
                              <w:szCs w:val="16"/>
                              <w:lang w:val="lv-LV"/>
                            </w:rPr>
                          </w:pPr>
                        </w:p>
                        <w:p w14:paraId="16068A94" w14:textId="77777777" w:rsidR="00CC210D" w:rsidRPr="001B3361" w:rsidRDefault="00CC210D" w:rsidP="00CC210D">
                          <w:pPr>
                            <w:jc w:val="right"/>
                            <w:rPr>
                              <w:rFonts w:ascii="Arial" w:hAnsi="Arial" w:cs="Arial"/>
                              <w:b/>
                              <w:color w:val="5B566E"/>
                              <w:sz w:val="16"/>
                              <w:szCs w:val="16"/>
                              <w:lang w:val="lv-LV"/>
                            </w:rPr>
                          </w:pPr>
                        </w:p>
                        <w:p w14:paraId="13FF0292" w14:textId="6EF40904" w:rsidR="00CC210D" w:rsidRPr="001B3361" w:rsidRDefault="00CC210D" w:rsidP="00CC210D">
                          <w:pPr>
                            <w:rPr>
                              <w:rFonts w:ascii="Arial" w:hAnsi="Arial" w:cs="Arial"/>
                              <w:b/>
                              <w:color w:val="5B566E"/>
                              <w:sz w:val="16"/>
                              <w:szCs w:val="16"/>
                              <w:lang w:val="lv-LV"/>
                            </w:rPr>
                          </w:pPr>
                          <w:r w:rsidRPr="001B3361">
                            <w:rPr>
                              <w:rFonts w:ascii="Arial" w:hAnsi="Arial" w:cs="Arial"/>
                              <w:b/>
                              <w:color w:val="5B566E"/>
                              <w:sz w:val="16"/>
                              <w:szCs w:val="16"/>
                              <w:lang w:val="lv-LV"/>
                            </w:rPr>
                            <w:t xml:space="preserve">Akciju </w:t>
                          </w:r>
                          <w:proofErr w:type="spellStart"/>
                          <w:r w:rsidRPr="001B3361">
                            <w:rPr>
                              <w:rFonts w:ascii="Arial" w:hAnsi="Arial" w:cs="Arial"/>
                              <w:b/>
                              <w:color w:val="5B566E"/>
                              <w:sz w:val="16"/>
                              <w:szCs w:val="16"/>
                              <w:lang w:val="lv-LV"/>
                            </w:rPr>
                            <w:t>sabiedrība</w:t>
                          </w:r>
                          <w:proofErr w:type="spellEnd"/>
                          <w:r w:rsidRPr="001B3361">
                            <w:rPr>
                              <w:rFonts w:ascii="Arial" w:hAnsi="Arial" w:cs="Arial"/>
                              <w:b/>
                              <w:color w:val="5B566E"/>
                              <w:sz w:val="16"/>
                              <w:szCs w:val="16"/>
                              <w:lang w:val="lv-LV"/>
                            </w:rPr>
                            <w:t xml:space="preserve"> </w:t>
                          </w:r>
                          <w:r w:rsidR="00B21179">
                            <w:rPr>
                              <w:rFonts w:ascii="Arial" w:hAnsi="Arial" w:cs="Arial"/>
                              <w:b/>
                              <w:color w:val="5B566E"/>
                              <w:sz w:val="16"/>
                              <w:szCs w:val="16"/>
                              <w:lang w:val="lv-LV"/>
                            </w:rPr>
                            <w:t>“</w:t>
                          </w:r>
                          <w:r w:rsidRPr="001B3361">
                            <w:rPr>
                              <w:rFonts w:ascii="Arial" w:hAnsi="Arial" w:cs="Arial"/>
                              <w:b/>
                              <w:color w:val="5B566E"/>
                              <w:sz w:val="16"/>
                              <w:szCs w:val="16"/>
                              <w:lang w:val="lv-LV"/>
                            </w:rPr>
                            <w:t>Conexus Baltic Grid</w:t>
                          </w:r>
                          <w:r w:rsidR="00B21179">
                            <w:rPr>
                              <w:rFonts w:ascii="Arial" w:hAnsi="Arial" w:cs="Arial"/>
                              <w:b/>
                              <w:color w:val="5B566E"/>
                              <w:sz w:val="16"/>
                              <w:szCs w:val="16"/>
                              <w:lang w:val="lv-LV"/>
                            </w:rPr>
                            <w:t>”</w:t>
                          </w:r>
                          <w:r w:rsidRPr="001B3361">
                            <w:rPr>
                              <w:rFonts w:ascii="Arial" w:hAnsi="Arial" w:cs="Arial"/>
                              <w:b/>
                              <w:color w:val="5B566E"/>
                              <w:sz w:val="16"/>
                              <w:szCs w:val="16"/>
                              <w:lang w:val="lv-LV"/>
                            </w:rPr>
                            <w:t xml:space="preserve"> </w:t>
                          </w:r>
                        </w:p>
                        <w:p w14:paraId="3912545C" w14:textId="77777777" w:rsidR="00CC210D" w:rsidRPr="001B3361" w:rsidRDefault="00CC210D" w:rsidP="00CC210D">
                          <w:pPr>
                            <w:rPr>
                              <w:rFonts w:ascii="Arial" w:hAnsi="Arial" w:cs="Arial"/>
                              <w:color w:val="5B566E"/>
                              <w:sz w:val="16"/>
                              <w:szCs w:val="16"/>
                              <w:lang w:val="lv-LV"/>
                            </w:rPr>
                          </w:pPr>
                          <w:proofErr w:type="spellStart"/>
                          <w:r w:rsidRPr="001B3361">
                            <w:rPr>
                              <w:rFonts w:ascii="Arial" w:hAnsi="Arial" w:cs="Arial"/>
                              <w:color w:val="5B566E"/>
                              <w:sz w:val="16"/>
                              <w:szCs w:val="16"/>
                              <w:lang w:val="lv-LV"/>
                            </w:rPr>
                            <w:t>Reģistrācijas</w:t>
                          </w:r>
                          <w:proofErr w:type="spellEnd"/>
                          <w:r w:rsidRPr="001B3361">
                            <w:rPr>
                              <w:rFonts w:ascii="Arial" w:hAnsi="Arial" w:cs="Arial"/>
                              <w:color w:val="5B566E"/>
                              <w:sz w:val="16"/>
                              <w:szCs w:val="16"/>
                              <w:lang w:val="lv-LV"/>
                            </w:rPr>
                            <w:t xml:space="preserve"> Nr. </w:t>
                          </w:r>
                          <w:r w:rsidRPr="00CA1402">
                            <w:rPr>
                              <w:rFonts w:ascii="Arial" w:hAnsi="Arial" w:cs="Arial"/>
                              <w:color w:val="5B566E"/>
                              <w:sz w:val="16"/>
                              <w:szCs w:val="16"/>
                              <w:lang w:val="lv-LV"/>
                            </w:rPr>
                            <w:t>40203041605</w:t>
                          </w:r>
                        </w:p>
                        <w:p w14:paraId="0F3B258A" w14:textId="77777777" w:rsidR="00CC210D" w:rsidRPr="001B3361" w:rsidRDefault="00CC210D" w:rsidP="00CC210D">
                          <w:pPr>
                            <w:rPr>
                              <w:rFonts w:ascii="Arial" w:hAnsi="Arial" w:cs="Arial"/>
                              <w:color w:val="5B566E"/>
                              <w:sz w:val="16"/>
                              <w:szCs w:val="16"/>
                              <w:lang w:val="lv-LV"/>
                            </w:rPr>
                          </w:pPr>
                          <w:r>
                            <w:rPr>
                              <w:rFonts w:ascii="Arial" w:hAnsi="Arial" w:cs="Arial"/>
                              <w:color w:val="5B566E"/>
                              <w:sz w:val="16"/>
                              <w:szCs w:val="16"/>
                              <w:lang w:val="lv-LV"/>
                            </w:rPr>
                            <w:t>Stigu</w:t>
                          </w:r>
                          <w:r w:rsidRPr="001B3361">
                            <w:rPr>
                              <w:rFonts w:ascii="Arial" w:hAnsi="Arial" w:cs="Arial"/>
                              <w:color w:val="5B566E"/>
                              <w:sz w:val="16"/>
                              <w:szCs w:val="16"/>
                              <w:lang w:val="lv-LV"/>
                            </w:rPr>
                            <w:t xml:space="preserve"> iela </w:t>
                          </w:r>
                          <w:r>
                            <w:rPr>
                              <w:rFonts w:ascii="Arial" w:hAnsi="Arial" w:cs="Arial"/>
                              <w:color w:val="5B566E"/>
                              <w:sz w:val="16"/>
                              <w:szCs w:val="16"/>
                              <w:lang w:val="lv-LV"/>
                            </w:rPr>
                            <w:t>14</w:t>
                          </w:r>
                          <w:r w:rsidRPr="001B3361">
                            <w:rPr>
                              <w:rFonts w:ascii="Arial" w:hAnsi="Arial" w:cs="Arial"/>
                              <w:color w:val="5B566E"/>
                              <w:sz w:val="16"/>
                              <w:szCs w:val="16"/>
                              <w:lang w:val="lv-LV"/>
                            </w:rPr>
                            <w:t xml:space="preserve">, </w:t>
                          </w:r>
                          <w:proofErr w:type="spellStart"/>
                          <w:r w:rsidRPr="001B3361">
                            <w:rPr>
                              <w:rFonts w:ascii="Arial" w:hAnsi="Arial" w:cs="Arial"/>
                              <w:color w:val="5B566E"/>
                              <w:sz w:val="16"/>
                              <w:szCs w:val="16"/>
                              <w:lang w:val="lv-LV"/>
                            </w:rPr>
                            <w:t>Rīga</w:t>
                          </w:r>
                          <w:proofErr w:type="spellEnd"/>
                          <w:r w:rsidRPr="001B3361">
                            <w:rPr>
                              <w:rFonts w:ascii="Arial" w:hAnsi="Arial" w:cs="Arial"/>
                              <w:color w:val="5B566E"/>
                              <w:sz w:val="16"/>
                              <w:szCs w:val="16"/>
                              <w:lang w:val="lv-LV"/>
                            </w:rPr>
                            <w:t>, LV-10</w:t>
                          </w:r>
                          <w:r>
                            <w:rPr>
                              <w:rFonts w:ascii="Arial" w:hAnsi="Arial" w:cs="Arial"/>
                              <w:color w:val="5B566E"/>
                              <w:sz w:val="16"/>
                              <w:szCs w:val="16"/>
                              <w:lang w:val="lv-LV"/>
                            </w:rPr>
                            <w:t>2</w:t>
                          </w:r>
                          <w:r w:rsidRPr="001B3361">
                            <w:rPr>
                              <w:rFonts w:ascii="Arial" w:hAnsi="Arial" w:cs="Arial"/>
                              <w:color w:val="5B566E"/>
                              <w:sz w:val="16"/>
                              <w:szCs w:val="16"/>
                              <w:lang w:val="lv-LV"/>
                            </w:rPr>
                            <w:t xml:space="preserve">1 </w:t>
                          </w:r>
                        </w:p>
                        <w:p w14:paraId="6B1BE9FC" w14:textId="77777777" w:rsidR="00CC210D" w:rsidRPr="001B3361" w:rsidRDefault="00CC210D" w:rsidP="00CC210D">
                          <w:pPr>
                            <w:rPr>
                              <w:rFonts w:ascii="Arial" w:hAnsi="Arial" w:cs="Arial"/>
                              <w:color w:val="5B566E"/>
                              <w:sz w:val="16"/>
                              <w:szCs w:val="16"/>
                              <w:lang w:val="lv-LV"/>
                            </w:rPr>
                          </w:pPr>
                          <w:r w:rsidRPr="001B3361">
                            <w:rPr>
                              <w:rFonts w:ascii="Arial" w:hAnsi="Arial" w:cs="Arial"/>
                              <w:color w:val="5B566E"/>
                              <w:sz w:val="16"/>
                              <w:szCs w:val="16"/>
                              <w:lang w:val="lv-LV"/>
                            </w:rPr>
                            <w:t>6708</w:t>
                          </w:r>
                          <w:r>
                            <w:rPr>
                              <w:rFonts w:ascii="Arial" w:hAnsi="Arial" w:cs="Arial"/>
                              <w:color w:val="5B566E"/>
                              <w:sz w:val="16"/>
                              <w:szCs w:val="16"/>
                              <w:lang w:val="lv-LV"/>
                            </w:rPr>
                            <w:t>7900, 67087999, info@conexus.lv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244E4235" id="_x0000_t202" coordsize="21600,21600" o:spt="202" path="m,l,21600r21600,l21600,xe">
              <v:stroke joinstyle="miter"/>
              <v:path gradientshapeok="t" o:connecttype="rect"/>
            </v:shapetype>
            <v:shape id="Text Box 3" o:spid="_x0000_s1026" type="#_x0000_t202" style="position:absolute;left:0;text-align:left;margin-left:310.4pt;margin-top:-6.05pt;width:192.05pt;height:6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" filled="f" stroked="f">
              <v:textbox>
                <w:txbxContent>
                  <w:p w14:paraId="44268D46" w14:textId="77777777" w:rsidR="00CC210D" w:rsidRPr="001B3361" w:rsidRDefault="00CC210D" w:rsidP="00CC210D">
                    <w:pPr>
                      <w:rPr>
                        <w:rFonts w:ascii="Arial" w:hAnsi="Arial" w:cs="Arial"/>
                        <w:b/>
                        <w:color w:val="5B566E"/>
                        <w:sz w:val="16"/>
                        <w:szCs w:val="16"/>
                        <w:lang w:val="lv-LV"/>
                      </w:rPr>
                    </w:pPr>
                  </w:p>
                  <w:p w14:paraId="16068A94" w14:textId="77777777" w:rsidR="00CC210D" w:rsidRPr="001B3361" w:rsidRDefault="00CC210D" w:rsidP="00CC210D">
                    <w:pPr>
                      <w:jc w:val="right"/>
                      <w:rPr>
                        <w:rFonts w:ascii="Arial" w:hAnsi="Arial" w:cs="Arial"/>
                        <w:b/>
                        <w:color w:val="5B566E"/>
                        <w:sz w:val="16"/>
                        <w:szCs w:val="16"/>
                        <w:lang w:val="lv-LV"/>
                      </w:rPr>
                    </w:pPr>
                  </w:p>
                  <w:p w14:paraId="13FF0292" w14:textId="6EF40904" w:rsidR="00CC210D" w:rsidRPr="001B3361" w:rsidRDefault="00CC210D" w:rsidP="00CC210D">
                    <w:pPr>
                      <w:rPr>
                        <w:rFonts w:ascii="Arial" w:hAnsi="Arial" w:cs="Arial"/>
                        <w:b/>
                        <w:color w:val="5B566E"/>
                        <w:sz w:val="16"/>
                        <w:szCs w:val="16"/>
                        <w:lang w:val="lv-LV"/>
                      </w:rPr>
                    </w:pPr>
                    <w:r w:rsidRPr="001B3361">
                      <w:rPr>
                        <w:rFonts w:ascii="Arial" w:hAnsi="Arial" w:cs="Arial"/>
                        <w:b/>
                        <w:color w:val="5B566E"/>
                        <w:sz w:val="16"/>
                        <w:szCs w:val="16"/>
                        <w:lang w:val="lv-LV"/>
                      </w:rPr>
                      <w:t xml:space="preserve">Akciju </w:t>
                    </w:r>
                    <w:proofErr w:type="spellStart"/>
                    <w:r w:rsidRPr="001B3361">
                      <w:rPr>
                        <w:rFonts w:ascii="Arial" w:hAnsi="Arial" w:cs="Arial"/>
                        <w:b/>
                        <w:color w:val="5B566E"/>
                        <w:sz w:val="16"/>
                        <w:szCs w:val="16"/>
                        <w:lang w:val="lv-LV"/>
                      </w:rPr>
                      <w:t>sabiedrība</w:t>
                    </w:r>
                    <w:proofErr w:type="spellEnd"/>
                    <w:r w:rsidRPr="001B3361">
                      <w:rPr>
                        <w:rFonts w:ascii="Arial" w:hAnsi="Arial" w:cs="Arial"/>
                        <w:b/>
                        <w:color w:val="5B566E"/>
                        <w:sz w:val="16"/>
                        <w:szCs w:val="16"/>
                        <w:lang w:val="lv-LV"/>
                      </w:rPr>
                      <w:t xml:space="preserve"> </w:t>
                    </w:r>
                    <w:r w:rsidR="00B21179">
                      <w:rPr>
                        <w:rFonts w:ascii="Arial" w:hAnsi="Arial" w:cs="Arial"/>
                        <w:b/>
                        <w:color w:val="5B566E"/>
                        <w:sz w:val="16"/>
                        <w:szCs w:val="16"/>
                        <w:lang w:val="lv-LV"/>
                      </w:rPr>
                      <w:t>“</w:t>
                    </w:r>
                    <w:r w:rsidRPr="001B3361">
                      <w:rPr>
                        <w:rFonts w:ascii="Arial" w:hAnsi="Arial" w:cs="Arial"/>
                        <w:b/>
                        <w:color w:val="5B566E"/>
                        <w:sz w:val="16"/>
                        <w:szCs w:val="16"/>
                        <w:lang w:val="lv-LV"/>
                      </w:rPr>
                      <w:t>Conexus Baltic Grid</w:t>
                    </w:r>
                    <w:r w:rsidR="00B21179">
                      <w:rPr>
                        <w:rFonts w:ascii="Arial" w:hAnsi="Arial" w:cs="Arial"/>
                        <w:b/>
                        <w:color w:val="5B566E"/>
                        <w:sz w:val="16"/>
                        <w:szCs w:val="16"/>
                        <w:lang w:val="lv-LV"/>
                      </w:rPr>
                      <w:t>”</w:t>
                    </w:r>
                    <w:r w:rsidRPr="001B3361">
                      <w:rPr>
                        <w:rFonts w:ascii="Arial" w:hAnsi="Arial" w:cs="Arial"/>
                        <w:b/>
                        <w:color w:val="5B566E"/>
                        <w:sz w:val="16"/>
                        <w:szCs w:val="16"/>
                        <w:lang w:val="lv-LV"/>
                      </w:rPr>
                      <w:t xml:space="preserve"> </w:t>
                    </w:r>
                  </w:p>
                  <w:p w14:paraId="3912545C" w14:textId="77777777" w:rsidR="00CC210D" w:rsidRPr="001B3361" w:rsidRDefault="00CC210D" w:rsidP="00CC210D">
                    <w:pPr>
                      <w:rPr>
                        <w:rFonts w:ascii="Arial" w:hAnsi="Arial" w:cs="Arial"/>
                        <w:color w:val="5B566E"/>
                        <w:sz w:val="16"/>
                        <w:szCs w:val="16"/>
                        <w:lang w:val="lv-LV"/>
                      </w:rPr>
                    </w:pPr>
                    <w:proofErr w:type="spellStart"/>
                    <w:r w:rsidRPr="001B3361">
                      <w:rPr>
                        <w:rFonts w:ascii="Arial" w:hAnsi="Arial" w:cs="Arial"/>
                        <w:color w:val="5B566E"/>
                        <w:sz w:val="16"/>
                        <w:szCs w:val="16"/>
                        <w:lang w:val="lv-LV"/>
                      </w:rPr>
                      <w:t>Reģistrācijas</w:t>
                    </w:r>
                    <w:proofErr w:type="spellEnd"/>
                    <w:r w:rsidRPr="001B3361">
                      <w:rPr>
                        <w:rFonts w:ascii="Arial" w:hAnsi="Arial" w:cs="Arial"/>
                        <w:color w:val="5B566E"/>
                        <w:sz w:val="16"/>
                        <w:szCs w:val="16"/>
                        <w:lang w:val="lv-LV"/>
                      </w:rPr>
                      <w:t xml:space="preserve"> Nr. </w:t>
                    </w:r>
                    <w:r w:rsidRPr="00CA1402">
                      <w:rPr>
                        <w:rFonts w:ascii="Arial" w:hAnsi="Arial" w:cs="Arial"/>
                        <w:color w:val="5B566E"/>
                        <w:sz w:val="16"/>
                        <w:szCs w:val="16"/>
                        <w:lang w:val="lv-LV"/>
                      </w:rPr>
                      <w:t>40203041605</w:t>
                    </w:r>
                  </w:p>
                  <w:p w14:paraId="0F3B258A" w14:textId="77777777" w:rsidR="00CC210D" w:rsidRPr="001B3361" w:rsidRDefault="00CC210D" w:rsidP="00CC210D">
                    <w:pPr>
                      <w:rPr>
                        <w:rFonts w:ascii="Arial" w:hAnsi="Arial" w:cs="Arial"/>
                        <w:color w:val="5B566E"/>
                        <w:sz w:val="16"/>
                        <w:szCs w:val="16"/>
                        <w:lang w:val="lv-LV"/>
                      </w:rPr>
                    </w:pPr>
                    <w:r>
                      <w:rPr>
                        <w:rFonts w:ascii="Arial" w:hAnsi="Arial" w:cs="Arial"/>
                        <w:color w:val="5B566E"/>
                        <w:sz w:val="16"/>
                        <w:szCs w:val="16"/>
                        <w:lang w:val="lv-LV"/>
                      </w:rPr>
                      <w:t>Stigu</w:t>
                    </w:r>
                    <w:r w:rsidRPr="001B3361">
                      <w:rPr>
                        <w:rFonts w:ascii="Arial" w:hAnsi="Arial" w:cs="Arial"/>
                        <w:color w:val="5B566E"/>
                        <w:sz w:val="16"/>
                        <w:szCs w:val="16"/>
                        <w:lang w:val="lv-LV"/>
                      </w:rPr>
                      <w:t xml:space="preserve"> iela </w:t>
                    </w:r>
                    <w:r>
                      <w:rPr>
                        <w:rFonts w:ascii="Arial" w:hAnsi="Arial" w:cs="Arial"/>
                        <w:color w:val="5B566E"/>
                        <w:sz w:val="16"/>
                        <w:szCs w:val="16"/>
                        <w:lang w:val="lv-LV"/>
                      </w:rPr>
                      <w:t>14</w:t>
                    </w:r>
                    <w:r w:rsidRPr="001B3361">
                      <w:rPr>
                        <w:rFonts w:ascii="Arial" w:hAnsi="Arial" w:cs="Arial"/>
                        <w:color w:val="5B566E"/>
                        <w:sz w:val="16"/>
                        <w:szCs w:val="16"/>
                        <w:lang w:val="lv-LV"/>
                      </w:rPr>
                      <w:t xml:space="preserve">, </w:t>
                    </w:r>
                    <w:proofErr w:type="spellStart"/>
                    <w:r w:rsidRPr="001B3361">
                      <w:rPr>
                        <w:rFonts w:ascii="Arial" w:hAnsi="Arial" w:cs="Arial"/>
                        <w:color w:val="5B566E"/>
                        <w:sz w:val="16"/>
                        <w:szCs w:val="16"/>
                        <w:lang w:val="lv-LV"/>
                      </w:rPr>
                      <w:t>Rīga</w:t>
                    </w:r>
                    <w:proofErr w:type="spellEnd"/>
                    <w:r w:rsidRPr="001B3361">
                      <w:rPr>
                        <w:rFonts w:ascii="Arial" w:hAnsi="Arial" w:cs="Arial"/>
                        <w:color w:val="5B566E"/>
                        <w:sz w:val="16"/>
                        <w:szCs w:val="16"/>
                        <w:lang w:val="lv-LV"/>
                      </w:rPr>
                      <w:t>, LV-10</w:t>
                    </w:r>
                    <w:r>
                      <w:rPr>
                        <w:rFonts w:ascii="Arial" w:hAnsi="Arial" w:cs="Arial"/>
                        <w:color w:val="5B566E"/>
                        <w:sz w:val="16"/>
                        <w:szCs w:val="16"/>
                        <w:lang w:val="lv-LV"/>
                      </w:rPr>
                      <w:t>2</w:t>
                    </w:r>
                    <w:r w:rsidRPr="001B3361">
                      <w:rPr>
                        <w:rFonts w:ascii="Arial" w:hAnsi="Arial" w:cs="Arial"/>
                        <w:color w:val="5B566E"/>
                        <w:sz w:val="16"/>
                        <w:szCs w:val="16"/>
                        <w:lang w:val="lv-LV"/>
                      </w:rPr>
                      <w:t xml:space="preserve">1 </w:t>
                    </w:r>
                  </w:p>
                  <w:p w14:paraId="6B1BE9FC" w14:textId="77777777" w:rsidR="00CC210D" w:rsidRPr="001B3361" w:rsidRDefault="00CC210D" w:rsidP="00CC210D">
                    <w:pPr>
                      <w:rPr>
                        <w:rFonts w:ascii="Arial" w:hAnsi="Arial" w:cs="Arial"/>
                        <w:color w:val="5B566E"/>
                        <w:sz w:val="16"/>
                        <w:szCs w:val="16"/>
                        <w:lang w:val="lv-LV"/>
                      </w:rPr>
                    </w:pPr>
                    <w:r w:rsidRPr="001B3361">
                      <w:rPr>
                        <w:rFonts w:ascii="Arial" w:hAnsi="Arial" w:cs="Arial"/>
                        <w:color w:val="5B566E"/>
                        <w:sz w:val="16"/>
                        <w:szCs w:val="16"/>
                        <w:lang w:val="lv-LV"/>
                      </w:rPr>
                      <w:t>6708</w:t>
                    </w:r>
                    <w:r>
                      <w:rPr>
                        <w:rFonts w:ascii="Arial" w:hAnsi="Arial" w:cs="Arial"/>
                        <w:color w:val="5B566E"/>
                        <w:sz w:val="16"/>
                        <w:szCs w:val="16"/>
                        <w:lang w:val="lv-LV"/>
                      </w:rPr>
                      <w:t>7900, 67087999, info@conexus.lv</w:t>
                    </w:r>
                  </w:p>
                </w:txbxContent>
              </v:textbox>
              <w10:wrap type="square"/>
            </v:shape>
          </w:pict>
        </mc:Fallback>
      </mc:AlternateContent>
    </w:r>
    <w:r>
      <w:rPr>
        <w:b/>
        <w:noProof/>
      </w:rPr>
      <w:drawing>
        <wp:anchor distT="0" distB="0" distL="114300" distR="114300" simplePos="0" relativeHeight="251658242" behindDoc="0" locked="0" layoutInCell="1" allowOverlap="1" wp14:anchorId="0979AE9B" wp14:editId="1C2C3804">
          <wp:simplePos x="0" y="0"/>
          <wp:positionH relativeFrom="column">
            <wp:posOffset>-399570</wp:posOffset>
          </wp:positionH>
          <wp:positionV relativeFrom="paragraph">
            <wp:posOffset>106738</wp:posOffset>
          </wp:positionV>
          <wp:extent cx="2289810" cy="593090"/>
          <wp:effectExtent l="0" t="0" r="0" b="0"/>
          <wp:wrapTight wrapText="bothSides">
            <wp:wrapPolygon edited="0">
              <wp:start x="0" y="0"/>
              <wp:lineTo x="0" y="20351"/>
              <wp:lineTo x="21324" y="20351"/>
              <wp:lineTo x="21324" y="0"/>
              <wp:lineTo x="0" y="0"/>
            </wp:wrapPolygon>
          </wp:wrapTight>
          <wp:docPr id="26" name="Picture 26" descr="Macintosh HD:Users:gitadeniskane:Desktop:VUCA:conexus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itadeniskane:Desktop:VUCA:conexus_logo.png"/>
                  <pic:cNvPicPr>
                    <a:picLocks noChangeAspect="1" noChangeArrowheads="1"/>
                  </pic:cNvPicPr>
                </pic:nvPicPr>
                <pic:blipFill rotWithShape="1">
                  <a:blip r:embed="rId1">
                    <a:extLst>
                      <a:ext uri="{28A0092B-C50C-407E-A947-70E740481C1C}">
                        <a14:useLocalDpi xmlns:a14="http://schemas.microsoft.com/office/drawing/2010/main" val="0"/>
                      </a:ext>
                    </a:extLst>
                  </a:blip>
                  <a:srcRect t="23854" b="18410"/>
                  <a:stretch/>
                </pic:blipFill>
                <pic:spPr bwMode="auto">
                  <a:xfrm>
                    <a:off x="0" y="0"/>
                    <a:ext cx="2289810" cy="59309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ve="http://schemas.openxmlformats.org/markup-compatibility/2006" xmlns:w16sdtdh="http://schemas.microsoft.com/office/word/2020/wordml/sdtdatahash"/>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4D0169"/>
    <w:multiLevelType w:val="hybridMultilevel"/>
    <w:tmpl w:val="AE6E1EA8"/>
    <w:lvl w:ilvl="0" w:tplc="E6AAB726">
      <w:start w:val="1"/>
      <w:numFmt w:val="decimal"/>
      <w:lvlText w:val="%1."/>
      <w:lvlJc w:val="left"/>
      <w:pPr>
        <w:ind w:left="1155" w:hanging="43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21E5D0D"/>
    <w:multiLevelType w:val="hybridMultilevel"/>
    <w:tmpl w:val="45BA3F08"/>
    <w:lvl w:ilvl="0" w:tplc="4D587F40">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343063A0"/>
    <w:multiLevelType w:val="hybridMultilevel"/>
    <w:tmpl w:val="8B62B3D8"/>
    <w:lvl w:ilvl="0" w:tplc="FDF2DB3E">
      <w:start w:val="1"/>
      <w:numFmt w:val="decimal"/>
      <w:lvlText w:val="%1)"/>
      <w:lvlJc w:val="left"/>
      <w:pPr>
        <w:tabs>
          <w:tab w:val="num" w:pos="720"/>
        </w:tabs>
        <w:ind w:left="720" w:hanging="360"/>
      </w:pPr>
      <w:rPr>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37C00CAF"/>
    <w:multiLevelType w:val="hybridMultilevel"/>
    <w:tmpl w:val="6A90800A"/>
    <w:lvl w:ilvl="0" w:tplc="E6AAB726">
      <w:start w:val="1"/>
      <w:numFmt w:val="decimal"/>
      <w:lvlText w:val="%1."/>
      <w:lvlJc w:val="left"/>
      <w:pPr>
        <w:ind w:left="1875" w:hanging="435"/>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413F4234"/>
    <w:multiLevelType w:val="hybridMultilevel"/>
    <w:tmpl w:val="861AFB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9004BE6"/>
    <w:multiLevelType w:val="hybridMultilevel"/>
    <w:tmpl w:val="55C836DE"/>
    <w:lvl w:ilvl="0" w:tplc="E6AAB726">
      <w:start w:val="1"/>
      <w:numFmt w:val="decimal"/>
      <w:lvlText w:val="%1."/>
      <w:lvlJc w:val="left"/>
      <w:pPr>
        <w:ind w:left="435" w:hanging="435"/>
      </w:pPr>
      <w:rPr>
        <w:rFonts w:hint="default"/>
      </w:rPr>
    </w:lvl>
    <w:lvl w:ilvl="1" w:tplc="04260019" w:tentative="1">
      <w:start w:val="1"/>
      <w:numFmt w:val="lowerLetter"/>
      <w:lvlText w:val="%2."/>
      <w:lvlJc w:val="left"/>
      <w:pPr>
        <w:ind w:left="720" w:hanging="360"/>
      </w:pPr>
    </w:lvl>
    <w:lvl w:ilvl="2" w:tplc="0426001B" w:tentative="1">
      <w:start w:val="1"/>
      <w:numFmt w:val="lowerRoman"/>
      <w:lvlText w:val="%3."/>
      <w:lvlJc w:val="right"/>
      <w:pPr>
        <w:ind w:left="1440" w:hanging="180"/>
      </w:pPr>
    </w:lvl>
    <w:lvl w:ilvl="3" w:tplc="0426000F" w:tentative="1">
      <w:start w:val="1"/>
      <w:numFmt w:val="decimal"/>
      <w:lvlText w:val="%4."/>
      <w:lvlJc w:val="left"/>
      <w:pPr>
        <w:ind w:left="2160" w:hanging="360"/>
      </w:pPr>
    </w:lvl>
    <w:lvl w:ilvl="4" w:tplc="04260019" w:tentative="1">
      <w:start w:val="1"/>
      <w:numFmt w:val="lowerLetter"/>
      <w:lvlText w:val="%5."/>
      <w:lvlJc w:val="left"/>
      <w:pPr>
        <w:ind w:left="2880" w:hanging="360"/>
      </w:pPr>
    </w:lvl>
    <w:lvl w:ilvl="5" w:tplc="0426001B" w:tentative="1">
      <w:start w:val="1"/>
      <w:numFmt w:val="lowerRoman"/>
      <w:lvlText w:val="%6."/>
      <w:lvlJc w:val="right"/>
      <w:pPr>
        <w:ind w:left="3600" w:hanging="180"/>
      </w:pPr>
    </w:lvl>
    <w:lvl w:ilvl="6" w:tplc="0426000F" w:tentative="1">
      <w:start w:val="1"/>
      <w:numFmt w:val="decimal"/>
      <w:lvlText w:val="%7."/>
      <w:lvlJc w:val="left"/>
      <w:pPr>
        <w:ind w:left="4320" w:hanging="360"/>
      </w:pPr>
    </w:lvl>
    <w:lvl w:ilvl="7" w:tplc="04260019" w:tentative="1">
      <w:start w:val="1"/>
      <w:numFmt w:val="lowerLetter"/>
      <w:lvlText w:val="%8."/>
      <w:lvlJc w:val="left"/>
      <w:pPr>
        <w:ind w:left="5040" w:hanging="360"/>
      </w:pPr>
    </w:lvl>
    <w:lvl w:ilvl="8" w:tplc="0426001B" w:tentative="1">
      <w:start w:val="1"/>
      <w:numFmt w:val="lowerRoman"/>
      <w:lvlText w:val="%9."/>
      <w:lvlJc w:val="right"/>
      <w:pPr>
        <w:ind w:left="5760" w:hanging="180"/>
      </w:pPr>
    </w:lvl>
  </w:abstractNum>
  <w:abstractNum w:abstractNumId="6" w15:restartNumberingAfterBreak="0">
    <w:nsid w:val="51600FC0"/>
    <w:multiLevelType w:val="hybridMultilevel"/>
    <w:tmpl w:val="70B4431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59914BE2"/>
    <w:multiLevelType w:val="hybridMultilevel"/>
    <w:tmpl w:val="E0FCA2E4"/>
    <w:lvl w:ilvl="0" w:tplc="0426000F">
      <w:start w:val="1"/>
      <w:numFmt w:val="decimal"/>
      <w:lvlText w:val="%1."/>
      <w:lvlJc w:val="left"/>
      <w:pPr>
        <w:tabs>
          <w:tab w:val="num" w:pos="644"/>
        </w:tabs>
        <w:ind w:left="644" w:hanging="360"/>
      </w:pPr>
    </w:lvl>
    <w:lvl w:ilvl="1" w:tplc="04260019" w:tentative="1">
      <w:start w:val="1"/>
      <w:numFmt w:val="lowerLetter"/>
      <w:lvlText w:val="%2."/>
      <w:lvlJc w:val="left"/>
      <w:pPr>
        <w:tabs>
          <w:tab w:val="num" w:pos="1364"/>
        </w:tabs>
        <w:ind w:left="1364" w:hanging="360"/>
      </w:pPr>
    </w:lvl>
    <w:lvl w:ilvl="2" w:tplc="0426001B" w:tentative="1">
      <w:start w:val="1"/>
      <w:numFmt w:val="lowerRoman"/>
      <w:lvlText w:val="%3."/>
      <w:lvlJc w:val="right"/>
      <w:pPr>
        <w:tabs>
          <w:tab w:val="num" w:pos="2084"/>
        </w:tabs>
        <w:ind w:left="2084" w:hanging="180"/>
      </w:pPr>
    </w:lvl>
    <w:lvl w:ilvl="3" w:tplc="0426000F" w:tentative="1">
      <w:start w:val="1"/>
      <w:numFmt w:val="decimal"/>
      <w:lvlText w:val="%4."/>
      <w:lvlJc w:val="left"/>
      <w:pPr>
        <w:tabs>
          <w:tab w:val="num" w:pos="2804"/>
        </w:tabs>
        <w:ind w:left="2804" w:hanging="360"/>
      </w:pPr>
    </w:lvl>
    <w:lvl w:ilvl="4" w:tplc="04260019" w:tentative="1">
      <w:start w:val="1"/>
      <w:numFmt w:val="lowerLetter"/>
      <w:lvlText w:val="%5."/>
      <w:lvlJc w:val="left"/>
      <w:pPr>
        <w:tabs>
          <w:tab w:val="num" w:pos="3524"/>
        </w:tabs>
        <w:ind w:left="3524" w:hanging="360"/>
      </w:pPr>
    </w:lvl>
    <w:lvl w:ilvl="5" w:tplc="0426001B" w:tentative="1">
      <w:start w:val="1"/>
      <w:numFmt w:val="lowerRoman"/>
      <w:lvlText w:val="%6."/>
      <w:lvlJc w:val="right"/>
      <w:pPr>
        <w:tabs>
          <w:tab w:val="num" w:pos="4244"/>
        </w:tabs>
        <w:ind w:left="4244" w:hanging="180"/>
      </w:pPr>
    </w:lvl>
    <w:lvl w:ilvl="6" w:tplc="0426000F" w:tentative="1">
      <w:start w:val="1"/>
      <w:numFmt w:val="decimal"/>
      <w:lvlText w:val="%7."/>
      <w:lvlJc w:val="left"/>
      <w:pPr>
        <w:tabs>
          <w:tab w:val="num" w:pos="4964"/>
        </w:tabs>
        <w:ind w:left="4964" w:hanging="360"/>
      </w:pPr>
    </w:lvl>
    <w:lvl w:ilvl="7" w:tplc="04260019" w:tentative="1">
      <w:start w:val="1"/>
      <w:numFmt w:val="lowerLetter"/>
      <w:lvlText w:val="%8."/>
      <w:lvlJc w:val="left"/>
      <w:pPr>
        <w:tabs>
          <w:tab w:val="num" w:pos="5684"/>
        </w:tabs>
        <w:ind w:left="5684" w:hanging="360"/>
      </w:pPr>
    </w:lvl>
    <w:lvl w:ilvl="8" w:tplc="0426001B" w:tentative="1">
      <w:start w:val="1"/>
      <w:numFmt w:val="lowerRoman"/>
      <w:lvlText w:val="%9."/>
      <w:lvlJc w:val="right"/>
      <w:pPr>
        <w:tabs>
          <w:tab w:val="num" w:pos="6404"/>
        </w:tabs>
        <w:ind w:left="6404" w:hanging="180"/>
      </w:pPr>
    </w:lvl>
  </w:abstractNum>
  <w:abstractNum w:abstractNumId="8" w15:restartNumberingAfterBreak="0">
    <w:nsid w:val="6569404D"/>
    <w:multiLevelType w:val="hybridMultilevel"/>
    <w:tmpl w:val="382079A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6D0C3B3D"/>
    <w:multiLevelType w:val="hybridMultilevel"/>
    <w:tmpl w:val="97FE738E"/>
    <w:lvl w:ilvl="0" w:tplc="8ACE7D30">
      <w:start w:val="1"/>
      <w:numFmt w:val="decimal"/>
      <w:lvlText w:val="%1."/>
      <w:lvlJc w:val="left"/>
      <w:pPr>
        <w:ind w:left="2204" w:hanging="360"/>
      </w:pPr>
      <w:rPr>
        <w:rFonts w:ascii="Times New Roman" w:hAnsi="Times New Roman" w:cs="Times New Roman"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B9D0379"/>
    <w:multiLevelType w:val="hybridMultilevel"/>
    <w:tmpl w:val="B77218F4"/>
    <w:lvl w:ilvl="0" w:tplc="BDC49408">
      <w:start w:val="1"/>
      <w:numFmt w:val="decimal"/>
      <w:lvlText w:val="%1."/>
      <w:lvlJc w:val="left"/>
      <w:pPr>
        <w:ind w:left="1440" w:hanging="360"/>
      </w:pPr>
      <w:rPr>
        <w:lang w:val="en-US"/>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7B9F5F45"/>
    <w:multiLevelType w:val="multilevel"/>
    <w:tmpl w:val="CFA6B432"/>
    <w:lvl w:ilvl="0">
      <w:start w:val="34"/>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10"/>
  </w:num>
  <w:num w:numId="3">
    <w:abstractNumId w:val="6"/>
  </w:num>
  <w:num w:numId="4">
    <w:abstractNumId w:val="7"/>
  </w:num>
  <w:num w:numId="5">
    <w:abstractNumId w:val="4"/>
  </w:num>
  <w:num w:numId="6">
    <w:abstractNumId w:val="9"/>
  </w:num>
  <w:num w:numId="7">
    <w:abstractNumId w:val="11"/>
  </w:num>
  <w:num w:numId="8">
    <w:abstractNumId w:val="1"/>
  </w:num>
  <w:num w:numId="9">
    <w:abstractNumId w:val="8"/>
  </w:num>
  <w:num w:numId="10">
    <w:abstractNumId w:val="0"/>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8F3"/>
    <w:rsid w:val="00000790"/>
    <w:rsid w:val="0001429C"/>
    <w:rsid w:val="000255A7"/>
    <w:rsid w:val="00026FB7"/>
    <w:rsid w:val="00031EDE"/>
    <w:rsid w:val="00034A13"/>
    <w:rsid w:val="000366C1"/>
    <w:rsid w:val="00037745"/>
    <w:rsid w:val="00037FD3"/>
    <w:rsid w:val="00052EDB"/>
    <w:rsid w:val="00061F10"/>
    <w:rsid w:val="00062A35"/>
    <w:rsid w:val="000635E4"/>
    <w:rsid w:val="000648FD"/>
    <w:rsid w:val="00065E35"/>
    <w:rsid w:val="000671F9"/>
    <w:rsid w:val="0006784F"/>
    <w:rsid w:val="00074219"/>
    <w:rsid w:val="00075219"/>
    <w:rsid w:val="000819ED"/>
    <w:rsid w:val="00081AB8"/>
    <w:rsid w:val="00083F5E"/>
    <w:rsid w:val="000918D2"/>
    <w:rsid w:val="000961C0"/>
    <w:rsid w:val="00096E47"/>
    <w:rsid w:val="000B2585"/>
    <w:rsid w:val="000B77B2"/>
    <w:rsid w:val="000D003A"/>
    <w:rsid w:val="000D5C99"/>
    <w:rsid w:val="000E0154"/>
    <w:rsid w:val="000E41C3"/>
    <w:rsid w:val="000E5FA5"/>
    <w:rsid w:val="000F27A4"/>
    <w:rsid w:val="000F7670"/>
    <w:rsid w:val="001027BD"/>
    <w:rsid w:val="0011344F"/>
    <w:rsid w:val="00115ADF"/>
    <w:rsid w:val="001255B6"/>
    <w:rsid w:val="0013181D"/>
    <w:rsid w:val="00143275"/>
    <w:rsid w:val="0014355C"/>
    <w:rsid w:val="00145194"/>
    <w:rsid w:val="00156CA4"/>
    <w:rsid w:val="001630F0"/>
    <w:rsid w:val="00167B61"/>
    <w:rsid w:val="00171C4C"/>
    <w:rsid w:val="00175B08"/>
    <w:rsid w:val="00177D15"/>
    <w:rsid w:val="001812F0"/>
    <w:rsid w:val="001949F5"/>
    <w:rsid w:val="0019623F"/>
    <w:rsid w:val="001A5AB5"/>
    <w:rsid w:val="001A63C3"/>
    <w:rsid w:val="001A6D5B"/>
    <w:rsid w:val="001A76FD"/>
    <w:rsid w:val="001C0307"/>
    <w:rsid w:val="001C3775"/>
    <w:rsid w:val="001C6464"/>
    <w:rsid w:val="001C7052"/>
    <w:rsid w:val="001D033E"/>
    <w:rsid w:val="001E354F"/>
    <w:rsid w:val="001F2789"/>
    <w:rsid w:val="001F4212"/>
    <w:rsid w:val="00201812"/>
    <w:rsid w:val="002067CB"/>
    <w:rsid w:val="00210E63"/>
    <w:rsid w:val="00215752"/>
    <w:rsid w:val="00220171"/>
    <w:rsid w:val="00221CF8"/>
    <w:rsid w:val="002356C7"/>
    <w:rsid w:val="0024589C"/>
    <w:rsid w:val="0024725E"/>
    <w:rsid w:val="002519F0"/>
    <w:rsid w:val="002568C0"/>
    <w:rsid w:val="002628BE"/>
    <w:rsid w:val="0026549D"/>
    <w:rsid w:val="00265863"/>
    <w:rsid w:val="00265C99"/>
    <w:rsid w:val="00274AF2"/>
    <w:rsid w:val="00296891"/>
    <w:rsid w:val="002A351C"/>
    <w:rsid w:val="002A704D"/>
    <w:rsid w:val="002A75ED"/>
    <w:rsid w:val="002A7865"/>
    <w:rsid w:val="002B1465"/>
    <w:rsid w:val="002D2226"/>
    <w:rsid w:val="002D3A4E"/>
    <w:rsid w:val="002D67CD"/>
    <w:rsid w:val="002E5702"/>
    <w:rsid w:val="002E6693"/>
    <w:rsid w:val="002E6D48"/>
    <w:rsid w:val="00302D67"/>
    <w:rsid w:val="00303DEA"/>
    <w:rsid w:val="00305A8C"/>
    <w:rsid w:val="00306EF0"/>
    <w:rsid w:val="00315CAD"/>
    <w:rsid w:val="0032105B"/>
    <w:rsid w:val="0032148E"/>
    <w:rsid w:val="003263E1"/>
    <w:rsid w:val="003277A5"/>
    <w:rsid w:val="00341823"/>
    <w:rsid w:val="00341B0C"/>
    <w:rsid w:val="0034241D"/>
    <w:rsid w:val="00351BE9"/>
    <w:rsid w:val="00353C8F"/>
    <w:rsid w:val="00356229"/>
    <w:rsid w:val="00360615"/>
    <w:rsid w:val="00363287"/>
    <w:rsid w:val="00365632"/>
    <w:rsid w:val="00376EA6"/>
    <w:rsid w:val="003770DB"/>
    <w:rsid w:val="00377C7A"/>
    <w:rsid w:val="003805D1"/>
    <w:rsid w:val="00384F70"/>
    <w:rsid w:val="00385352"/>
    <w:rsid w:val="00391D39"/>
    <w:rsid w:val="00392D80"/>
    <w:rsid w:val="00395995"/>
    <w:rsid w:val="003A0546"/>
    <w:rsid w:val="003B214F"/>
    <w:rsid w:val="003C02E8"/>
    <w:rsid w:val="003D6618"/>
    <w:rsid w:val="003E49F4"/>
    <w:rsid w:val="003F2517"/>
    <w:rsid w:val="003F39DC"/>
    <w:rsid w:val="004112F9"/>
    <w:rsid w:val="0041209A"/>
    <w:rsid w:val="004145EA"/>
    <w:rsid w:val="00421A49"/>
    <w:rsid w:val="00423A92"/>
    <w:rsid w:val="004274F4"/>
    <w:rsid w:val="00431268"/>
    <w:rsid w:val="004337F4"/>
    <w:rsid w:val="00443AFD"/>
    <w:rsid w:val="00443CA0"/>
    <w:rsid w:val="00445944"/>
    <w:rsid w:val="00446243"/>
    <w:rsid w:val="004470C4"/>
    <w:rsid w:val="004502C1"/>
    <w:rsid w:val="004573C2"/>
    <w:rsid w:val="00461680"/>
    <w:rsid w:val="00463869"/>
    <w:rsid w:val="0046619E"/>
    <w:rsid w:val="00471D5C"/>
    <w:rsid w:val="0047369C"/>
    <w:rsid w:val="00474001"/>
    <w:rsid w:val="004849F8"/>
    <w:rsid w:val="004A1201"/>
    <w:rsid w:val="004A5C50"/>
    <w:rsid w:val="004A76EC"/>
    <w:rsid w:val="004B2904"/>
    <w:rsid w:val="004B69C0"/>
    <w:rsid w:val="004B6FE9"/>
    <w:rsid w:val="004C3950"/>
    <w:rsid w:val="004C4EAA"/>
    <w:rsid w:val="004D7907"/>
    <w:rsid w:val="004E01EF"/>
    <w:rsid w:val="004E11A1"/>
    <w:rsid w:val="004F596B"/>
    <w:rsid w:val="004F7DDF"/>
    <w:rsid w:val="00501E65"/>
    <w:rsid w:val="00503D9F"/>
    <w:rsid w:val="00506212"/>
    <w:rsid w:val="00506AFD"/>
    <w:rsid w:val="005213DD"/>
    <w:rsid w:val="0053264F"/>
    <w:rsid w:val="00532D12"/>
    <w:rsid w:val="00533ACC"/>
    <w:rsid w:val="00540CC6"/>
    <w:rsid w:val="00543308"/>
    <w:rsid w:val="0055087E"/>
    <w:rsid w:val="00554AAC"/>
    <w:rsid w:val="005567E2"/>
    <w:rsid w:val="00557CA7"/>
    <w:rsid w:val="00557CC4"/>
    <w:rsid w:val="00565D96"/>
    <w:rsid w:val="0056608E"/>
    <w:rsid w:val="00571D09"/>
    <w:rsid w:val="005742D8"/>
    <w:rsid w:val="00576412"/>
    <w:rsid w:val="0058109A"/>
    <w:rsid w:val="00585AEE"/>
    <w:rsid w:val="00586774"/>
    <w:rsid w:val="005922F1"/>
    <w:rsid w:val="0059265B"/>
    <w:rsid w:val="00594301"/>
    <w:rsid w:val="005A291A"/>
    <w:rsid w:val="005B0995"/>
    <w:rsid w:val="005C3B93"/>
    <w:rsid w:val="005C60CC"/>
    <w:rsid w:val="005C7B1F"/>
    <w:rsid w:val="005D07CE"/>
    <w:rsid w:val="005E423C"/>
    <w:rsid w:val="005E7FF4"/>
    <w:rsid w:val="005F3DCE"/>
    <w:rsid w:val="005F5494"/>
    <w:rsid w:val="005F6984"/>
    <w:rsid w:val="006021F9"/>
    <w:rsid w:val="00603151"/>
    <w:rsid w:val="00604C21"/>
    <w:rsid w:val="00605F36"/>
    <w:rsid w:val="006070BA"/>
    <w:rsid w:val="00610ABD"/>
    <w:rsid w:val="006133D6"/>
    <w:rsid w:val="00613D87"/>
    <w:rsid w:val="0061514A"/>
    <w:rsid w:val="006213C8"/>
    <w:rsid w:val="006224FA"/>
    <w:rsid w:val="00626979"/>
    <w:rsid w:val="00633AB4"/>
    <w:rsid w:val="00633C50"/>
    <w:rsid w:val="00642568"/>
    <w:rsid w:val="00642D37"/>
    <w:rsid w:val="006454EE"/>
    <w:rsid w:val="006539F8"/>
    <w:rsid w:val="00654C65"/>
    <w:rsid w:val="006550CE"/>
    <w:rsid w:val="006635C1"/>
    <w:rsid w:val="00667037"/>
    <w:rsid w:val="0068019B"/>
    <w:rsid w:val="00681C01"/>
    <w:rsid w:val="006829F6"/>
    <w:rsid w:val="0069442B"/>
    <w:rsid w:val="006A0179"/>
    <w:rsid w:val="006A14B9"/>
    <w:rsid w:val="006A3472"/>
    <w:rsid w:val="006B0679"/>
    <w:rsid w:val="006B433B"/>
    <w:rsid w:val="006B56BF"/>
    <w:rsid w:val="006B5710"/>
    <w:rsid w:val="006C7AB7"/>
    <w:rsid w:val="006D08A8"/>
    <w:rsid w:val="006D75F8"/>
    <w:rsid w:val="006E115B"/>
    <w:rsid w:val="006E144C"/>
    <w:rsid w:val="006E4FDC"/>
    <w:rsid w:val="006F274C"/>
    <w:rsid w:val="006F4584"/>
    <w:rsid w:val="00705153"/>
    <w:rsid w:val="00705435"/>
    <w:rsid w:val="00711DDA"/>
    <w:rsid w:val="00714505"/>
    <w:rsid w:val="0072085C"/>
    <w:rsid w:val="007255E2"/>
    <w:rsid w:val="0072669D"/>
    <w:rsid w:val="00727986"/>
    <w:rsid w:val="00727D90"/>
    <w:rsid w:val="0073C100"/>
    <w:rsid w:val="00752A92"/>
    <w:rsid w:val="0075615D"/>
    <w:rsid w:val="0076052C"/>
    <w:rsid w:val="0076112E"/>
    <w:rsid w:val="00770F6C"/>
    <w:rsid w:val="00782C94"/>
    <w:rsid w:val="007851DA"/>
    <w:rsid w:val="00786286"/>
    <w:rsid w:val="00794B66"/>
    <w:rsid w:val="007B1E7D"/>
    <w:rsid w:val="007C1EBE"/>
    <w:rsid w:val="007C6185"/>
    <w:rsid w:val="007C795F"/>
    <w:rsid w:val="007D1BDE"/>
    <w:rsid w:val="007D29AC"/>
    <w:rsid w:val="007D58B4"/>
    <w:rsid w:val="007E380F"/>
    <w:rsid w:val="007F12B5"/>
    <w:rsid w:val="007F2779"/>
    <w:rsid w:val="007F3AB8"/>
    <w:rsid w:val="007F5842"/>
    <w:rsid w:val="007F7F29"/>
    <w:rsid w:val="0080196E"/>
    <w:rsid w:val="0080498E"/>
    <w:rsid w:val="00810A51"/>
    <w:rsid w:val="00810B20"/>
    <w:rsid w:val="00810C50"/>
    <w:rsid w:val="00811AF4"/>
    <w:rsid w:val="00820F82"/>
    <w:rsid w:val="00821A38"/>
    <w:rsid w:val="0082271B"/>
    <w:rsid w:val="008255EB"/>
    <w:rsid w:val="00834657"/>
    <w:rsid w:val="00842801"/>
    <w:rsid w:val="00842D4A"/>
    <w:rsid w:val="008441C9"/>
    <w:rsid w:val="00850CAD"/>
    <w:rsid w:val="0085402A"/>
    <w:rsid w:val="0085640E"/>
    <w:rsid w:val="0086240A"/>
    <w:rsid w:val="008649AD"/>
    <w:rsid w:val="008726BB"/>
    <w:rsid w:val="00880B2D"/>
    <w:rsid w:val="00882959"/>
    <w:rsid w:val="00884136"/>
    <w:rsid w:val="00884FD3"/>
    <w:rsid w:val="00886E04"/>
    <w:rsid w:val="00891E88"/>
    <w:rsid w:val="0089317D"/>
    <w:rsid w:val="008939F2"/>
    <w:rsid w:val="008A3558"/>
    <w:rsid w:val="008A7740"/>
    <w:rsid w:val="008A7C17"/>
    <w:rsid w:val="008B13E5"/>
    <w:rsid w:val="008B307C"/>
    <w:rsid w:val="008B65AB"/>
    <w:rsid w:val="008B7BC6"/>
    <w:rsid w:val="008C013D"/>
    <w:rsid w:val="008C16DF"/>
    <w:rsid w:val="008C7ED5"/>
    <w:rsid w:val="008D0E99"/>
    <w:rsid w:val="008D3B4E"/>
    <w:rsid w:val="008D3FBB"/>
    <w:rsid w:val="008D7C2D"/>
    <w:rsid w:val="008E00FA"/>
    <w:rsid w:val="008E2904"/>
    <w:rsid w:val="008E3DE0"/>
    <w:rsid w:val="008E4998"/>
    <w:rsid w:val="008E6E66"/>
    <w:rsid w:val="00903F00"/>
    <w:rsid w:val="0090684C"/>
    <w:rsid w:val="0090783B"/>
    <w:rsid w:val="00911EAE"/>
    <w:rsid w:val="00925775"/>
    <w:rsid w:val="009314CD"/>
    <w:rsid w:val="009334D7"/>
    <w:rsid w:val="00934811"/>
    <w:rsid w:val="009351E8"/>
    <w:rsid w:val="00942F96"/>
    <w:rsid w:val="00955B6F"/>
    <w:rsid w:val="0096134B"/>
    <w:rsid w:val="009614A5"/>
    <w:rsid w:val="00962216"/>
    <w:rsid w:val="00962CEF"/>
    <w:rsid w:val="00977456"/>
    <w:rsid w:val="0098118A"/>
    <w:rsid w:val="00981881"/>
    <w:rsid w:val="0098427E"/>
    <w:rsid w:val="00985013"/>
    <w:rsid w:val="00985B0F"/>
    <w:rsid w:val="00987C8E"/>
    <w:rsid w:val="00990AAC"/>
    <w:rsid w:val="0099510C"/>
    <w:rsid w:val="00995396"/>
    <w:rsid w:val="00995C40"/>
    <w:rsid w:val="0099630B"/>
    <w:rsid w:val="009A0B14"/>
    <w:rsid w:val="009A374E"/>
    <w:rsid w:val="009B0F5F"/>
    <w:rsid w:val="009B16EE"/>
    <w:rsid w:val="009B2AB3"/>
    <w:rsid w:val="009C0DC0"/>
    <w:rsid w:val="009C4279"/>
    <w:rsid w:val="009E4337"/>
    <w:rsid w:val="009E61D3"/>
    <w:rsid w:val="009E75C6"/>
    <w:rsid w:val="00A01229"/>
    <w:rsid w:val="00A05A77"/>
    <w:rsid w:val="00A060B2"/>
    <w:rsid w:val="00A117E2"/>
    <w:rsid w:val="00A1632A"/>
    <w:rsid w:val="00A174F7"/>
    <w:rsid w:val="00A21529"/>
    <w:rsid w:val="00A268D3"/>
    <w:rsid w:val="00A31C18"/>
    <w:rsid w:val="00A33519"/>
    <w:rsid w:val="00A350C3"/>
    <w:rsid w:val="00A36251"/>
    <w:rsid w:val="00A36BAF"/>
    <w:rsid w:val="00A4753A"/>
    <w:rsid w:val="00A5035F"/>
    <w:rsid w:val="00A5063C"/>
    <w:rsid w:val="00A56AF9"/>
    <w:rsid w:val="00A63737"/>
    <w:rsid w:val="00A646E8"/>
    <w:rsid w:val="00A6540C"/>
    <w:rsid w:val="00A67D63"/>
    <w:rsid w:val="00A75CE3"/>
    <w:rsid w:val="00A806D1"/>
    <w:rsid w:val="00A8150F"/>
    <w:rsid w:val="00A8186E"/>
    <w:rsid w:val="00A83652"/>
    <w:rsid w:val="00A94F2E"/>
    <w:rsid w:val="00A96284"/>
    <w:rsid w:val="00AA2C67"/>
    <w:rsid w:val="00AA2EB6"/>
    <w:rsid w:val="00AA4C30"/>
    <w:rsid w:val="00AA7321"/>
    <w:rsid w:val="00AA7F7B"/>
    <w:rsid w:val="00AB2D58"/>
    <w:rsid w:val="00AB39BA"/>
    <w:rsid w:val="00AB42B3"/>
    <w:rsid w:val="00AB545F"/>
    <w:rsid w:val="00AC1CD6"/>
    <w:rsid w:val="00AC1E66"/>
    <w:rsid w:val="00AC5ED5"/>
    <w:rsid w:val="00AD482A"/>
    <w:rsid w:val="00AD6CE2"/>
    <w:rsid w:val="00AD73C2"/>
    <w:rsid w:val="00AE1796"/>
    <w:rsid w:val="00AE3A28"/>
    <w:rsid w:val="00AE4196"/>
    <w:rsid w:val="00AE7185"/>
    <w:rsid w:val="00AE7C1A"/>
    <w:rsid w:val="00AE7EEA"/>
    <w:rsid w:val="00AF18C4"/>
    <w:rsid w:val="00AF1953"/>
    <w:rsid w:val="00AF20BB"/>
    <w:rsid w:val="00B1129F"/>
    <w:rsid w:val="00B1378B"/>
    <w:rsid w:val="00B14590"/>
    <w:rsid w:val="00B21179"/>
    <w:rsid w:val="00B3310D"/>
    <w:rsid w:val="00B33C09"/>
    <w:rsid w:val="00B34452"/>
    <w:rsid w:val="00B72996"/>
    <w:rsid w:val="00B76FC8"/>
    <w:rsid w:val="00B812CB"/>
    <w:rsid w:val="00B81BF1"/>
    <w:rsid w:val="00B84526"/>
    <w:rsid w:val="00B85FE9"/>
    <w:rsid w:val="00B92921"/>
    <w:rsid w:val="00B97F5D"/>
    <w:rsid w:val="00BA00C7"/>
    <w:rsid w:val="00BB0A48"/>
    <w:rsid w:val="00BC0E39"/>
    <w:rsid w:val="00BC7410"/>
    <w:rsid w:val="00BC773D"/>
    <w:rsid w:val="00BD1177"/>
    <w:rsid w:val="00BD2243"/>
    <w:rsid w:val="00BD2316"/>
    <w:rsid w:val="00BD31FC"/>
    <w:rsid w:val="00BE225B"/>
    <w:rsid w:val="00BE43F1"/>
    <w:rsid w:val="00BE5014"/>
    <w:rsid w:val="00BE6FF4"/>
    <w:rsid w:val="00C02E0A"/>
    <w:rsid w:val="00C10428"/>
    <w:rsid w:val="00C12967"/>
    <w:rsid w:val="00C1393C"/>
    <w:rsid w:val="00C17139"/>
    <w:rsid w:val="00C25D30"/>
    <w:rsid w:val="00C2626D"/>
    <w:rsid w:val="00C32414"/>
    <w:rsid w:val="00C35735"/>
    <w:rsid w:val="00C43EBB"/>
    <w:rsid w:val="00C52D12"/>
    <w:rsid w:val="00C543FF"/>
    <w:rsid w:val="00C66AE7"/>
    <w:rsid w:val="00C71B56"/>
    <w:rsid w:val="00C7208C"/>
    <w:rsid w:val="00C728CD"/>
    <w:rsid w:val="00C72CBE"/>
    <w:rsid w:val="00C751E3"/>
    <w:rsid w:val="00C75510"/>
    <w:rsid w:val="00C90E75"/>
    <w:rsid w:val="00C9108E"/>
    <w:rsid w:val="00C96BDE"/>
    <w:rsid w:val="00C9EDBD"/>
    <w:rsid w:val="00CA5878"/>
    <w:rsid w:val="00CA7062"/>
    <w:rsid w:val="00CA70EB"/>
    <w:rsid w:val="00CB6E4D"/>
    <w:rsid w:val="00CC210D"/>
    <w:rsid w:val="00CC2A57"/>
    <w:rsid w:val="00CE0B59"/>
    <w:rsid w:val="00D00768"/>
    <w:rsid w:val="00D01F6E"/>
    <w:rsid w:val="00D06785"/>
    <w:rsid w:val="00D07F17"/>
    <w:rsid w:val="00D146A0"/>
    <w:rsid w:val="00D22D24"/>
    <w:rsid w:val="00D3485C"/>
    <w:rsid w:val="00D35532"/>
    <w:rsid w:val="00D40263"/>
    <w:rsid w:val="00D426CB"/>
    <w:rsid w:val="00D44561"/>
    <w:rsid w:val="00D46847"/>
    <w:rsid w:val="00D518F3"/>
    <w:rsid w:val="00D65B15"/>
    <w:rsid w:val="00D71D8B"/>
    <w:rsid w:val="00D860F6"/>
    <w:rsid w:val="00DA347D"/>
    <w:rsid w:val="00DB2E6C"/>
    <w:rsid w:val="00DC272A"/>
    <w:rsid w:val="00DD332F"/>
    <w:rsid w:val="00DD57B1"/>
    <w:rsid w:val="00DE17C0"/>
    <w:rsid w:val="00DE2FCA"/>
    <w:rsid w:val="00DE38C1"/>
    <w:rsid w:val="00DF03D7"/>
    <w:rsid w:val="00DF104C"/>
    <w:rsid w:val="00E135C4"/>
    <w:rsid w:val="00E20C85"/>
    <w:rsid w:val="00E21841"/>
    <w:rsid w:val="00E2369B"/>
    <w:rsid w:val="00E24EB3"/>
    <w:rsid w:val="00E26B80"/>
    <w:rsid w:val="00E3047B"/>
    <w:rsid w:val="00E32064"/>
    <w:rsid w:val="00E32644"/>
    <w:rsid w:val="00E37DCE"/>
    <w:rsid w:val="00E417CB"/>
    <w:rsid w:val="00E465A0"/>
    <w:rsid w:val="00E501EA"/>
    <w:rsid w:val="00E61AE9"/>
    <w:rsid w:val="00E621FC"/>
    <w:rsid w:val="00E6276B"/>
    <w:rsid w:val="00E6C2B2"/>
    <w:rsid w:val="00E727B2"/>
    <w:rsid w:val="00E74132"/>
    <w:rsid w:val="00E82E2E"/>
    <w:rsid w:val="00E84CAF"/>
    <w:rsid w:val="00E8562E"/>
    <w:rsid w:val="00E928A8"/>
    <w:rsid w:val="00E93346"/>
    <w:rsid w:val="00E93FED"/>
    <w:rsid w:val="00EA1227"/>
    <w:rsid w:val="00EA1BD4"/>
    <w:rsid w:val="00EA3A61"/>
    <w:rsid w:val="00EA4208"/>
    <w:rsid w:val="00EB4C97"/>
    <w:rsid w:val="00EC43ED"/>
    <w:rsid w:val="00EC4720"/>
    <w:rsid w:val="00EC534B"/>
    <w:rsid w:val="00EC6703"/>
    <w:rsid w:val="00ED0202"/>
    <w:rsid w:val="00ED0844"/>
    <w:rsid w:val="00ED2EA8"/>
    <w:rsid w:val="00ED619B"/>
    <w:rsid w:val="00EE3531"/>
    <w:rsid w:val="00EE5262"/>
    <w:rsid w:val="00EE6859"/>
    <w:rsid w:val="00EF49AB"/>
    <w:rsid w:val="00F02D8B"/>
    <w:rsid w:val="00F052AC"/>
    <w:rsid w:val="00F1368E"/>
    <w:rsid w:val="00F24962"/>
    <w:rsid w:val="00F27072"/>
    <w:rsid w:val="00F37524"/>
    <w:rsid w:val="00F45185"/>
    <w:rsid w:val="00F57AD3"/>
    <w:rsid w:val="00F60723"/>
    <w:rsid w:val="00F666A0"/>
    <w:rsid w:val="00F6705F"/>
    <w:rsid w:val="00F6728A"/>
    <w:rsid w:val="00F70DF0"/>
    <w:rsid w:val="00F72F05"/>
    <w:rsid w:val="00F75015"/>
    <w:rsid w:val="00F86A12"/>
    <w:rsid w:val="00F9116A"/>
    <w:rsid w:val="00F94959"/>
    <w:rsid w:val="00F95028"/>
    <w:rsid w:val="00FA1825"/>
    <w:rsid w:val="00FA30F4"/>
    <w:rsid w:val="00FA614B"/>
    <w:rsid w:val="00FA749E"/>
    <w:rsid w:val="00FA7F07"/>
    <w:rsid w:val="00FB0F07"/>
    <w:rsid w:val="00FB7EF9"/>
    <w:rsid w:val="00FC3BAB"/>
    <w:rsid w:val="00FD02C5"/>
    <w:rsid w:val="00FD1715"/>
    <w:rsid w:val="00FD29C9"/>
    <w:rsid w:val="00FD3FB8"/>
    <w:rsid w:val="00FD45F2"/>
    <w:rsid w:val="00FE2663"/>
    <w:rsid w:val="00FE27BC"/>
    <w:rsid w:val="00FF02DA"/>
    <w:rsid w:val="00FF1CC5"/>
    <w:rsid w:val="00FF5BDA"/>
    <w:rsid w:val="00FF62A8"/>
    <w:rsid w:val="01332ADA"/>
    <w:rsid w:val="0164B6FA"/>
    <w:rsid w:val="0166BBCC"/>
    <w:rsid w:val="017F6D87"/>
    <w:rsid w:val="01CB6A4A"/>
    <w:rsid w:val="023F628C"/>
    <w:rsid w:val="026126F5"/>
    <w:rsid w:val="02A8EECF"/>
    <w:rsid w:val="02E02AC1"/>
    <w:rsid w:val="039B1E01"/>
    <w:rsid w:val="04F100A7"/>
    <w:rsid w:val="0577034E"/>
    <w:rsid w:val="05B86C2A"/>
    <w:rsid w:val="05F82B72"/>
    <w:rsid w:val="068162EB"/>
    <w:rsid w:val="06F83461"/>
    <w:rsid w:val="070C46B7"/>
    <w:rsid w:val="07DC009D"/>
    <w:rsid w:val="080FE3F3"/>
    <w:rsid w:val="086E8F24"/>
    <w:rsid w:val="0886298F"/>
    <w:rsid w:val="088D8F28"/>
    <w:rsid w:val="09936712"/>
    <w:rsid w:val="0A91C89B"/>
    <w:rsid w:val="0B64C4CC"/>
    <w:rsid w:val="0BAA9C65"/>
    <w:rsid w:val="0BF425AA"/>
    <w:rsid w:val="0C9D0054"/>
    <w:rsid w:val="0D618C30"/>
    <w:rsid w:val="0D8FF60B"/>
    <w:rsid w:val="0DC8A8AE"/>
    <w:rsid w:val="0E3B363A"/>
    <w:rsid w:val="0E6804BD"/>
    <w:rsid w:val="0EC4DA5F"/>
    <w:rsid w:val="0F2409CF"/>
    <w:rsid w:val="0F7D69E4"/>
    <w:rsid w:val="1106F2D2"/>
    <w:rsid w:val="12339F81"/>
    <w:rsid w:val="1236C022"/>
    <w:rsid w:val="123C5DF9"/>
    <w:rsid w:val="12515776"/>
    <w:rsid w:val="12593969"/>
    <w:rsid w:val="126DCE9F"/>
    <w:rsid w:val="12DB5BC1"/>
    <w:rsid w:val="133B5142"/>
    <w:rsid w:val="13567C7E"/>
    <w:rsid w:val="13735173"/>
    <w:rsid w:val="13E1FDF3"/>
    <w:rsid w:val="140033AE"/>
    <w:rsid w:val="14650545"/>
    <w:rsid w:val="148BDC61"/>
    <w:rsid w:val="14C8DC47"/>
    <w:rsid w:val="14EE66FB"/>
    <w:rsid w:val="154A3B23"/>
    <w:rsid w:val="15598593"/>
    <w:rsid w:val="155FCE26"/>
    <w:rsid w:val="1610A27E"/>
    <w:rsid w:val="164BB911"/>
    <w:rsid w:val="16BA613E"/>
    <w:rsid w:val="17426702"/>
    <w:rsid w:val="190CF245"/>
    <w:rsid w:val="19432DAD"/>
    <w:rsid w:val="1990CC39"/>
    <w:rsid w:val="19C1B0E0"/>
    <w:rsid w:val="1A50E568"/>
    <w:rsid w:val="1B1BC6AD"/>
    <w:rsid w:val="1B56E95D"/>
    <w:rsid w:val="1B6B4CE9"/>
    <w:rsid w:val="1C0093A8"/>
    <w:rsid w:val="1C12C495"/>
    <w:rsid w:val="1C39154F"/>
    <w:rsid w:val="1C58FDEE"/>
    <w:rsid w:val="1D133308"/>
    <w:rsid w:val="1D155BC0"/>
    <w:rsid w:val="1E9D36C7"/>
    <w:rsid w:val="1EACA6BB"/>
    <w:rsid w:val="1F066248"/>
    <w:rsid w:val="1F145459"/>
    <w:rsid w:val="1F2CC24D"/>
    <w:rsid w:val="1F451CF7"/>
    <w:rsid w:val="1F49D7BC"/>
    <w:rsid w:val="1FA0A34E"/>
    <w:rsid w:val="1FCE8F08"/>
    <w:rsid w:val="204ED48B"/>
    <w:rsid w:val="2097BCF1"/>
    <w:rsid w:val="20AE644C"/>
    <w:rsid w:val="20BE9EE8"/>
    <w:rsid w:val="2296C9B5"/>
    <w:rsid w:val="22D5F2B6"/>
    <w:rsid w:val="2382AC0F"/>
    <w:rsid w:val="240F93CA"/>
    <w:rsid w:val="241C9B3C"/>
    <w:rsid w:val="243026D0"/>
    <w:rsid w:val="25357612"/>
    <w:rsid w:val="260F2770"/>
    <w:rsid w:val="2643929E"/>
    <w:rsid w:val="26AC2E90"/>
    <w:rsid w:val="27619782"/>
    <w:rsid w:val="27E72F7B"/>
    <w:rsid w:val="28154FA1"/>
    <w:rsid w:val="2821D535"/>
    <w:rsid w:val="286621CF"/>
    <w:rsid w:val="298A5CFC"/>
    <w:rsid w:val="29B7C8EE"/>
    <w:rsid w:val="29BDA596"/>
    <w:rsid w:val="29EEBBCD"/>
    <w:rsid w:val="29F546DE"/>
    <w:rsid w:val="2A825C9E"/>
    <w:rsid w:val="2B192F35"/>
    <w:rsid w:val="2B629172"/>
    <w:rsid w:val="2B6A34E5"/>
    <w:rsid w:val="2B7F9FB3"/>
    <w:rsid w:val="2BA0898E"/>
    <w:rsid w:val="2BB075A2"/>
    <w:rsid w:val="2BD8FD8F"/>
    <w:rsid w:val="2C0796FE"/>
    <w:rsid w:val="2CFAD9FE"/>
    <w:rsid w:val="2D364135"/>
    <w:rsid w:val="2D46E497"/>
    <w:rsid w:val="2DC82DE6"/>
    <w:rsid w:val="2DEDF7FA"/>
    <w:rsid w:val="2E1E58F7"/>
    <w:rsid w:val="2E66910C"/>
    <w:rsid w:val="2E67D106"/>
    <w:rsid w:val="2F0ED37D"/>
    <w:rsid w:val="2F76069A"/>
    <w:rsid w:val="2F8607A1"/>
    <w:rsid w:val="30045CA1"/>
    <w:rsid w:val="302098DE"/>
    <w:rsid w:val="305319D4"/>
    <w:rsid w:val="305CCBE3"/>
    <w:rsid w:val="31518E4F"/>
    <w:rsid w:val="31C8B77B"/>
    <w:rsid w:val="320175E7"/>
    <w:rsid w:val="3271B1BB"/>
    <w:rsid w:val="32B78D1E"/>
    <w:rsid w:val="3415D8FE"/>
    <w:rsid w:val="34BA7C6C"/>
    <w:rsid w:val="34F830DB"/>
    <w:rsid w:val="350D599C"/>
    <w:rsid w:val="35C35F74"/>
    <w:rsid w:val="3603C3F4"/>
    <w:rsid w:val="361BBFF4"/>
    <w:rsid w:val="3658F939"/>
    <w:rsid w:val="368E456C"/>
    <w:rsid w:val="36A51CDB"/>
    <w:rsid w:val="3718C511"/>
    <w:rsid w:val="37B64723"/>
    <w:rsid w:val="37CB2EC3"/>
    <w:rsid w:val="3844FA5E"/>
    <w:rsid w:val="387C2DF8"/>
    <w:rsid w:val="39790816"/>
    <w:rsid w:val="3AD83A4A"/>
    <w:rsid w:val="3B67C7B1"/>
    <w:rsid w:val="3BDA5EAF"/>
    <w:rsid w:val="3CE2C841"/>
    <w:rsid w:val="3D191924"/>
    <w:rsid w:val="3D324086"/>
    <w:rsid w:val="3DFE3B55"/>
    <w:rsid w:val="3ECE10E7"/>
    <w:rsid w:val="3F8EAF3A"/>
    <w:rsid w:val="3F911407"/>
    <w:rsid w:val="3FA418F1"/>
    <w:rsid w:val="402F7E5A"/>
    <w:rsid w:val="4033804A"/>
    <w:rsid w:val="4049A08A"/>
    <w:rsid w:val="40B3B07C"/>
    <w:rsid w:val="40DD5EB8"/>
    <w:rsid w:val="412A7F9B"/>
    <w:rsid w:val="414A2BF3"/>
    <w:rsid w:val="415D12D4"/>
    <w:rsid w:val="41CBDB7E"/>
    <w:rsid w:val="4250E464"/>
    <w:rsid w:val="4260EB90"/>
    <w:rsid w:val="42B82EC6"/>
    <w:rsid w:val="42D2B446"/>
    <w:rsid w:val="42E34C2F"/>
    <w:rsid w:val="42FAF64B"/>
    <w:rsid w:val="433CB28F"/>
    <w:rsid w:val="43DFDF21"/>
    <w:rsid w:val="43F0377F"/>
    <w:rsid w:val="4464189B"/>
    <w:rsid w:val="447F1C90"/>
    <w:rsid w:val="4488BA53"/>
    <w:rsid w:val="4546BAEE"/>
    <w:rsid w:val="45B0CFDB"/>
    <w:rsid w:val="45B12BE8"/>
    <w:rsid w:val="45F0E4C7"/>
    <w:rsid w:val="465A081A"/>
    <w:rsid w:val="468BA620"/>
    <w:rsid w:val="47903FE8"/>
    <w:rsid w:val="47C93F48"/>
    <w:rsid w:val="48536F43"/>
    <w:rsid w:val="488D8412"/>
    <w:rsid w:val="48A2EDC9"/>
    <w:rsid w:val="48F71BB5"/>
    <w:rsid w:val="4945419F"/>
    <w:rsid w:val="494EE11B"/>
    <w:rsid w:val="49741530"/>
    <w:rsid w:val="49B439F3"/>
    <w:rsid w:val="4A222449"/>
    <w:rsid w:val="4A86A543"/>
    <w:rsid w:val="4B5BE38F"/>
    <w:rsid w:val="4B6FD9F1"/>
    <w:rsid w:val="4BF668E2"/>
    <w:rsid w:val="4C35B223"/>
    <w:rsid w:val="4C7AEBDC"/>
    <w:rsid w:val="4D1F956C"/>
    <w:rsid w:val="4D5BF353"/>
    <w:rsid w:val="4D69910D"/>
    <w:rsid w:val="4DAF76AE"/>
    <w:rsid w:val="4ECDF7E9"/>
    <w:rsid w:val="4FAEB8C8"/>
    <w:rsid w:val="500FBC5F"/>
    <w:rsid w:val="502D22B3"/>
    <w:rsid w:val="50C328E0"/>
    <w:rsid w:val="50CEBA87"/>
    <w:rsid w:val="50F38282"/>
    <w:rsid w:val="5170FAE6"/>
    <w:rsid w:val="51979925"/>
    <w:rsid w:val="52068330"/>
    <w:rsid w:val="52303598"/>
    <w:rsid w:val="52762A86"/>
    <w:rsid w:val="527786DC"/>
    <w:rsid w:val="529BA024"/>
    <w:rsid w:val="52F9EE0B"/>
    <w:rsid w:val="52FBC6C2"/>
    <w:rsid w:val="53A08CF0"/>
    <w:rsid w:val="53A5BE55"/>
    <w:rsid w:val="53EF1A12"/>
    <w:rsid w:val="540FA42E"/>
    <w:rsid w:val="5426358E"/>
    <w:rsid w:val="542B2344"/>
    <w:rsid w:val="54745E43"/>
    <w:rsid w:val="5474ADBA"/>
    <w:rsid w:val="5495405A"/>
    <w:rsid w:val="5552DEBD"/>
    <w:rsid w:val="5580673E"/>
    <w:rsid w:val="55BFD2A5"/>
    <w:rsid w:val="561CFE2D"/>
    <w:rsid w:val="561DFA4C"/>
    <w:rsid w:val="573BD2D3"/>
    <w:rsid w:val="587F251C"/>
    <w:rsid w:val="58C0A40F"/>
    <w:rsid w:val="58E2A1C5"/>
    <w:rsid w:val="58FE9467"/>
    <w:rsid w:val="5946C8AF"/>
    <w:rsid w:val="59AB4DAF"/>
    <w:rsid w:val="5AB0D34C"/>
    <w:rsid w:val="5AE7ACE9"/>
    <w:rsid w:val="5B225A4C"/>
    <w:rsid w:val="5B9D8BFC"/>
    <w:rsid w:val="5C12D281"/>
    <w:rsid w:val="5C7E6971"/>
    <w:rsid w:val="5CA83FC5"/>
    <w:rsid w:val="5CAE3778"/>
    <w:rsid w:val="5D7B8460"/>
    <w:rsid w:val="5D941532"/>
    <w:rsid w:val="5DD3DD47"/>
    <w:rsid w:val="5E0E8780"/>
    <w:rsid w:val="5E0EE7B5"/>
    <w:rsid w:val="5E23554D"/>
    <w:rsid w:val="5E26D624"/>
    <w:rsid w:val="5E273B31"/>
    <w:rsid w:val="5EA6A9C3"/>
    <w:rsid w:val="5EECE6E2"/>
    <w:rsid w:val="5F90743B"/>
    <w:rsid w:val="6087DD1B"/>
    <w:rsid w:val="60B89F85"/>
    <w:rsid w:val="614DA2E1"/>
    <w:rsid w:val="62C819B0"/>
    <w:rsid w:val="62DA4E0E"/>
    <w:rsid w:val="62E9D374"/>
    <w:rsid w:val="62EDAAF5"/>
    <w:rsid w:val="62FD9B07"/>
    <w:rsid w:val="633A8E6F"/>
    <w:rsid w:val="6430ED33"/>
    <w:rsid w:val="6471A927"/>
    <w:rsid w:val="647A2490"/>
    <w:rsid w:val="654A9E0A"/>
    <w:rsid w:val="662094FF"/>
    <w:rsid w:val="66288627"/>
    <w:rsid w:val="67015AC4"/>
    <w:rsid w:val="673EEC06"/>
    <w:rsid w:val="675CE062"/>
    <w:rsid w:val="67CE92B0"/>
    <w:rsid w:val="6804E417"/>
    <w:rsid w:val="6893C928"/>
    <w:rsid w:val="68CBC14C"/>
    <w:rsid w:val="68D81C68"/>
    <w:rsid w:val="68F8BF28"/>
    <w:rsid w:val="69037D5A"/>
    <w:rsid w:val="696028FF"/>
    <w:rsid w:val="6A1AA224"/>
    <w:rsid w:val="6A1E45FB"/>
    <w:rsid w:val="6AC4C359"/>
    <w:rsid w:val="6B9D6544"/>
    <w:rsid w:val="6C2BB65B"/>
    <w:rsid w:val="6CAB5F98"/>
    <w:rsid w:val="6D0DDD66"/>
    <w:rsid w:val="6D5F1B82"/>
    <w:rsid w:val="6D98FE25"/>
    <w:rsid w:val="6E15CC7B"/>
    <w:rsid w:val="6E3D5EFB"/>
    <w:rsid w:val="6E7D00B8"/>
    <w:rsid w:val="6EE9B079"/>
    <w:rsid w:val="6F3153C4"/>
    <w:rsid w:val="6F7B8550"/>
    <w:rsid w:val="6FC6BF63"/>
    <w:rsid w:val="705E944B"/>
    <w:rsid w:val="70B59AF2"/>
    <w:rsid w:val="71AA40D4"/>
    <w:rsid w:val="72EE279F"/>
    <w:rsid w:val="733789DC"/>
    <w:rsid w:val="73433608"/>
    <w:rsid w:val="74DA72E2"/>
    <w:rsid w:val="750FBCD5"/>
    <w:rsid w:val="7726B80E"/>
    <w:rsid w:val="773FE06B"/>
    <w:rsid w:val="778A1E04"/>
    <w:rsid w:val="77960D80"/>
    <w:rsid w:val="77AE8CEB"/>
    <w:rsid w:val="783DB060"/>
    <w:rsid w:val="78565250"/>
    <w:rsid w:val="78586B59"/>
    <w:rsid w:val="785F5942"/>
    <w:rsid w:val="787BF780"/>
    <w:rsid w:val="7881E194"/>
    <w:rsid w:val="793C91A4"/>
    <w:rsid w:val="797D1303"/>
    <w:rsid w:val="79902F2C"/>
    <w:rsid w:val="79AEB8E6"/>
    <w:rsid w:val="7A552825"/>
    <w:rsid w:val="7A9F95D7"/>
    <w:rsid w:val="7AD86205"/>
    <w:rsid w:val="7B18D722"/>
    <w:rsid w:val="7B4A8947"/>
    <w:rsid w:val="7B5A90A9"/>
    <w:rsid w:val="7BA834E6"/>
    <w:rsid w:val="7BEEA6E5"/>
    <w:rsid w:val="7C91F2EB"/>
    <w:rsid w:val="7D6A4D21"/>
    <w:rsid w:val="7DC9139A"/>
    <w:rsid w:val="7E093BDD"/>
    <w:rsid w:val="7E41BD84"/>
    <w:rsid w:val="7E50662F"/>
    <w:rsid w:val="7E51AAC1"/>
    <w:rsid w:val="7E7A64BC"/>
    <w:rsid w:val="7F774808"/>
    <w:rsid w:val="7FB49F4E"/>
    <w:rsid w:val="7FDA75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1386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8F3"/>
    <w:pPr>
      <w:spacing w:after="0" w:line="240" w:lineRule="auto"/>
    </w:pPr>
    <w:rPr>
      <w:rFonts w:eastAsiaTheme="minorEastAsia"/>
      <w:sz w:val="24"/>
      <w:szCs w:val="24"/>
    </w:rPr>
  </w:style>
  <w:style w:type="paragraph" w:styleId="Heading1">
    <w:name w:val="heading 1"/>
    <w:basedOn w:val="Normal"/>
    <w:next w:val="Normal"/>
    <w:link w:val="Heading1Char"/>
    <w:qFormat/>
    <w:rsid w:val="007D1BDE"/>
    <w:pPr>
      <w:keepNext/>
      <w:jc w:val="center"/>
      <w:outlineLvl w:val="0"/>
    </w:pPr>
    <w:rPr>
      <w:rFonts w:ascii="Times New Roman" w:eastAsia="Times New Roman" w:hAnsi="Times New Roman" w:cs="Times New Roman"/>
      <w:b/>
      <w:szCs w:val="20"/>
      <w:lang w:val="lv-LV"/>
    </w:rPr>
  </w:style>
  <w:style w:type="paragraph" w:styleId="Heading2">
    <w:name w:val="heading 2"/>
    <w:basedOn w:val="Normal"/>
    <w:next w:val="Normal"/>
    <w:link w:val="Heading2Char"/>
    <w:qFormat/>
    <w:rsid w:val="007D1BDE"/>
    <w:pPr>
      <w:keepNext/>
      <w:outlineLvl w:val="1"/>
    </w:pPr>
    <w:rPr>
      <w:rFonts w:ascii="Times New Roman" w:eastAsia="Times New Roman" w:hAnsi="Times New Roman" w:cs="Times New Roman"/>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8F3"/>
    <w:pPr>
      <w:tabs>
        <w:tab w:val="center" w:pos="4320"/>
        <w:tab w:val="right" w:pos="8640"/>
      </w:tabs>
    </w:pPr>
  </w:style>
  <w:style w:type="character" w:customStyle="1" w:styleId="HeaderChar">
    <w:name w:val="Header Char"/>
    <w:basedOn w:val="DefaultParagraphFont"/>
    <w:link w:val="Header"/>
    <w:uiPriority w:val="99"/>
    <w:rsid w:val="00D518F3"/>
    <w:rPr>
      <w:rFonts w:eastAsiaTheme="minorEastAsia"/>
      <w:sz w:val="24"/>
      <w:szCs w:val="24"/>
    </w:rPr>
  </w:style>
  <w:style w:type="paragraph" w:styleId="Footer">
    <w:name w:val="footer"/>
    <w:basedOn w:val="Normal"/>
    <w:link w:val="FooterChar"/>
    <w:uiPriority w:val="99"/>
    <w:unhideWhenUsed/>
    <w:rsid w:val="00D518F3"/>
    <w:pPr>
      <w:tabs>
        <w:tab w:val="center" w:pos="4320"/>
        <w:tab w:val="right" w:pos="8640"/>
      </w:tabs>
    </w:pPr>
  </w:style>
  <w:style w:type="character" w:customStyle="1" w:styleId="FooterChar">
    <w:name w:val="Footer Char"/>
    <w:basedOn w:val="DefaultParagraphFont"/>
    <w:link w:val="Footer"/>
    <w:uiPriority w:val="99"/>
    <w:rsid w:val="00D518F3"/>
    <w:rPr>
      <w:rFonts w:eastAsiaTheme="minorEastAsia"/>
      <w:sz w:val="24"/>
      <w:szCs w:val="24"/>
    </w:rPr>
  </w:style>
  <w:style w:type="paragraph" w:styleId="Title">
    <w:name w:val="Title"/>
    <w:basedOn w:val="Normal"/>
    <w:link w:val="TitleChar"/>
    <w:qFormat/>
    <w:rsid w:val="00D518F3"/>
    <w:pPr>
      <w:jc w:val="center"/>
    </w:pPr>
    <w:rPr>
      <w:rFonts w:ascii="Times New Roman" w:eastAsia="Times New Roman" w:hAnsi="Times New Roman" w:cs="Times New Roman"/>
      <w:b/>
      <w:sz w:val="32"/>
      <w:szCs w:val="20"/>
      <w:lang w:val="lv-LV"/>
    </w:rPr>
  </w:style>
  <w:style w:type="character" w:customStyle="1" w:styleId="TitleChar">
    <w:name w:val="Title Char"/>
    <w:basedOn w:val="DefaultParagraphFont"/>
    <w:link w:val="Title"/>
    <w:rsid w:val="00D518F3"/>
    <w:rPr>
      <w:rFonts w:ascii="Times New Roman" w:eastAsia="Times New Roman" w:hAnsi="Times New Roman" w:cs="Times New Roman"/>
      <w:b/>
      <w:sz w:val="32"/>
      <w:szCs w:val="20"/>
      <w:lang w:val="lv-LV"/>
    </w:rPr>
  </w:style>
  <w:style w:type="paragraph" w:styleId="BodyText">
    <w:name w:val="Body Text"/>
    <w:basedOn w:val="Normal"/>
    <w:link w:val="BodyTextChar"/>
    <w:rsid w:val="00D518F3"/>
    <w:pPr>
      <w:spacing w:after="120"/>
    </w:pPr>
    <w:rPr>
      <w:rFonts w:ascii="Times New Roman" w:eastAsia="Times New Roman" w:hAnsi="Times New Roman" w:cs="Times New Roman"/>
      <w:lang w:val="lv-LV"/>
    </w:rPr>
  </w:style>
  <w:style w:type="character" w:customStyle="1" w:styleId="BodyTextChar">
    <w:name w:val="Body Text Char"/>
    <w:basedOn w:val="DefaultParagraphFont"/>
    <w:link w:val="BodyText"/>
    <w:rsid w:val="00D518F3"/>
    <w:rPr>
      <w:rFonts w:ascii="Times New Roman" w:eastAsia="Times New Roman" w:hAnsi="Times New Roman" w:cs="Times New Roman"/>
      <w:sz w:val="24"/>
      <w:szCs w:val="24"/>
      <w:lang w:val="lv-LV"/>
    </w:rPr>
  </w:style>
  <w:style w:type="table" w:styleId="TableGrid">
    <w:name w:val="Table Grid"/>
    <w:basedOn w:val="TableNormal"/>
    <w:uiPriority w:val="59"/>
    <w:rsid w:val="00D518F3"/>
    <w:pPr>
      <w:spacing w:after="0" w:line="240" w:lineRule="auto"/>
    </w:pPr>
    <w:rPr>
      <w:rFonts w:ascii="Times New Roman" w:eastAsia="Times New Roman" w:hAnsi="Times New Roman" w:cs="Times New Roman"/>
      <w:sz w:val="20"/>
      <w:szCs w:val="20"/>
      <w:lang w:val="lv-LV"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ievienotiedokumenti">
    <w:name w:val="Pievienotie dokumenti"/>
    <w:basedOn w:val="Normal"/>
    <w:next w:val="Normal"/>
    <w:rsid w:val="00D518F3"/>
    <w:pPr>
      <w:keepNext/>
      <w:keepLines/>
      <w:suppressAutoHyphens/>
      <w:spacing w:line="360" w:lineRule="auto"/>
      <w:ind w:left="1440" w:hanging="1440"/>
    </w:pPr>
    <w:rPr>
      <w:rFonts w:ascii="Times New Roman" w:eastAsia="Times New Roman" w:hAnsi="Times New Roman" w:cs="Times New Roman"/>
      <w:szCs w:val="20"/>
      <w:lang w:val="lv-LV"/>
    </w:rPr>
  </w:style>
  <w:style w:type="paragraph" w:styleId="ListParagraph">
    <w:name w:val="List Paragraph"/>
    <w:basedOn w:val="Normal"/>
    <w:uiPriority w:val="34"/>
    <w:qFormat/>
    <w:rsid w:val="00D518F3"/>
    <w:pPr>
      <w:ind w:left="720"/>
    </w:pPr>
    <w:rPr>
      <w:rFonts w:ascii="Times New Roman" w:eastAsia="Times New Roman" w:hAnsi="Times New Roman" w:cs="Times New Roman"/>
      <w:lang w:val="lv-LV"/>
    </w:rPr>
  </w:style>
  <w:style w:type="paragraph" w:styleId="BodyTextIndent">
    <w:name w:val="Body Text Indent"/>
    <w:basedOn w:val="Normal"/>
    <w:link w:val="BodyTextIndentChar"/>
    <w:uiPriority w:val="99"/>
    <w:semiHidden/>
    <w:unhideWhenUsed/>
    <w:rsid w:val="00D518F3"/>
    <w:pPr>
      <w:spacing w:after="120"/>
      <w:ind w:left="283"/>
    </w:pPr>
  </w:style>
  <w:style w:type="character" w:customStyle="1" w:styleId="BodyTextIndentChar">
    <w:name w:val="Body Text Indent Char"/>
    <w:basedOn w:val="DefaultParagraphFont"/>
    <w:link w:val="BodyTextIndent"/>
    <w:uiPriority w:val="99"/>
    <w:semiHidden/>
    <w:rsid w:val="00D518F3"/>
    <w:rPr>
      <w:rFonts w:eastAsiaTheme="minorEastAsia"/>
      <w:sz w:val="24"/>
      <w:szCs w:val="24"/>
    </w:rPr>
  </w:style>
  <w:style w:type="paragraph" w:styleId="FootnoteText">
    <w:name w:val="footnote text"/>
    <w:basedOn w:val="Normal"/>
    <w:link w:val="FootnoteTextChar"/>
    <w:semiHidden/>
    <w:rsid w:val="007D1BDE"/>
    <w:rPr>
      <w:rFonts w:ascii="Times New Roman" w:eastAsia="Times New Roman" w:hAnsi="Times New Roman" w:cs="Times New Roman"/>
      <w:szCs w:val="20"/>
      <w:lang w:val="lv-LV"/>
    </w:rPr>
  </w:style>
  <w:style w:type="character" w:customStyle="1" w:styleId="FootnoteTextChar">
    <w:name w:val="Footnote Text Char"/>
    <w:basedOn w:val="DefaultParagraphFont"/>
    <w:link w:val="FootnoteText"/>
    <w:semiHidden/>
    <w:rsid w:val="007D1BDE"/>
    <w:rPr>
      <w:rFonts w:ascii="Times New Roman" w:eastAsia="Times New Roman" w:hAnsi="Times New Roman" w:cs="Times New Roman"/>
      <w:sz w:val="24"/>
      <w:szCs w:val="20"/>
      <w:lang w:val="lv-LV"/>
    </w:rPr>
  </w:style>
  <w:style w:type="character" w:customStyle="1" w:styleId="Heading1Char">
    <w:name w:val="Heading 1 Char"/>
    <w:basedOn w:val="DefaultParagraphFont"/>
    <w:link w:val="Heading1"/>
    <w:rsid w:val="007D1BDE"/>
    <w:rPr>
      <w:rFonts w:ascii="Times New Roman" w:eastAsia="Times New Roman" w:hAnsi="Times New Roman" w:cs="Times New Roman"/>
      <w:b/>
      <w:sz w:val="24"/>
      <w:szCs w:val="20"/>
      <w:lang w:val="lv-LV"/>
    </w:rPr>
  </w:style>
  <w:style w:type="character" w:customStyle="1" w:styleId="Heading2Char">
    <w:name w:val="Heading 2 Char"/>
    <w:basedOn w:val="DefaultParagraphFont"/>
    <w:link w:val="Heading2"/>
    <w:rsid w:val="007D1BDE"/>
    <w:rPr>
      <w:rFonts w:ascii="Times New Roman" w:eastAsia="Times New Roman" w:hAnsi="Times New Roman" w:cs="Times New Roman"/>
      <w:sz w:val="24"/>
      <w:szCs w:val="20"/>
      <w:lang w:val="lv-LV"/>
    </w:rPr>
  </w:style>
  <w:style w:type="character" w:styleId="Hyperlink">
    <w:name w:val="Hyperlink"/>
    <w:basedOn w:val="DefaultParagraphFont"/>
    <w:uiPriority w:val="99"/>
    <w:unhideWhenUsed/>
    <w:rsid w:val="009614A5"/>
    <w:rPr>
      <w:color w:val="0563C1" w:themeColor="hyperlink"/>
      <w:u w:val="single"/>
    </w:rPr>
  </w:style>
  <w:style w:type="character" w:styleId="CommentReference">
    <w:name w:val="annotation reference"/>
    <w:basedOn w:val="DefaultParagraphFont"/>
    <w:uiPriority w:val="99"/>
    <w:semiHidden/>
    <w:unhideWhenUsed/>
    <w:rsid w:val="00C25D30"/>
    <w:rPr>
      <w:sz w:val="16"/>
      <w:szCs w:val="16"/>
    </w:rPr>
  </w:style>
  <w:style w:type="paragraph" w:styleId="CommentText">
    <w:name w:val="annotation text"/>
    <w:basedOn w:val="Normal"/>
    <w:link w:val="CommentTextChar"/>
    <w:uiPriority w:val="99"/>
    <w:unhideWhenUsed/>
    <w:rsid w:val="00C25D30"/>
    <w:rPr>
      <w:sz w:val="20"/>
      <w:szCs w:val="20"/>
    </w:rPr>
  </w:style>
  <w:style w:type="character" w:customStyle="1" w:styleId="CommentTextChar">
    <w:name w:val="Comment Text Char"/>
    <w:basedOn w:val="DefaultParagraphFont"/>
    <w:link w:val="CommentText"/>
    <w:uiPriority w:val="99"/>
    <w:rsid w:val="00C25D30"/>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C25D30"/>
    <w:rPr>
      <w:b/>
      <w:bCs/>
    </w:rPr>
  </w:style>
  <w:style w:type="character" w:customStyle="1" w:styleId="CommentSubjectChar">
    <w:name w:val="Comment Subject Char"/>
    <w:basedOn w:val="CommentTextChar"/>
    <w:link w:val="CommentSubject"/>
    <w:uiPriority w:val="99"/>
    <w:semiHidden/>
    <w:rsid w:val="00C25D30"/>
    <w:rPr>
      <w:rFonts w:eastAsiaTheme="minorEastAsia"/>
      <w:b/>
      <w:bCs/>
      <w:sz w:val="20"/>
      <w:szCs w:val="20"/>
    </w:rPr>
  </w:style>
  <w:style w:type="paragraph" w:styleId="BalloonText">
    <w:name w:val="Balloon Text"/>
    <w:basedOn w:val="Normal"/>
    <w:link w:val="BalloonTextChar"/>
    <w:uiPriority w:val="99"/>
    <w:semiHidden/>
    <w:unhideWhenUsed/>
    <w:rsid w:val="00C25D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5D30"/>
    <w:rPr>
      <w:rFonts w:ascii="Segoe UI" w:eastAsiaTheme="minorEastAsia" w:hAnsi="Segoe UI" w:cs="Segoe UI"/>
      <w:sz w:val="18"/>
      <w:szCs w:val="18"/>
    </w:rPr>
  </w:style>
  <w:style w:type="paragraph" w:styleId="EndnoteText">
    <w:name w:val="endnote text"/>
    <w:basedOn w:val="Normal"/>
    <w:link w:val="EndnoteTextChar"/>
    <w:uiPriority w:val="99"/>
    <w:semiHidden/>
    <w:unhideWhenUsed/>
    <w:rsid w:val="0085640E"/>
    <w:rPr>
      <w:sz w:val="20"/>
      <w:szCs w:val="20"/>
    </w:rPr>
  </w:style>
  <w:style w:type="character" w:customStyle="1" w:styleId="EndnoteTextChar">
    <w:name w:val="Endnote Text Char"/>
    <w:basedOn w:val="DefaultParagraphFont"/>
    <w:link w:val="EndnoteText"/>
    <w:uiPriority w:val="99"/>
    <w:semiHidden/>
    <w:rsid w:val="0085640E"/>
    <w:rPr>
      <w:rFonts w:eastAsiaTheme="minorEastAsia"/>
      <w:sz w:val="20"/>
      <w:szCs w:val="20"/>
    </w:rPr>
  </w:style>
  <w:style w:type="character" w:styleId="EndnoteReference">
    <w:name w:val="endnote reference"/>
    <w:basedOn w:val="DefaultParagraphFont"/>
    <w:uiPriority w:val="99"/>
    <w:semiHidden/>
    <w:unhideWhenUsed/>
    <w:rsid w:val="0085640E"/>
    <w:rPr>
      <w:vertAlign w:val="superscript"/>
    </w:rPr>
  </w:style>
  <w:style w:type="character" w:styleId="FootnoteReference">
    <w:name w:val="footnote reference"/>
    <w:basedOn w:val="DefaultParagraphFont"/>
    <w:uiPriority w:val="99"/>
    <w:semiHidden/>
    <w:unhideWhenUsed/>
    <w:rsid w:val="006B433B"/>
    <w:rPr>
      <w:vertAlign w:val="superscript"/>
    </w:rPr>
  </w:style>
  <w:style w:type="paragraph" w:customStyle="1" w:styleId="StyleRight">
    <w:name w:val="Style Right"/>
    <w:basedOn w:val="Normal"/>
    <w:rsid w:val="000635E4"/>
    <w:pPr>
      <w:spacing w:after="120"/>
      <w:ind w:firstLine="720"/>
      <w:jc w:val="right"/>
    </w:pPr>
    <w:rPr>
      <w:rFonts w:ascii="Times New Roman" w:eastAsia="Times New Roman" w:hAnsi="Times New Roman" w:cs="Times New Roman"/>
      <w:sz w:val="28"/>
      <w:szCs w:val="28"/>
      <w:lang w:val="lv-LV"/>
    </w:rPr>
  </w:style>
  <w:style w:type="character" w:customStyle="1" w:styleId="UnresolvedMention1">
    <w:name w:val="Unresolved Mention1"/>
    <w:basedOn w:val="DefaultParagraphFont"/>
    <w:uiPriority w:val="99"/>
    <w:semiHidden/>
    <w:unhideWhenUsed/>
    <w:rsid w:val="00A36BAF"/>
    <w:rPr>
      <w:color w:val="605E5C"/>
      <w:shd w:val="clear" w:color="auto" w:fill="E1DFDD"/>
    </w:rPr>
  </w:style>
  <w:style w:type="character" w:styleId="FollowedHyperlink">
    <w:name w:val="FollowedHyperlink"/>
    <w:basedOn w:val="DefaultParagraphFont"/>
    <w:uiPriority w:val="99"/>
    <w:semiHidden/>
    <w:unhideWhenUsed/>
    <w:rsid w:val="00B812CB"/>
    <w:rPr>
      <w:color w:val="954F72" w:themeColor="followedHyperlink"/>
      <w:u w:val="single"/>
    </w:rPr>
  </w:style>
  <w:style w:type="paragraph" w:styleId="BodyText2">
    <w:name w:val="Body Text 2"/>
    <w:basedOn w:val="Normal"/>
    <w:link w:val="BodyText2Char"/>
    <w:uiPriority w:val="99"/>
    <w:unhideWhenUsed/>
    <w:rsid w:val="006A3472"/>
    <w:pPr>
      <w:jc w:val="both"/>
    </w:pPr>
    <w:rPr>
      <w:rFonts w:ascii="Times New Roman" w:hAnsi="Times New Roman" w:cs="Times New Roman"/>
      <w:lang w:val="lv-LV"/>
    </w:rPr>
  </w:style>
  <w:style w:type="character" w:customStyle="1" w:styleId="BodyText2Char">
    <w:name w:val="Body Text 2 Char"/>
    <w:basedOn w:val="DefaultParagraphFont"/>
    <w:link w:val="BodyText2"/>
    <w:uiPriority w:val="99"/>
    <w:rsid w:val="006A3472"/>
    <w:rPr>
      <w:rFonts w:ascii="Times New Roman" w:eastAsiaTheme="minorEastAsia" w:hAnsi="Times New Roman" w:cs="Times New Roman"/>
      <w:sz w:val="24"/>
      <w:szCs w:val="24"/>
      <w:lang w:val="lv-LV"/>
    </w:rPr>
  </w:style>
  <w:style w:type="paragraph" w:styleId="BodyTextIndent2">
    <w:name w:val="Body Text Indent 2"/>
    <w:basedOn w:val="Normal"/>
    <w:link w:val="BodyTextIndent2Char"/>
    <w:uiPriority w:val="99"/>
    <w:unhideWhenUsed/>
    <w:rsid w:val="009A0B14"/>
    <w:pPr>
      <w:ind w:firstLine="720"/>
      <w:jc w:val="both"/>
    </w:pPr>
    <w:rPr>
      <w:rFonts w:ascii="Times New Roman" w:hAnsi="Times New Roman" w:cs="Times New Roman"/>
      <w:lang w:val="lv-LV"/>
    </w:rPr>
  </w:style>
  <w:style w:type="character" w:customStyle="1" w:styleId="BodyTextIndent2Char">
    <w:name w:val="Body Text Indent 2 Char"/>
    <w:basedOn w:val="DefaultParagraphFont"/>
    <w:link w:val="BodyTextIndent2"/>
    <w:uiPriority w:val="99"/>
    <w:rsid w:val="009A0B14"/>
    <w:rPr>
      <w:rFonts w:ascii="Times New Roman" w:eastAsiaTheme="minorEastAsia" w:hAnsi="Times New Roman" w:cs="Times New Roman"/>
      <w:sz w:val="24"/>
      <w:szCs w:val="24"/>
      <w:lang w:val="lv-LV"/>
    </w:rPr>
  </w:style>
  <w:style w:type="paragraph" w:customStyle="1" w:styleId="naisc">
    <w:name w:val="naisc"/>
    <w:basedOn w:val="Normal"/>
    <w:rsid w:val="00FA749E"/>
    <w:pPr>
      <w:spacing w:before="75" w:after="75"/>
      <w:jc w:val="center"/>
    </w:pPr>
    <w:rPr>
      <w:rFonts w:ascii="Times New Roman" w:eastAsia="Times New Roman" w:hAnsi="Times New Roman" w:cs="Times New Roman"/>
      <w:lang w:val="lv-LV" w:eastAsia="lv-LV"/>
    </w:rPr>
  </w:style>
  <w:style w:type="paragraph" w:customStyle="1" w:styleId="paragraph">
    <w:name w:val="paragraph"/>
    <w:basedOn w:val="Normal"/>
    <w:rsid w:val="006D75F8"/>
    <w:pPr>
      <w:spacing w:before="100" w:beforeAutospacing="1" w:after="100" w:afterAutospacing="1"/>
    </w:pPr>
    <w:rPr>
      <w:rFonts w:ascii="Times New Roman" w:eastAsia="Times New Roman" w:hAnsi="Times New Roman" w:cs="Times New Roman"/>
    </w:rPr>
  </w:style>
  <w:style w:type="character" w:customStyle="1" w:styleId="UnresolvedMention2">
    <w:name w:val="Unresolved Mention2"/>
    <w:basedOn w:val="DefaultParagraphFont"/>
    <w:uiPriority w:val="99"/>
    <w:semiHidden/>
    <w:unhideWhenUsed/>
    <w:rsid w:val="00FB7EF9"/>
    <w:rPr>
      <w:color w:val="605E5C"/>
      <w:shd w:val="clear" w:color="auto" w:fill="E1DFDD"/>
    </w:rPr>
  </w:style>
  <w:style w:type="paragraph" w:styleId="NormalWeb">
    <w:name w:val="Normal (Web)"/>
    <w:basedOn w:val="Normal"/>
    <w:uiPriority w:val="99"/>
    <w:semiHidden/>
    <w:unhideWhenUsed/>
    <w:rsid w:val="003A054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264106">
      <w:bodyDiv w:val="1"/>
      <w:marLeft w:val="0"/>
      <w:marRight w:val="0"/>
      <w:marTop w:val="0"/>
      <w:marBottom w:val="0"/>
      <w:divBdr>
        <w:top w:val="none" w:sz="0" w:space="0" w:color="auto"/>
        <w:left w:val="none" w:sz="0" w:space="0" w:color="auto"/>
        <w:bottom w:val="none" w:sz="0" w:space="0" w:color="auto"/>
        <w:right w:val="none" w:sz="0" w:space="0" w:color="auto"/>
      </w:divBdr>
    </w:div>
    <w:div w:id="393087061">
      <w:bodyDiv w:val="1"/>
      <w:marLeft w:val="0"/>
      <w:marRight w:val="0"/>
      <w:marTop w:val="0"/>
      <w:marBottom w:val="0"/>
      <w:divBdr>
        <w:top w:val="none" w:sz="0" w:space="0" w:color="auto"/>
        <w:left w:val="none" w:sz="0" w:space="0" w:color="auto"/>
        <w:bottom w:val="none" w:sz="0" w:space="0" w:color="auto"/>
        <w:right w:val="none" w:sz="0" w:space="0" w:color="auto"/>
      </w:divBdr>
      <w:divsChild>
        <w:div w:id="261303640">
          <w:marLeft w:val="0"/>
          <w:marRight w:val="0"/>
          <w:marTop w:val="0"/>
          <w:marBottom w:val="0"/>
          <w:divBdr>
            <w:top w:val="none" w:sz="0" w:space="0" w:color="auto"/>
            <w:left w:val="none" w:sz="0" w:space="0" w:color="auto"/>
            <w:bottom w:val="none" w:sz="0" w:space="0" w:color="auto"/>
            <w:right w:val="none" w:sz="0" w:space="0" w:color="auto"/>
          </w:divBdr>
        </w:div>
      </w:divsChild>
    </w:div>
    <w:div w:id="650528469">
      <w:bodyDiv w:val="1"/>
      <w:marLeft w:val="0"/>
      <w:marRight w:val="0"/>
      <w:marTop w:val="0"/>
      <w:marBottom w:val="0"/>
      <w:divBdr>
        <w:top w:val="none" w:sz="0" w:space="0" w:color="auto"/>
        <w:left w:val="none" w:sz="0" w:space="0" w:color="auto"/>
        <w:bottom w:val="none" w:sz="0" w:space="0" w:color="auto"/>
        <w:right w:val="none" w:sz="0" w:space="0" w:color="auto"/>
      </w:divBdr>
    </w:div>
    <w:div w:id="786433907">
      <w:bodyDiv w:val="1"/>
      <w:marLeft w:val="0"/>
      <w:marRight w:val="0"/>
      <w:marTop w:val="0"/>
      <w:marBottom w:val="0"/>
      <w:divBdr>
        <w:top w:val="none" w:sz="0" w:space="0" w:color="auto"/>
        <w:left w:val="none" w:sz="0" w:space="0" w:color="auto"/>
        <w:bottom w:val="none" w:sz="0" w:space="0" w:color="auto"/>
        <w:right w:val="none" w:sz="0" w:space="0" w:color="auto"/>
      </w:divBdr>
    </w:div>
    <w:div w:id="927886266">
      <w:bodyDiv w:val="1"/>
      <w:marLeft w:val="0"/>
      <w:marRight w:val="0"/>
      <w:marTop w:val="0"/>
      <w:marBottom w:val="0"/>
      <w:divBdr>
        <w:top w:val="none" w:sz="0" w:space="0" w:color="auto"/>
        <w:left w:val="none" w:sz="0" w:space="0" w:color="auto"/>
        <w:bottom w:val="none" w:sz="0" w:space="0" w:color="auto"/>
        <w:right w:val="none" w:sz="0" w:space="0" w:color="auto"/>
      </w:divBdr>
    </w:div>
    <w:div w:id="1020013184">
      <w:bodyDiv w:val="1"/>
      <w:marLeft w:val="0"/>
      <w:marRight w:val="0"/>
      <w:marTop w:val="0"/>
      <w:marBottom w:val="0"/>
      <w:divBdr>
        <w:top w:val="none" w:sz="0" w:space="0" w:color="auto"/>
        <w:left w:val="none" w:sz="0" w:space="0" w:color="auto"/>
        <w:bottom w:val="none" w:sz="0" w:space="0" w:color="auto"/>
        <w:right w:val="none" w:sz="0" w:space="0" w:color="auto"/>
      </w:divBdr>
    </w:div>
    <w:div w:id="1119685758">
      <w:bodyDiv w:val="1"/>
      <w:marLeft w:val="0"/>
      <w:marRight w:val="0"/>
      <w:marTop w:val="0"/>
      <w:marBottom w:val="0"/>
      <w:divBdr>
        <w:top w:val="none" w:sz="0" w:space="0" w:color="auto"/>
        <w:left w:val="none" w:sz="0" w:space="0" w:color="auto"/>
        <w:bottom w:val="none" w:sz="0" w:space="0" w:color="auto"/>
        <w:right w:val="none" w:sz="0" w:space="0" w:color="auto"/>
      </w:divBdr>
      <w:divsChild>
        <w:div w:id="1824346730">
          <w:marLeft w:val="0"/>
          <w:marRight w:val="0"/>
          <w:marTop w:val="0"/>
          <w:marBottom w:val="0"/>
          <w:divBdr>
            <w:top w:val="none" w:sz="0" w:space="0" w:color="auto"/>
            <w:left w:val="none" w:sz="0" w:space="0" w:color="auto"/>
            <w:bottom w:val="none" w:sz="0" w:space="0" w:color="auto"/>
            <w:right w:val="none" w:sz="0" w:space="0" w:color="auto"/>
          </w:divBdr>
          <w:divsChild>
            <w:div w:id="1860005618">
              <w:marLeft w:val="0"/>
              <w:marRight w:val="0"/>
              <w:marTop w:val="0"/>
              <w:marBottom w:val="0"/>
              <w:divBdr>
                <w:top w:val="none" w:sz="0" w:space="0" w:color="auto"/>
                <w:left w:val="none" w:sz="0" w:space="0" w:color="auto"/>
                <w:bottom w:val="none" w:sz="0" w:space="0" w:color="auto"/>
                <w:right w:val="none" w:sz="0" w:space="0" w:color="auto"/>
              </w:divBdr>
              <w:divsChild>
                <w:div w:id="1890409998">
                  <w:marLeft w:val="0"/>
                  <w:marRight w:val="0"/>
                  <w:marTop w:val="0"/>
                  <w:marBottom w:val="0"/>
                  <w:divBdr>
                    <w:top w:val="none" w:sz="0" w:space="0" w:color="auto"/>
                    <w:left w:val="none" w:sz="0" w:space="0" w:color="auto"/>
                    <w:bottom w:val="none" w:sz="0" w:space="0" w:color="auto"/>
                    <w:right w:val="none" w:sz="0" w:space="0" w:color="auto"/>
                  </w:divBdr>
                  <w:divsChild>
                    <w:div w:id="515576382">
                      <w:marLeft w:val="0"/>
                      <w:marRight w:val="0"/>
                      <w:marTop w:val="0"/>
                      <w:marBottom w:val="0"/>
                      <w:divBdr>
                        <w:top w:val="none" w:sz="0" w:space="0" w:color="auto"/>
                        <w:left w:val="none" w:sz="0" w:space="0" w:color="auto"/>
                        <w:bottom w:val="none" w:sz="0" w:space="0" w:color="auto"/>
                        <w:right w:val="none" w:sz="0" w:space="0" w:color="auto"/>
                      </w:divBdr>
                      <w:divsChild>
                        <w:div w:id="175219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013301">
      <w:bodyDiv w:val="1"/>
      <w:marLeft w:val="0"/>
      <w:marRight w:val="0"/>
      <w:marTop w:val="0"/>
      <w:marBottom w:val="0"/>
      <w:divBdr>
        <w:top w:val="none" w:sz="0" w:space="0" w:color="auto"/>
        <w:left w:val="none" w:sz="0" w:space="0" w:color="auto"/>
        <w:bottom w:val="none" w:sz="0" w:space="0" w:color="auto"/>
        <w:right w:val="none" w:sz="0" w:space="0" w:color="auto"/>
      </w:divBdr>
    </w:div>
    <w:div w:id="1249119277">
      <w:bodyDiv w:val="1"/>
      <w:marLeft w:val="0"/>
      <w:marRight w:val="0"/>
      <w:marTop w:val="0"/>
      <w:marBottom w:val="0"/>
      <w:divBdr>
        <w:top w:val="none" w:sz="0" w:space="0" w:color="auto"/>
        <w:left w:val="none" w:sz="0" w:space="0" w:color="auto"/>
        <w:bottom w:val="none" w:sz="0" w:space="0" w:color="auto"/>
        <w:right w:val="none" w:sz="0" w:space="0" w:color="auto"/>
      </w:divBdr>
    </w:div>
    <w:div w:id="1307275886">
      <w:bodyDiv w:val="1"/>
      <w:marLeft w:val="0"/>
      <w:marRight w:val="0"/>
      <w:marTop w:val="0"/>
      <w:marBottom w:val="0"/>
      <w:divBdr>
        <w:top w:val="none" w:sz="0" w:space="0" w:color="auto"/>
        <w:left w:val="none" w:sz="0" w:space="0" w:color="auto"/>
        <w:bottom w:val="none" w:sz="0" w:space="0" w:color="auto"/>
        <w:right w:val="none" w:sz="0" w:space="0" w:color="auto"/>
      </w:divBdr>
    </w:div>
    <w:div w:id="1587417548">
      <w:bodyDiv w:val="1"/>
      <w:marLeft w:val="0"/>
      <w:marRight w:val="0"/>
      <w:marTop w:val="0"/>
      <w:marBottom w:val="0"/>
      <w:divBdr>
        <w:top w:val="none" w:sz="0" w:space="0" w:color="auto"/>
        <w:left w:val="none" w:sz="0" w:space="0" w:color="auto"/>
        <w:bottom w:val="none" w:sz="0" w:space="0" w:color="auto"/>
        <w:right w:val="none" w:sz="0" w:space="0" w:color="auto"/>
      </w:divBdr>
    </w:div>
    <w:div w:id="1623031382">
      <w:bodyDiv w:val="1"/>
      <w:marLeft w:val="0"/>
      <w:marRight w:val="0"/>
      <w:marTop w:val="0"/>
      <w:marBottom w:val="0"/>
      <w:divBdr>
        <w:top w:val="none" w:sz="0" w:space="0" w:color="auto"/>
        <w:left w:val="none" w:sz="0" w:space="0" w:color="auto"/>
        <w:bottom w:val="none" w:sz="0" w:space="0" w:color="auto"/>
        <w:right w:val="none" w:sz="0" w:space="0" w:color="auto"/>
      </w:divBdr>
      <w:divsChild>
        <w:div w:id="374934464">
          <w:marLeft w:val="0"/>
          <w:marRight w:val="0"/>
          <w:marTop w:val="0"/>
          <w:marBottom w:val="0"/>
          <w:divBdr>
            <w:top w:val="none" w:sz="0" w:space="0" w:color="auto"/>
            <w:left w:val="none" w:sz="0" w:space="0" w:color="auto"/>
            <w:bottom w:val="none" w:sz="0" w:space="0" w:color="auto"/>
            <w:right w:val="none" w:sz="0" w:space="0" w:color="auto"/>
          </w:divBdr>
        </w:div>
      </w:divsChild>
    </w:div>
    <w:div w:id="1817454288">
      <w:bodyDiv w:val="1"/>
      <w:marLeft w:val="0"/>
      <w:marRight w:val="0"/>
      <w:marTop w:val="0"/>
      <w:marBottom w:val="0"/>
      <w:divBdr>
        <w:top w:val="none" w:sz="0" w:space="0" w:color="auto"/>
        <w:left w:val="none" w:sz="0" w:space="0" w:color="auto"/>
        <w:bottom w:val="none" w:sz="0" w:space="0" w:color="auto"/>
        <w:right w:val="none" w:sz="0" w:space="0" w:color="auto"/>
      </w:divBdr>
    </w:div>
    <w:div w:id="1988168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bmwi.de/Redaktion/EN/Pressemitteilungen/2021/05/20210511-regulatory-sandboxes-for-the-energy-transition.html" TargetMode="External"/><Relationship Id="rId2" Type="http://schemas.openxmlformats.org/officeDocument/2006/relationships/hyperlink" Target="https://enmin.lrv.lt/en/sectoral-policy/research-and-innovation-in-the-energy-sector/regulatory-sandbox-for-the-energy-sector" TargetMode="External"/><Relationship Id="rId1" Type="http://schemas.openxmlformats.org/officeDocument/2006/relationships/hyperlink" Target="https://fsr.eui.eu/regulatory-sandboxes-in-the-energy-sector-the-what-the-who-and-the-how/" TargetMode="External"/><Relationship Id="rId5" Type="http://schemas.openxmlformats.org/officeDocument/2006/relationships/hyperlink" Target="%20https://ec.europa.eu/energy/sites/default/files/documents/2010_01_21_the_unbundling_regime.pdf%20" TargetMode="External"/><Relationship Id="rId4" Type="http://schemas.openxmlformats.org/officeDocument/2006/relationships/hyperlink" Target="https://ec.europa.eu/energy/sites/default/files/documents/2010_01_21_the_unbundling_regime.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A97678560F7209458CCA393D91732341" ma:contentTypeVersion="4" ma:contentTypeDescription="Izveidot jaunu dokumentu." ma:contentTypeScope="" ma:versionID="46aabdfd59ac49f01041d6c47dbb5861">
  <xsd:schema xmlns:xsd="http://www.w3.org/2001/XMLSchema" xmlns:xs="http://www.w3.org/2001/XMLSchema" xmlns:p="http://schemas.microsoft.com/office/2006/metadata/properties" xmlns:ns2="1865e186-00f6-4fac-99bf-960ba50563b2" targetNamespace="http://schemas.microsoft.com/office/2006/metadata/properties" ma:root="true" ma:fieldsID="6deda9bdad129fc5cd0e0e120f996c0e" ns2:_="">
    <xsd:import namespace="1865e186-00f6-4fac-99bf-960ba50563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65e186-00f6-4fac-99bf-960ba50563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AFB48F-E0E2-47A3-ABBB-C39613E0F6CB}">
  <ds:schemaRefs>
    <ds:schemaRef ds:uri="http://schemas.openxmlformats.org/officeDocument/2006/bibliography"/>
  </ds:schemaRefs>
</ds:datastoreItem>
</file>

<file path=customXml/itemProps2.xml><?xml version="1.0" encoding="utf-8"?>
<ds:datastoreItem xmlns:ds="http://schemas.openxmlformats.org/officeDocument/2006/customXml" ds:itemID="{F6703366-C37F-422A-975A-4B4216BC4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65e186-00f6-4fac-99bf-960ba50563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0FF6F7-FB6B-487F-AD72-6066B0BFF351}">
  <ds:schemaRefs>
    <ds:schemaRef ds:uri="http://schemas.microsoft.com/sharepoint/v3/contenttype/forms"/>
  </ds:schemaRefs>
</ds:datastoreItem>
</file>

<file path=customXml/itemProps4.xml><?xml version="1.0" encoding="utf-8"?>
<ds:datastoreItem xmlns:ds="http://schemas.openxmlformats.org/officeDocument/2006/customXml" ds:itemID="{BBDB9784-17B6-448C-9D64-47921EE89EE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13813</Words>
  <Characters>7874</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2021-12-03T11:30:00Z</dcterms:created>
  <dcterms:modified xsi:type="dcterms:W3CDTF">2021-12-03T11:30:00Z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0x010100A97678560F7209458CCA393D91732341</vt:lpwstr>
  </property>
</Properties>
</file>