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tiesu ekspertīžu institūta reformas gaitu"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17:29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 finansējuma piešķiršanas iespējas būs ierobežotas arī turpmākajos gados un resursi ministriju papildu izdevumiem būs primāri jāmeklē iekšēji pārskatot un optimizējot esošos izdevumus, līdz ar to nepieciešamais finansējums vienotās tiesu ekspertīžu iestādes darbības nodrošināšanai un reformas pabeigšanai jārod esošā budžeta ietvaros, Tieslietu ministrijai izvērtējot un pārskatot esošos izdevumus. Attiecīgi ir jāprecizē informatīvā ziņojumā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2.pielikuma 7.pasākums, paredzot, ka reformas īstenošanai un vienotās tiesu ekspertīžu iestādes darbības nodrošināšanai nepieciešamais finanšu ietekmes jautājums tiks risināts budžeta izdevumu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08:41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ir norādīta atsauce, ka pasākuma īstenošanai tiks pieprasīts papildu finansējums. Vēršam uzmanību, ka likumprojekts “Par valsts budžetu 2026. gadam un budžeta ietvaru 2026., 2027. un 2028. gadam”  ir pieņemts Saeimā pirmajā lasījumā un finansējums tiek apstiprināts 3.gadiem, līdz ar to iespējas piešķirt papildu finanšu resursus turpmākajos gados būs ierobežotas, kas ministrijām un citām centrālajām iestādēm jāņem vērā normatīvo aktu izstrādē, tādējādi papildu nepieciešamais finansējums jārod esošā finansējuma ietvaros, iesaistītajām ministrijām pārskatot un izvērtējot esošos izdevumus un  iesniedzot fiskāli neitrālus priekšlikumus ikgadējās izdevumu pārskatīšanas procesa ietvaros.  Attiecīgi ir jāprecizē informatīvā ziņojumā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 finansējuma ietvaros nav rodams nepieciešamais finansējums tiesu ekspertu atlīdzības izlīdzināšanai, precēm un pakalpojumiem un kapitālajiem izdevumiem, bez papildu finansējuma vienotas tiesu ekspertīžu iestādes darbību nav iespējams nodrošināt ar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precizēts Ministru kabineta rīkojums, izveidojot 4. punktu un 4.</w:t>
            </w:r>
            <w:r w:rsidR="00000000" w:rsidRPr="00000000" w:rsidDel="00000000">
              <w:rPr>
                <w:vertAlign w:val="superscript"/>
                <w:rtl w:val="0"/>
              </w:rPr>
              <w:t xml:space="preserve">1</w:t>
            </w:r>
            <w:r w:rsidR="00000000" w:rsidRPr="00000000" w:rsidDel="00000000">
              <w:rPr>
                <w:rtl w:val="0"/>
              </w:rPr>
              <w:t xml:space="preserve"> punktu un precīzāk nošķirot pozīcijas, kam būs nepieciešams finansējums 2029. gadā un turpmāk. Līdz ar to, Tieslietu ministrija līdz 2027. gada 31. martam aktualizēs finanšu aprēķinus un to ietekmi uz valsts budžetu gan par vienotās tiesu ekspertīžu iestādes darbības nodrošināšanu (tiesu ekspertu atlīdzība, preces un pakalpojumi, kapitālie izdevumi) 2029.gadā un turpmāk, gan par informatīvā ziņojuma "Par tiesu ekspertīžu institūta reformas gaitu" (25-TA-2213) 2. pielikumā ietverto 2029. gadā īstenojamo 10.3.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2. pielikumu “Tiesu ekspertīžu institūta reformas īstenošanai veicamo darbību laika grafiks” papildināt ar vēl vienu pasākumu - ELIS Ministru kabineta noteikumu izstrāde, kurā definēta vismaz ELIS sistēmas darbība, lietotāji un tajā iekļaujamo un apstrādājamo datu kārtība, tādējādi nodrošinot, ka ELIS risinājumā izstrādātā funkcionalitāte atbilstu ELIS regulējumā iecerētajam, kā arī nodrošinātu Projektā attīstītā ELIS darbības juridisko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regulējuma redakcijām vismaz melnraksta versijā jābūt pieejamām, pirms Informācijas centrs uzsāk ELIS programmatūras izstrādi, tas ir, ne vēlāk kā līdz 2026. gada III ceturksnim, lai nodrošinātu iztērēto ES līdzekļu pamatotību un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ELIS netiek plānots sagatavot MK noteikumus, Informācijas centrs nevarēs sagatavot un MK saskaņot ELIS projekta pasi līdz 27.02.2026 un attiecīgi pastāv risks zaudēt ERAF finansējumu ELIS risinājuma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informatīvā ziņojuma 2.pielikums “Tiesu ekspertīžu institūta reformas īstenošanai veicamo darbību laika grafiks”.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tiesu ekspertīžu institūta reformas gaitu"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apkopējas atalgojuma ( 12.tabulas ieraksts gan par 2026., gan arī 2027.gadu) (mēnešalgas) apmēru. 2026.gadam minimālā alga būs - 780 euro (skalas viduspunkts), jo saskaņā ar Valsts un pašvaldību institūciju amatpersonu un darbnieku atlīdzības likuma 3.pielikumā norādīto piežimi - "Mēnešalga, kuru nosaka, piemērojot koeficientu pret bāzes mēnešalgu, nedrīkst būt zemāka par minimālās mēneša darba algas apmēru normālā darba laika ietvaros". Attiecīgi nepieciešams precizēt visu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aprēķinu par 2027.gadu, kur norādītā mēnešalga šobrīd ir 772 euro, kas ir pat zemāk nekā ietverts 2026.gada detalizētajā aprēķinā, taču paredzamā minimālā alga tiek lēsta 820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6.lappusē norādīts: "</w:t>
            </w:r>
            <w:r w:rsidR="00000000" w:rsidRPr="00000000" w:rsidDel="00000000">
              <w:rPr>
                <w:i w:val="1"/>
                <w:rtl w:val="0"/>
              </w:rPr>
              <w:t xml:space="preserve">Reformas īstenošanas termiņa pagarināšanas gadījumā finansējuma pārdale no Iekšlietu ministrijas uz Tieslietu ministriju plānota 2029.gada II ceturksnī.</w:t>
            </w:r>
            <w:r w:rsidR="00000000" w:rsidRPr="00000000" w:rsidDel="00000000">
              <w:rPr>
                <w:rtl w:val="0"/>
              </w:rPr>
              <w:t xml:space="preserve">".  Ievērojot, ka reforma tiek plānota, visticamāk, finansējuma pārdales priekšlikumi tiks sagatavoti jau likumprojekta par valsts budžetu attiecīgajam gadam sagatavošanas procesā. Tādējādi ierosinām izteikt šo teikumu šādā redakcijā: </w:t>
            </w:r>
            <w:r w:rsidR="00000000" w:rsidRPr="00000000" w:rsidDel="00000000">
              <w:rPr>
                <w:i w:val="1"/>
                <w:rtl w:val="0"/>
              </w:rPr>
              <w:t xml:space="preserve">"Reformas īstenošanas termiņa pagarināšanas gadījumā tiek plānota finansējuma pārdale no Iekšlietu ministrijas uz Tieslietu ministriju.</w:t>
            </w:r>
            <w:r w:rsidR="00000000" w:rsidRPr="00000000" w:rsidDel="00000000">
              <w:rPr>
                <w:rtl w:val="0"/>
              </w:rPr>
              <w:t xml:space="preserve">", nenorādot konkrētu finansējuma pārdales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22.09.2025. 07:16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plānota finansējuma pārdale no Iekšlietu ministrijas uz Tieslietu ministriju un informatīvā ziņojuma 6.lappusē ir norādīts, ka pārdale bija plānota 2025.gadā, lūdzam precizēt sniegto informāciju, norādot, kad tieši ir plānota finansējuma pārdale no Iekšlietu ministrijas, izvērtējot, vai par plānoto finansējuma pārdali starp ministrijām nebūtu iekļaujams attiecīgs uzdevums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ir ietverti pasākumi, kuru izpilde vēl turpinās, bet nav norādīts kā tiks nodrošināta to īstenošana, līdz ar to lūdzam sniegt skaidrojumu par to, kā tiks nodrošināta 2.pielikumā ietverto pasākumu īstenošana, ņemot vērā, ka saistītā konceptuālajā ziņojumā ir norādīts, ka gan 2026., gan 2027., gan 2028.gadā ir nepieciešams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Nr.2 "Tiesu ekspertīžu institūta reformas īstenošanai veicamo darbību laika grafiks" ir norādīts pasākums "</w:t>
            </w:r>
            <w:r w:rsidR="00000000" w:rsidRPr="00000000" w:rsidDel="00000000">
              <w:rPr>
                <w:i w:val="1"/>
                <w:rtl w:val="0"/>
              </w:rPr>
              <w:t xml:space="preserve">Aktualizēt individuālās mēnešalgas noteikšanas kārtību vienāda un konkurētspējīga atalgojuma nodrošināšanai, lai pēc pievienošanas VTEB tiesu ekspertiem tiktu nodrošināts vienāds un konkurētspējīgs atalgojums.</w:t>
            </w:r>
            <w:r w:rsidR="00000000" w:rsidRPr="00000000" w:rsidDel="00000000">
              <w:rPr>
                <w:rtl w:val="0"/>
              </w:rPr>
              <w:t xml:space="preserve">". Lūdzam skaidrot, kas saprotams ar terminu "atalgojums", ņemot vērā, ka likumos nav sniegts termina "atalgojums" tvērums un tas pamatā tiek lietots Ministru kabineta 2005. gada 27. decembra noteikumos Nr. 1031 "Noteikumi par budžetu izdevumu klasifikāciju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detalizētiem aprēķiniem un skaidrojumu, kā veidojas izdevumi atlīdzībai 2026.gada II pusgadam un attiecīgi 2027.gadam un turpmākajiem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25-TA-2213</w:t>
    </w:r>
    <w:r>
      <w:br/>
    </w:r>
    <w:r w:rsidR="00000000" w:rsidRPr="00000000" w:rsidDel="00000000">
      <w:rPr>
        <w:rtl w:val="0"/>
      </w:rPr>
      <w:t xml:space="preserve">13.02.2026. 16.18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25-TA-2213</w:t>
    </w:r>
    <w:r>
      <w:br/>
    </w:r>
    <w:r w:rsidR="00000000" w:rsidRPr="00000000" w:rsidDel="00000000">
      <w:rPr>
        <w:rtl w:val="0"/>
      </w:rPr>
      <w:t xml:space="preserve">13.02.2026. 16.18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Izziņa_25-TA-2213.docx</dc:title>
</cp:coreProperties>
</file>

<file path=docProps/custom.xml><?xml version="1.0" encoding="utf-8"?>
<Properties xmlns="http://schemas.openxmlformats.org/officeDocument/2006/custom-properties" xmlns:vt="http://schemas.openxmlformats.org/officeDocument/2006/docPropsVTypes"/>
</file>