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25-TA-1334: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līdzfinansējuma nodrošināšanu projekta CYCERONE ieviešanai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līdzfinansējuma nodrošināšanu projekta CYCERONE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ietverto IZM izvērtējumu par RTU veiktajām aktivitātēm projekta CYCERONE ietvaros, vēršam uzmanību, ka plānoto aktivitāšu atbilstību Eiropas Komisijas 2022. gada 28. oktobra paziņojuma "Pētniecībai, izstrādei un inovācijai piešķiramā valsts atbalsta nostādnes" (turpmāk - Pamatnostādnes) 20. punktā minētajām darbībām ir jāvērtē tikai tad, ja projektam ir pētniecības mērķis. Taču no Informatīvajā ziņojumā ietvertās informācijas ir secināms, ka projekta ietvaros RTU veiks jaunu un esošo studiju kursu izstrādi vai pilnveidi, un pieslēgšanās organizēšanu ar mācībām saistītai platformai, proti, projektam ir izglītības mērķis. Attiecīgi lūdzam papildināt ziņojumu ar informāciju, vai RTU ar izglītības mērķi veiktām aktivitātēm projekta CYCERONE ietvaros nav saimnieciska rakstura, vienlaikus dzēšot secinājumu, ka projektā plānotajām darbībām nav saimnieciska rakstura, jo tās atbilst Pamatnostādņu 20. punkta (a) apakšpunkta (i) un (iii) rindkopā noteiktajam, kas attiecināms uz pētniecības mērķi. Skaidrojam, ka saskaņā ar Eiropas Savienības Tiesu praksi un Eiropas Komisijas skaidrojumiem, valsts izglītības sistēmas ietvaros nodrošinātā valsts izglītība, ko pārsvarā finansē un uzrauga valsts, var tikt uzskatīta par nesaimniecisko darbību. Līdz ar to, piešķirot atbalstu izglītības pasākumiem valsts izglītības sistēmas ietvaros, ja maksu par izglītības pakalpojumu ir plānots piemērot, jāvērtē, vai ieņēmumi no maksas par pakalpojumu nepārsniegs 50% no kopējiem izdevumiem. Tikai tādā gadījumā, ja ieņēmumi no maksas par pakalpojumu nepārsniegs 50% no kopējiem izdevumiem, varēs secināt, ka atbalsts attiecīgajam subjektam netiks piešķirts saimniecisku darbību veikšanai, t.sk. atbalsta pasākums tālāk nav jāvērtē atbilstoši Komercdarbības atbalsta kontroles likuma 5.pantā minētajām komercdarbības atbalsta pazīmēm un līdz ar to nav jāpiemēro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vienlaikus lūdzam papildināt Informatīvo ziņojumu arī ar skaidrojumu par RTU ieņēmumu un izdevumu apjomu, lai varētu pieņemt, ka tam piešķirtais publiskais finansējums ir attiecināms uz darbībām izglītības jomā, kurām nav saimnieciska rakstura un atbalsta piešķiršanā nav jāievēro komercdarbības atbalsta regulējuma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svītrota atsauce uz Eiropas Komisijas 2022. gada 28. oktobra paziņojuma "Pētniecībai, izstrādei un inovācijai piešķiramā valsts atbalsta nostādnes" (turpmāk - Pamatnostādnes) 20.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atsauci uz Eiropas Komisijas “Paziņojuma par Līguma par Eiropas Savienības darbību 107. panta 1. punktā minēto valsts atbalsta jēdzienu” (OV, 2016. gada 19.jūlijs, Nr. C262)[1] 31.punktu un informāciju par veikto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informāciju par RTU studējošajiem par valsts budžeta līdzekļiem vai maksu par pēdējiem 3 kalendārajiem gadiem, kas liecina, ka RTU dominē izglītība, ko sniedz par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informāciju par RTU 2024.gada pārskata datiem, kas liecina, ka  RTU kopējie ieņēmumi 2024.gadā bija 118 419 445 Euro, no tiem 24 146 417 (20,4%) bija pašu ieņēmumi, kas liecina, ka RTU ir pārsvarā no publiskiem līdzekļiem finansēta augstskola un zinātniskā institūcija.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https://eur-lex.europa.eu/legal-content/LV/TXT/PDF/?uri=CELEX:52016XC0719(05)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līdzfinansējuma nodrošināšanu projekta CYCERONE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2.punktā (Informācija par projektu Cycerone) minēto, ka </w:t>
            </w:r>
            <w:r w:rsidR="00000000" w:rsidRPr="00000000" w:rsidDel="00000000">
              <w:rPr>
                <w:i w:val="1"/>
                <w:rtl w:val="0"/>
              </w:rPr>
              <w:t xml:space="preserve">projekta iecerei dubulta finansējuma riska nav un CYCERONE projekta aktivitātes saturiski nepārklājas ar citām iniciatīvām un citiem RTU īstenotiem projektiem</w:t>
            </w:r>
            <w:r w:rsidR="00000000" w:rsidRPr="00000000" w:rsidDel="00000000">
              <w:rPr>
                <w:rtl w:val="0"/>
              </w:rPr>
              <w:t xml:space="preserve">, aicinām IZM skaidrot demarkāciju ar  ESIF 2021-2027.gada perioda 1.1.2.1. pasākumu "RIS3 industriālās prasmes", kura ietvaros plānots atbalsts kiberdrošības prasmju attīstībai, iekļaujot aprakstu informatīvajā ziņojumā. 1.1.2.1. pasākuma ietvaros plānota licencētas un akreditēta maģistra studiju programmas izstrāde  ar specializāciju kiberdrošības un mākslīgā intelekta tehnoloģiju izmantošanā, paredzēti apmācību moduļi un profesionālās pilnveides izglītības programmu piedāvājums, kā arī kiberdrošības prasmju apmācības, t.sk. 1.1.2.1.pasākuma ietvaros RTU ir iekļauts kā sadarbības partneris. Arī Cycerone projektā ir plānots gan izstrādāt jaunus, gan pilnveidot esošos studiju kursus, gan nodrošināt bezmaksas kiberdrošības apmācības visiem interesentiem.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sagatavojusi Ministru kabineta noteikumu projektu "Eiropas Savienības kohēzijas politikas programmas 2021.–2027. gadam 1.1.2. specifiskā atbalsta mērķa “Prasmju attīstīšana viedās specializācijas,  industriālās pārejas un uzņēmējdarbības veicināšanai” 1.1.2.1. pasākuma "RIS3 industriālās prasmes" (tiesību akta projekts 25-TA-274, turpmāk – RIS3 noteikumu projekts)[1]. RIS3 Noteikumu projektā paredzēts, ka “projekta iesniedzējs pasākuma ietvaros ir zinātnes universitāte - Latvijas Universitāte, kas pēc tam, kad ir apstiprināts projekta iesniegums, ir finansējuma saņēmējs. Finansējuma saņēmējs projekta īstenošanā iesaista sadarbības partneri, zinātnes universitāti  - Rīgas Tehnisko universitāti”.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šāds 1.1.2.1. pasākuma "RIS3 industriālās prasmes" projekts ar RTU kā partneri tiks apstiprināts, lai nodrošinātu projektu rezultātu nepārklāšanos, RTU projektu vadības ietvaros nodrošinās katra projekta nodevumu ekspertīzi un salīdzināšanu, lai nodrošinātu pareizu katra projekta nodevumu nodalīšanu, novēršot dubulta finansējuma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https://vktap.mk.gov.lv/legal_acts/headers/baee894f-a7b1-4e84-836a-ba68cdad34ed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līdzfinansējuma nodrošināšanu projekta CYCERONE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ziņojumā sniegtajai informācijai </w:t>
            </w:r>
            <w:r w:rsidR="00000000" w:rsidRPr="00000000" w:rsidDel="00000000">
              <w:rPr>
                <w:i w:val="1"/>
                <w:rtl w:val="0"/>
              </w:rPr>
              <w:t xml:space="preserve">"</w:t>
            </w:r>
            <w:r w:rsidR="00000000" w:rsidRPr="00000000" w:rsidDel="00000000">
              <w:rPr>
                <w:i w:val="1"/>
                <w:u w:val="single"/>
                <w:rtl w:val="0"/>
              </w:rPr>
              <w:t xml:space="preserve">Projekts CYCERONE tika uzsākts 2025. gada 1. janvārī</w:t>
            </w:r>
            <w:r w:rsidR="00000000" w:rsidRPr="00000000" w:rsidDel="00000000">
              <w:rPr>
                <w:i w:val="1"/>
                <w:rtl w:val="0"/>
              </w:rPr>
              <w:t xml:space="preserve">, un tas tiks pabeigts 2027. gada 31. decembrī </w:t>
            </w:r>
            <w:r w:rsidR="00000000" w:rsidRPr="00000000" w:rsidDel="00000000">
              <w:rPr>
                <w:rtl w:val="0"/>
              </w:rPr>
              <w:t xml:space="preserve">[..]". Taču atbilstoši Likuma par budžetu un finanšu vadību 24. panta trešajai daļai budžeta iestādes var uzņemties papildu valsts budžeta ilgtermiņa saistības vienīgi Eiropas Savienības politikas instrumentu un pārējās ārvalstu finanšu palīdzības līdzfinansētos projektos un pasākumos, ja pieņemts attiecīgs Ministru kabineta lēmums, bet no informatīvā ziņojuma noprotams, ka projektu īstenošana jau ir sākusies un atbilstība Likuma par budžetu un finanšu vadību 24. pantam nav skaidrota vispār. Ja līguma īstenošana uzsākta pirms tam, kad atbilstoši Likuma par budžetu un finanšu vadību 24. panta trešajai daļai ir pieņemts attiecīgs Ministru kabineta lēmums, lūdzam papildināt skaidrojumus ar to, kā tiek nodrošināta projekta īstenošanas atbilstība nacionālajām tiesību normām.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informatīvajā ziņojumā norādīts, ka "</w:t>
            </w:r>
            <w:r w:rsidR="00000000" w:rsidRPr="00000000" w:rsidDel="00000000">
              <w:rPr>
                <w:i w:val="1"/>
                <w:rtl w:val="0"/>
              </w:rPr>
              <w:t xml:space="preserve">ir noslēgts granta līgums starp Eiropas Veselības un digitālo izpildaģentūru un projekta koordinatoru EIT DIGITAL (EITD), un projekta CYCERONE partneriem</w:t>
            </w:r>
            <w:r w:rsidR="00000000" w:rsidRPr="00000000" w:rsidDel="00000000">
              <w:rPr>
                <w:rtl w:val="0"/>
              </w:rPr>
              <w:t xml:space="preserve">", no kuriem viens ir arī Rīgas Tehniskā universitāte, bet nav norādīts, piemēram, kad līgums noslēgts un kādas ir no tā izrietošās Rīgas Tehniskās universitātes saistības. Attiecīgi lūdzam papildināt informatīvo ziņojumu, norādot izvērstāku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Granta līgums starp projekta konsorcija vadošo partneri un izpildaģentūru tika parakstīts 04.12.2024. Konsorcija līgums starp projekta vadošo partneri un RTU tika parakstīts 05.06.2025. Pēc konsorcija līguma parakstīšanas RTU var saņemt avansu (ES budžeta finansējuma daļu), pēc tam, kad konsorcija līgumu būs parakstījuši visi partneri. Līdz avansa saņemšanai RTU neīsteno projektu, bet veic tikai projekta ieviešanas sagatavošanas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līdzfinansējuma nodrošināšanu projekta CYCERONE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informatīvo ziņojumu, nodrošinot korektas atsauces uz nacionālajiem tiesību aktiem. Proti, ievērojot Ministru kabineta 2009.gada 3.februāra noteikumu Nr.108 "Normatīvo aktu projektu sagatavošanas noteikumi" 3.7. apakšnodaļas nosacījumus un formulējot atsauces, ievērojot šādu atsauču formu: Ministru kabineta 2003.gada 16.septembra noteikumi Nr.528 “Izglītības un zinātnes ministrijas nolikums”, kā arī norādot, piemēram, uz Latvijas kiberdrošības stratēģiju 2023.-2026. gadam, iesakām minēt, ka tā apstiprināta ar Ministru kabineta 2023. gada 28. marta rīkojumu Nr. 158 "Par Latvijas kiberdrošības stratēģiju 2023.–2026.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precizētas.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normatīvajos aktos noteiktajā kārtībā iesniegt Finanšu ministrijā pieprasījumu finansējuma pārdalei no valsts budžeta 74. resora “Gadskārtējā valsts budžeta izpildes procesā pārdalāmais finansējums” programmas 80.00.00 "Nesadalītais finansējums Eiropas Savienības politiku instrumentu un pārējās ārvalstu finanšu palīdzības līdzfinansēto projektu un pasākumu īstenošanai" uz Izglītības un zinātnes ministrijas valsts budžeta apakšprogrammu 70.06.00 “Dalība Eiropas Savienības pētniecības un tehnoloģiju attīstības programmās” Rīgas Tehniskajai universitātei Eiropas Savienības programmas “Digitālā Eiropa” projekta CYCERONE īstenošanai 185 110 euro apmērā, no tā 2025.gadā  39 412 euro, 2026.gadā – 84 887 euro, 2027.gadā – 60 811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sēdes protokollēmuma projekta 3.punktu, izsakot to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precizējama arī informatīvā ziņojuma 3.sadaļā "Priekšlikumi turpmākai rīcībai" iekļautā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šī protokollēmuma 2.punktā minēto valsts budžeta līdzfinansējumu Eiropas Savienības programmas “Digitālā Eiropa” projekta CYCERONE īstenošanai, Izglītības un zinātnes ministrijai normatīvajos aktos noteiktā kārtībā iesniegt Finanšu ministrijā valsts budžeta līdzekļu pārdales pieprasījumu no 74.resora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valsts budžeta programmas 70.00.00 "Citu Eiropas Savienības politiku instrumentu projektu un pasākumu īstenošana" apakšprogrammu 70.06.00. "Dalība Eiropas Savienības pētniecības un tehnoloģiju attīstības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šī protokollēmuma 2.punktā minēto valsts budžeta līdzfinansējumu Eiropas Savienības programmas “Digitālā Eiropa” projekta CYCERONE īstenošanai, Izglītības un zinātnes ministrijai normatīvajos aktos noteiktā kārtībā iesniegt Finanšu ministrijā valsts budžeta līdzekļu pārdales pieprasījumu no 74.resora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valsts budžeta programmas 70.00.00 "Citu Eiropas Savienības politiku instrumentu projektu un pasākumu īstenošana" apakšprogrammu 70.06.00. "Dalība Eiropas Savienības pētniecības un tehnoloģiju attīstības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25-TA-1334</w:t>
    </w:r>
    <w:r>
      <w:br/>
    </w:r>
    <w:r w:rsidR="00000000" w:rsidRPr="00000000" w:rsidDel="00000000">
      <w:rPr>
        <w:rtl w:val="0"/>
      </w:rPr>
      <w:t xml:space="preserve">29.07.2025. 10.45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25-TA-1334</w:t>
    </w:r>
    <w:r>
      <w:br/>
    </w:r>
    <w:r w:rsidR="00000000" w:rsidRPr="00000000" w:rsidDel="00000000">
      <w:rPr>
        <w:rtl w:val="0"/>
      </w:rPr>
      <w:t xml:space="preserve">29.07.2025. 10.45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Izziņa_25-TA-1334.docx</dc:title>
</cp:coreProperties>
</file>

<file path=docProps/custom.xml><?xml version="1.0" encoding="utf-8"?>
<Properties xmlns="http://schemas.openxmlformats.org/officeDocument/2006/custom-properties" xmlns:vt="http://schemas.openxmlformats.org/officeDocument/2006/docPropsVTypes"/>
</file>