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23-TA-2551: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izdošanas pamatā atsauci uz Eiropas Savienības fondu 2021.-2027. gada plānošanas perioda vadības likuma 19. panta 6. punktu, ņemot vērā, ka noteikumu projekts neparedz vienkāršoto izmaksu piemērošanas nosacījumus un kārtību. Papildus lūdzam atbilstoši precizēt noteikuma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noteikumu projekta anotācijā dzēsta atsauce uz Eiropas Savienības fondu 2021. - 2027. gada plānošanas perioda vadības likuma 19. panta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 — 2027. gada plānošanas perioda vadības likuma 19. panta 13.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Pasākums veicina 4.1.1.1. pasākuma “Ārstniecības iestāžu infrastruktūras attīstība” visu kārtu ietvaros kopējā iznākuma rādītāja "jaunu vai modernizētu veselības aprūpes iestāžu kapacitāte” sasniegšanu, nodrošinot, ka līdz 2029. gada 31. decembrim izveidotās vai uzlabotās veselības aprūpes iestādes vismaz vienu reizi gada laikā apmeklēs 3 719 657 iedzīvotāji.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9. punktā rādītāja "jaunu vai modernizētu veselības aprūpes iestāžu kapacitāte” vērtību 4.1.1.1.pasākuma "Ārstniecības iestāžu infrastruktūras attīstība" (turpmāk - 4.1.1.1.pasākums) 3 687 497 iedzīvotāji, atbilstoši jaunākajam rādītāju sadalījumam, ko Veselības ministrija (turpmāk – VM) iesniedza Vadošajai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šajā noteikumu projekta punktā izdalīt 4.1.1.1.pasākuma 2.kārtai sasniedzamo vērtību, līdzīgi kā tas ir izdarīts pie 4.1.1.1.pasākuma 1.kārtas īstenošanas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arī precizēt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Pasākums veicina 4.1.1.1. pasākuma “Ārstniecības iestāžu infrastruktūras attīstība” visu kārtu ietvaros kopējā iznākuma rādītāja "jaunu vai modernizētu veselības aprūpes iestāžu kapacitāte” sasniegšanu, nodrošinot, ka līdz 2029. gada 31. decembrim izveidotās vai uzlabotās veselības aprūpes iestādes vismaz vienu reizi gada laikā apmeklēs 3 687 497 iedzīvotāji, tai skaitā pasākuma ietvaros – 1 081 157 personas gadā.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rezultāta rādītājs ir “personu skaits gadā, kuras izmanto jaunas vai modernizētas veselības aprūpes iestādes pakalpojumus”, nodrošinot, ka līdz 2029. gada 31. decembrim 1 187 622 personas gadā izmanto jaunas vai modernizētas veselības aprūpes iestādes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10. punktā rezultāta rādītāja "Personu skaits, kas izmanto jaunas vai modernizētas veselības aprūpes iestādes pakalpojumus, gadā” vērtību 4.1.1.1.pasākuma 2.kārtai 1 189 368 personas, atbilstoši jaunākajam rādītāju sadalījumam, ko VM iesniedz Vadošajai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arī precizēt anotācijas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rezultāta rādītājs ir “personu skaits gadā, kuras izmanto jaunas vai modernizētas veselības aprūpes iestādes pakalpojumus”, nodrošinot, ka līdz 2029. gada 31. decembrim 982 870 personas gadā izmanto jaunas vai modernizētas veselības aprūpes iestādes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komercdarbības atbalsta piešķiršanas dienu ir uzskatāma diena, kad sadarbības iestāde sniedz atzinumu par projekta apstiprināšanu vai projekta apstiprināšanu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19.punktu pēc būtības, ņemot vērā, ka  projektiem atbalstu piešķir dienā, kad sadarbības iestāde sniedz lēmumu par projekta apstiprināšanu vai sniedz atzinumu par nosacījumu izpildi, attiecīgi precizējot minēto informāciju arī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komercdarbības atbalsta piešķiršanas dienu ir uzskatāma diena, kad sadarbības iestāde sniedz lēmumu par projekta apstiprināšanu vai sniedz atzinumu par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projektam pievieno apliecinājumu, ka attiecībā uz to nepastāv Maksātnespējas likumā noteiktie ierobežojumi tiesiskās aizsardzības procesa lietas ierosināšanai un pasludināšanai un finansējuma saņēmējam nekad nav bijusi ierosināta maksātnespējas procesa lieta.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un pamatot finansējuma saņēmējam noteikto ierobežojumu, t.i. aizliegumu pretendēt uz atbalsta saņemšanu, ja pret fiansējuma saņēmēju ir tikusi ierosināta maksātnespējas procesa lieta (projekta iesniegšanas brīdī fiansējuma saņēmējs ir maksātspējīgs).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projektam pievieno apliecinājumu, ka attiecībā uz to nepastāv Maksātnespējas likumā noteiktie ierobežojumi tiesiskās aizsardzības procesa lietas ierosināšanai un pasludināšanai un finansējuma saņēmējam nav ierosināta maksātnespējas procesa lieta.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kas pēc sadarbības iestādes lēmuma par projekta iesnieguma apstiprināšanu kļūst par finansējuma saņēmēju, pasākuma ietvaros ir ārstniecības iestāde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minēto informāciju, ka diviem finansējuma saņēmējiem (Saldus medicīnas centrs, Priekules slimnīca) kopējās projekta izmaksas būs mazākas par 200 000 EUR un šajā pasākumā tiek piešķirts finansējuma saņēmējiem komercdarbības atbalsts, lūdzam papildināt anotāciju ar informāciju, ka šajā pasākumā neizpildās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53.panta 2.punkta nosacījumi, kas paredz, ka projektos līdz 200 000 EUR (ieskaitot) visām izmaksām jābūt segtām, piemērojot vienkāršotās izmaksas, izņemot darbības, kurām atbalsts kvalificējams kā komercdarbības (izņemot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kas pēc sadarbības iestādes lēmuma par projekta iesnieguma apstiprināšanu kļūst par finansējuma saņēmēju, pasākuma ietvaros ir ārstniecības iestāde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paredz, ka attiecināmas ir„ normatīvajos aktos noteiktās piemaksas un nodokļi.” Atbilstoši juridiskās tehnikas prasībām tiesību normai ir jābūt skaidrai, lai tās lietotājs un piemērotājs gūtu nepārprotamu priekšstatu par saviem pienākumiem un tiesībām. Līdz ar to noteikumu projekta 29. 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projekta vadības un īstenošanas personāla izmaksas, kas radušās uz darba līguma vai uzņēmuma līguma pamata, tai skaitā normatīvajos aktos nodarbinātības jomā noteiktās piemaksas un nodokļi,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un būvniecības jomu regulējošos normatīvajos aktos noteiktās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paredzēt attiecināmās izmaksas vides un informācijas piekļūstamības ekspertu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w:t>
            </w:r>
            <w:r w:rsidR="00000000" w:rsidRPr="00000000" w:rsidDel="00000000">
              <w:rPr>
                <w:b w:val="1"/>
                <w:rtl w:val="0"/>
              </w:rPr>
              <w:t xml:space="preserve">vides un informācijas piekļūstamības ekspertu konsultāciju </w:t>
            </w:r>
            <w:r w:rsidR="00000000" w:rsidRPr="00000000" w:rsidDel="00000000">
              <w:rPr>
                <w:rtl w:val="0"/>
              </w:rPr>
              <w:t xml:space="preserve">un būvniecības jomu regulējošos normatīvajos aktos noteiktās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vides un informācijas piekļūstamības ekspertu konsultāciju un būvniecības jomu regulējošos normatīvajos aktos noteiktās attiecīgo būvspeciālistu obligātās apdrošināšanas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izmaksas ir attiecināmas, ja tās atbilst šajos noteikumos minētajām izmaksu pozīcijām un ir radušās ne agrāk par 2021.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paredzēts attiecināt izmaksas, kas radušās pirms noteikumu projekta apstiprināšanas vai līgumu noslēgšanas brīža, tad norādām, ka nedrīkst attiecināt jau pabeigtas darbības (t.i., piemēram, būvdarbi nedrīkst būt nodoti ekspluatācijā). Attiecīgi lūdzam papildināt noteikumu projekta 38. punktu, kā arī lūdzam papildināt anotāciju ar skaidrojumu, kāpēc izmaksas ir attiecināmas pirms noteikumu projekta apstiprināšanas vai līgumu noslēgšanas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noteikumu projekta 38.punktā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izmaksas ir attiecināmas, ja tās atbilst šajos noteikumos minētajām izmaksu pozīcijām un ir radušās ne agrāk par 2021. gada 1. janvāri. Projekta iesniegumā neiekļauj un finansējumu nepiešķir darbībām, kas pabeigtas pirms projekta iesnieguma iesniegšanas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44.2.2. veiktā vides un informācijas piekļūstamības pašnovērtējuma rezultāts, atbilstoši Labklājības ministrijas izstrādātajai metodikai un pašnovērtējumā iegūtais punktu skaits, aizpildot vides pieejamības pašnovērtējuma anketu (</w:t>
            </w:r>
            <w:r w:rsidR="00000000" w:rsidRPr="00000000" w:rsidDel="00000000">
              <w:rPr>
                <w:rtl w:val="0"/>
              </w:rPr>
              <w:t xml:space="preserve">https://www.lm.gov.lv/lv/vides-un-informacijas-pieklustamibas-pasnovertejums-saskana-ar-lbn-200-21</w:t>
            </w:r>
            <w:r w:rsidR="00000000" w:rsidRPr="00000000" w:rsidDel="00000000">
              <w:rPr>
                <w:rtl w:val="0"/>
              </w:rPr>
              <w:t xml:space="preserve">).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atbilstību HP vadlīnijās [1] noteiktajam, lūdzam salāgot uzraudzības rādītāja redakciju ar kritēriju vērtēšanas metodikā iekļauto  HP rādītāju redakciju, kuras šobrīd nesakrīt.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Veikto vides un informācijas piekļūstamības pašnovērtējumu skaits, atbilstoši LM izstrādātajai metodikai</w:t>
            </w:r>
            <w:r w:rsidR="00000000" w:rsidRPr="00000000" w:rsidDel="00000000">
              <w:rPr>
                <w:rtl w:val="0"/>
              </w:rPr>
              <w:t xml:space="preserve">. Finansējuma saņēmējam ir pienākums sniegt minēto informāciju, iesniedzot pēdējo maksājuma pieprasījumu par visu projekta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44.2.2. veikto vides un informācijas piekļūstamības pašnovērtējumu skaits atbilstoši Labklājības ministrijas izstrādātajai metodikai. Finansējuma saņēmējam, iesniedzot noslēguma maksājuma pieprasījumu, ir pienākums sniegt minēto informāciju par visu projekta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 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noteikumu projekts attiecināms uz infrastruktūru, tad noteikumu projektā iekļauj nosacījumu par </w:t>
            </w:r>
            <w:r w:rsidR="00000000" w:rsidRPr="00000000" w:rsidDel="00000000">
              <w:rPr>
                <w:u w:val="single"/>
                <w:rtl w:val="0"/>
              </w:rPr>
              <w:t xml:space="preserve">finansējuma saņēmēja</w:t>
            </w:r>
            <w:r w:rsidR="00000000" w:rsidRPr="00000000" w:rsidDel="00000000">
              <w:rPr>
                <w:rtl w:val="0"/>
              </w:rPr>
              <w:t xml:space="preserve"> tiesībām uz konkrēto objektu vai īpašumu, kurā plānots veikt ieguldījumus (īpašumā, ilgtermiņa nomā vai nodibinātas apbūves tiesības, bezatlīdzības lietošanā, valdījumā, turējumā u.c.). </w:t>
            </w:r>
            <w:r w:rsidR="00000000" w:rsidRPr="00000000" w:rsidDel="00000000">
              <w:rPr>
                <w:u w:val="single"/>
                <w:rtl w:val="0"/>
              </w:rPr>
              <w:t xml:space="preserve">Finansējuma saņēmēja</w:t>
            </w:r>
            <w:r w:rsidR="00000000" w:rsidRPr="00000000" w:rsidDel="00000000">
              <w:rPr>
                <w:rtl w:val="0"/>
              </w:rPr>
              <w:t xml:space="preserve"> tiesībām uz konkrēto objektu vai īpašumu jābūt nostiprinātām Zemesgrāmatā (ja šim nosacījumam saskaņā ar nacionālo regulējumu ir izņēmums, tas attiecīgi aprakstāms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44.8.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 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44.10. izveido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finansējuma saņēmējs ir privāto tiesību juridiskā persona, nevis publiskas personas institūcija, attiecībā uz finansējuma saņēmēju nav piemērojami Ministru kabineta 2017. gada 17. oktobra noteikumi Nr. 630 "Noteikumi par iekšējās kontroles sistēmas pamatprasībām korupcijas un interešu konflikta riska novēršanai publiskas personas institūcijā". Lūdzam atbilstoši precizēt noteikumu projekta 44.10.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44.10.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finansējuma saņēmēji (I - III līmeņa un pārējās slimnīcas)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1.1.apakšpunkts noteic, ka izstrādātie noteikumi paredzēs kārtību, kādā īsteno Eiropas Savienības Kohēzijas politikas programmas 2021. – 2027. gadam 4.1.1. specifiskā atbalsta mērķa "Nodrošināt vienlīdzīgu piekļuvi veselības aprūpei un stiprināt veselības sistēmu, tostarp primārās veselības aprūpes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Kohēzijas politikas programmas 2021. – 2027. gadam specifiskā atbalsta mērķa nosaukuma noprotams, ka tā vērsta uz vienlīdzīgas piekļuves veselības aprūpei  nodrošināšanu, kā arī norādīts Noteikumu projekta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pielikumā ietverto finansējuma sadalījumu slimnīcām, diemžēl secināms, ka Veselības ministrija nav ņēmusi vērā apstākli, ka SIA “Balvu un Gulbenes slimnīcu apvienība” nodrošina veselības aprūpi divu novadu iedzīvotājiem un ir lokalizēta divās fiziskās vietās – Balvos, Vidzemes ielā 2 un Gulbenē Upes ielā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Balvos, Vidzemes ielā 2 tiek nodrošināta projekta 28.1.apakšpunktā minētā veselības aprūpe – sekundārā ambulatorā veselības aprūpe, uzņemšanas nodaļas darbība, stacionārā veselības aprūpe, tai skaitā nodrošināta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Gulbenē, Upes ielā 1 tiek nodrošināta sekundārā ambulatorā veselības aprūpe, steidzamās medicīniskās palīdzības punkta darbība un stacionārā veselības aprūpe aprūpes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“Balvu un Gulbenes slimnīcu apvienība” sniegtā veselības aprūpe Gulbenē atbilst projekta 28.3.apakšpunktā minētajās Pārējās slimnīcās sniegtajai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un Gulbenes slimnīcu apvienība”  lūdz papildināt noteikumus un iekļaut finansējumu arī SIA “Balvu un Gulbenes slimnīcu apvienība” veselības aprūpes infrastruktūrai Gulbenē, Upes ielā 1, lai nodrošinātu vienlīdzīgu piekļuvi veselības aprūpei un stiprinātu veselības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 saņemts atkārtots Latvijas Pašvaldību savienības atzinums, ka noteikumu projekts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otrās kārtas finansējuma saņēmēji (I - III līmeņa un pārējās slimnīcas) un finansējuma sadalījums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plānā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 iekļaujot specifiskās un vispārīgās horizontālā principa “Vienlīdzība, iekļaušana, nediskriminācija un pamattiesību ievērošana” darbības, atbilstoši 26.10.2023 AK saskaņotajai vērtēšanas kritēriju piemērošanas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ietvaros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ka informācija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-projektēšanas laikā un pirms objekta nodošanas ekspluatācijā publiskajai infrastruktūrai tiks veikts vides un informācijas piekļūstamības pašnovērtējums un iegūto punktu skaits nav zemāks par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būvnormatīvā LBN 200-21 noteiktajam, projekta ietvaros tiks īstenotas labās prakses darbības, kas īpaši veicina vides piekļūstamību cilvēkiem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dzimumu līdztiesību aprakstu atbilstoši LM/TM vadlīnijām [1], iekļaujotispārīgās horizontālā principa "Vienlīdzība, iekļaušana, nediskriminācija un pamattiesību ievērošana" darbības, atbilstoši 26.10.2023 AK saskaņotajai vērtēšanas kritēriju piemērošanas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vīriešiem tiks nodrošināta vienāda samaksa par vienādas vērtības darbu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komunikācijas aktivitātes, tiks izvēlēta valoda un vizuālie tēli, kas mazina diskrimināciju un stereotipu veidošanos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2.punktu pasākuma projektu iesniegumu atlasi īsteno ierobežotas projektu iesniegumu atlases veidā.  Līdz ar ko projekta iesnieguma vērtēšanas kritērijs par  horizontālā principā "Vienlīdzība, iekļaušana, nediskriminācija un pamattiesību ievērošana" īstenošanu defilējams kā specifiskas atbilstības kritērijs un punktus par to nepiešķir. Lūdzam labot teksta daļu, kurā atrunāts projektu iesniegumu vērtēšanas kritērija veids.</w:t>
            </w:r>
            <w:r w:rsidR="00000000" w:rsidRPr="00000000" w:rsidDel="00000000">
              <w:rPr>
                <w:i w:val="1"/>
                <w:rtl w:val="0"/>
              </w:rPr>
              <w:t xml:space="preserve"> Projektu iesniegumu vērtēšanā tiks piemērots kvalitātes rādītājs horizontālajam principam “Vienlīdzība, iekļaušana, nediskriminācija un pamattiesību ievērošana”, kura izpilde vērtēšanā dod projektam papildu punktus, kas veicinās tādu projektu atlasi, kuri sniegs ieguldījumu horizontālā principa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tiks īstenots ierobežotas projektu iesniegumu atlases veidā. Projektu iesniegumu vērtēšanā tiks piemērots </w:t>
            </w:r>
            <w:r w:rsidR="00000000" w:rsidRPr="00000000" w:rsidDel="00000000">
              <w:rPr>
                <w:b w:val="1"/>
                <w:rtl w:val="0"/>
              </w:rPr>
              <w:t xml:space="preserve">horizontālā principa “Vienlīdzība, iekļaušana, nediskriminācija un pamattiesību ievērošana”  specifiskais atbilstības 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atbalsta veids ir grants (dotācija) ar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 punktā vārdus "ar nosacījumiem", jo noteikumu projekts tādus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atbalsta veids ir grants (dotācija).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atbilstoši normatīvajiem aktiem par veselības aprūpes organizēšanu un samaksu ir noslēdzis ar Nacionālo veselības dienestu (turpmāk – pilnvarojuma uzlicējs) deleģēšanas līgumu par sabiedrisko pakalpojumu sniegšanu. Līgumā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atbalsta programmas ietvaros ir plānots sniegt atbalstu saskaņā ar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kā arī to, ka nacionāli ar jēdzienu "sabiedriskie pakalpojumi" tiek saprasti pakalpojumi, uz kuriem neattiecas vispārējas tautsaimnieciskas nozīmes pakalpojuma sniegšanas pienākums, aicinām 14. punktā aizstāt vārdus "par sabiedrisko pakalpojumu sniegšanu" ar vārdiem "par vispārējas tautsaimnieciskas nozīmes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arī 14. punkta apakšpunktos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atbilstoši normatīvajiem aktiem par veselības aprūpes organizēšanu un samaksu ir noslēdzis ar Nacionālo veselības dienestu (turpmāk – pilnvarojuma uzlicējs) deleģēšanas līgumu par vispārējas tautsaimnieciskas nozīmes pakalpojuma (turpmāk – sabiedriskie pakalpojumi) sniegšanu. Līgumā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tiek pārkāptas šajos noteikumos noteiktās komercdarbības atbalsta piešķiršanas prasības vispārējas tautsaimnieciskas nozīmes pakalpojuma sniegšanai, finansējuma saņēmējam ir pienākums atmaksāt atbalsta sniedzējam visu projekta ietvaros saņemto nelikumīgo komercdarbības atbalstu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kā arī mazinātu liekvārdību normā, lūdzam precizēt 16. punktu, dzēšot vārdu "visu".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tiek pārkāptas šajos noteikumos noteiktās komercdarbības atbalsta piešķiršanas prasības vispārējas tautsaimnieciskas nozīmes pakalpojuma sniegšanai, finansējuma saņēmējam ir pienākums atmaksāt atbalsta sniedzējam projekta ietvaros saņemto nelikumīgo komercdarbības atbalstu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komercdarbības atbalstu drīkst kumulēt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prasību ievērošanu, aicinām precizēt 18.punktu, papildinot ar vārdiem "tai skaitā"  pirms vārdiem "par vienām un tām pašām".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komercdarbības atbalstu drīkst kumulēt ar citu komercdarbības atbalstu, ko piešķir par pakalpojuma ar vispārēju tautsaimniecisku nozīmi sniegšanu, citas atbalsta programmas vai individuālā atbalsta projekta ietvaros, tai skaitā par vienām un tām pašām attiecināmajām izmaksām, ja pēc atbalstu apvienošanas atbalsta vienībai vai izmaksu pozīcijai attiecīgā maksimālā atbalsta intensitāte nepārsniedz 100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Prasības projekta iesniedzējam un projekta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V nodaļas nosaukumu un svītrot noteikumu projekta 25. punktu, jo </w:t>
            </w:r>
            <w:r w:rsidR="00000000" w:rsidRPr="00000000" w:rsidDel="00000000">
              <w:rPr>
                <w:u w:val="single"/>
                <w:rtl w:val="0"/>
              </w:rPr>
              <w:t xml:space="preserve">projekta vērtēšanas prasības</w:t>
            </w:r>
            <w:r w:rsidR="00000000" w:rsidRPr="00000000" w:rsidDel="00000000">
              <w:rPr>
                <w:rtl w:val="0"/>
              </w:rPr>
              <w:t xml:space="preserve"> izriet no horizontālā normatīvā regulējuma, tostarp Ministru kabineta 2023. gada 13. jūlija noteikumiem Nr. 408 "Kārtība, kādā Eiropas Savienības fondu vadībā iesaistītās institūcijas nodrošina šo fondu ieviešanu 2021.-2027. gada plānošanas periodā" (turpmāk – MK noteikumi Nr. 408), kā arī projekta atlases nolikuma.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Prasības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un sadarbības partnera (ja attiecināms) interešu konflikta neesību atbilstoši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23. punktu piedāvātajā redakcijā. Skaidrojam, ka nepieciešams noteikt, ka </w:t>
            </w:r>
            <w:r w:rsidR="00000000" w:rsidRPr="00000000" w:rsidDel="00000000">
              <w:rPr>
                <w:u w:val="single"/>
                <w:rtl w:val="0"/>
              </w:rPr>
              <w:t xml:space="preserve">projekta iesniedzējs paraksta interešu konflikta neesamības apliecinājumu</w:t>
            </w:r>
            <w:r w:rsidR="00000000" w:rsidRPr="00000000" w:rsidDel="00000000">
              <w:rPr>
                <w:rtl w:val="0"/>
              </w:rPr>
              <w:t xml:space="preserve">, lai nodrošinātu skaidru normas interpretāciju par noteikto pienākumu. Papildus vēršam uzmanību, ka </w:t>
            </w:r>
            <w:r w:rsidR="00000000" w:rsidRPr="00000000" w:rsidDel="00000000">
              <w:rPr>
                <w:rtl w:val="0"/>
              </w:rPr>
              <w:t xml:space="preserve">noteikumu projekts neparedz sadarbības partneru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ņemot vērā, ka finansējuma saņēmējs ir privāto tiesību juridiskā persona, rosinām precizēt norādi uz finansējuma saņēmēja pienākumu parakstīt interešu konflikta neesamības apliecinājumu </w:t>
            </w:r>
            <w:r w:rsidR="00000000" w:rsidRPr="00000000" w:rsidDel="00000000">
              <w:rPr>
                <w:u w:val="single"/>
                <w:rtl w:val="0"/>
              </w:rPr>
              <w:t xml:space="preserve">atbilstoši</w:t>
            </w:r>
            <w:r w:rsidR="00000000" w:rsidRPr="00000000" w:rsidDel="00000000">
              <w:rPr>
                <w:rtl w:val="0"/>
              </w:rPr>
              <w:t xml:space="preserve">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sidR="00000000" w:rsidRPr="00000000" w:rsidDel="00000000">
              <w:rPr>
                <w:u w:val="single"/>
                <w:rtl w:val="0"/>
              </w:rPr>
              <w:t xml:space="preserve">61. pantam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iesniedz to sadarbības iestādē, izmantojot Kohēzijas politikas fondu vadības informācijas sistēmu, tai skaitā paraksta interešu konflikta neesamības apliecinājumu, ievērojot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iesniedz to sadarbības iestādē, izmantojot Kohēzijas politikas fondu vadības informācijas sistēmu, tai skaitā paraksta interešu konflikta neesības apliecinājumu, ievērojot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vadības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27.1. apakšpunktu šādā redakcijā: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vadības un īstenošanas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projekta vadības personāla atlīdzības izmaksas, kas radušās uz darba līguma vai uzņēmuma līguma pamata, tai skaitā normatīvajos aktos noteiktās piemaksas un nodokļi,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regulā Nr. 2021/1060 lietoto terminoloģiju, vārdus "personāla atlīdzības izmaksām"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un arī anotācijā šo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projekta vadības un īstenošanas personāla izmaksas, kas radušās uz darba līguma vai uzņēmuma līguma pamata, tai skaitā normatīvajos aktos nodarbinātības jomā noteiktās piemaksas un nodokļi,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un būvniecības jomu regulējošos normatīvajos aktos noteiktās attiecīgo būvspeciālistu obligātās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MK noteikumu 30.1.apakšpunktu ar informāciju par vides piekļūstamības ekspertu konsultāciju nodrošināšanu, ņemot vērā, ka horizontālā principa ”Vienlīdzība, iekļaušana, nediskriminācija un pamattiesību ievērošana”  īstenošanas ietvaros jāparedz  vismaz trīs specifiskās darbības,  kas izriet no pasākuma atbalstāmo darbību un projekta satura un kas īpaši veicina vides un informācijas piekļūstamību personām ar kustību, redzes, dzirdes vai garīga rakstura traucējumiem, vecāka gadagājuma cilvēkiem un vecākiem ar maziem bērniem, t.sk. var paredzēt HP darbību -  projekta ietvaros nodrošināt vides piekļūstamības ekspertu konsultācijas, tās paredzot projektēšanas un būvniecības procesā (attiecīgi pievienojot dokumentus, piem. konsultāciju protokolus u.c.). Saskaņot minēto informāciju MK noteikumu anotācijas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vides un informācijas piekļūstamības ekspertu konsultāciju un būvniecības jomu regulējošos normatīvajos aktos noteiktās attiecīgo būvspeciālistu obligātās apdrošināšanas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noteikumu </w:t>
            </w:r>
            <w:r w:rsidR="00000000" w:rsidRPr="00000000" w:rsidDel="00000000">
              <w:rPr>
                <w:rtl w:val="0"/>
              </w:rPr>
              <w:t xml:space="preserve">30.</w:t>
            </w:r>
            <w:r w:rsidR="00000000" w:rsidRPr="00000000" w:rsidDel="00000000">
              <w:rPr>
                <w:rtl w:val="0"/>
              </w:rPr>
              <w:t xml:space="preserve"> , </w:t>
            </w:r>
            <w:r w:rsidR="00000000" w:rsidRPr="00000000" w:rsidDel="00000000">
              <w:rPr>
                <w:rtl w:val="0"/>
              </w:rPr>
              <w:t xml:space="preserve">32.</w:t>
            </w:r>
            <w:r w:rsidR="00000000" w:rsidRPr="00000000" w:rsidDel="00000000">
              <w:rPr>
                <w:rtl w:val="0"/>
              </w:rPr>
              <w:t xml:space="preserve"> ​​​​​​​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 minētās izmaksas veido projekta pārējās tiešās attiecināmās izmaksas. Šīs piegāžu un pakalpojumu izmaksas ir attiecināmas, ja tās radušās, ievērojot publisko iepirkumu jomu regulējošos normatīvos aktus, izņemot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būvuzraudzības izmaksas, kuras ir saistītas ar projekta vadības un īstenošanas atlīdzības izmaksām un var tikt attiecinātas arī kā projekta tiešās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precizēt/skaidrot kā noteikumu projekta 30.1. apakšpunktā minētās būvuzraudzības izmaksas ir saistītas ar projekta vadības un īstenošanas atlīdzības izmaksām, ja projekta vadības un īstenošanas atlīdzības izmaksas ir uzskaitītas noteikumu projekta 29. punktā. Ja nepieciešams, lūdzam precizēt noteikumu projekta 30.1. apakšpunktu, vai iekļaut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dzēsta teikuma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noteikumu </w:t>
            </w:r>
            <w:r w:rsidR="00000000" w:rsidRPr="00000000" w:rsidDel="00000000">
              <w:rPr>
                <w:rtl w:val="0"/>
              </w:rPr>
              <w:t xml:space="preserve">30.</w:t>
            </w:r>
            <w:r w:rsidR="00000000" w:rsidRPr="00000000" w:rsidDel="00000000">
              <w:rPr>
                <w:rtl w:val="0"/>
              </w:rPr>
              <w:t xml:space="preserve"> ,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izmaksas veido projekta pārējās tiešās attiecināmās izmaksas. Šīs piegāžu un pakalpojumu izmaksas ir attiecināmas, ja tās radušās, ievērojot publisko iepirkumu jomu regulējošos normatīvos aktus.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Pievienotās vērtības nodokļa maksājumi, kas tiešā veidā saistīti ar projektu, ir attiecināmās izmaksas, ja finansējuma saņēmējs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37.punktu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Pievienotās vērtības nodoklis, kas tiešā veidā saistīts ar projektu, uzskatāms par attiecināmām izmaksām saskaņā ar regulas Nr. 2021/1060 64. panta 1. punkta “c” 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Pievienotās vērtības nodoklis, kas tiešā veidā saistīts ar projektu, uzskatāms par attiecināmām izmaksām saskaņā ar regulas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izmaksas ir attiecināmas, ja tās atbilst šajos noteikumos minētajām izmaksu pozīcijām un ir radušās ne agrāk par 2021. gada 1. janvāri. Projektā neiekļauj darbības, kas ir pabeigtas līguma par projekta īstenošanu noslēgšanas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projekta 31.punkta otro teikumu šādā redakcijā: “Projekta iesniegumā neiekļauj un finansējumu nepiešķir darbībām, kas pabeigtas pirms projekta iesnieguma iesniegšanas sadarbības iestādē.”. Attiecīgi arī precizējot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Regulas 2021/1060 63.panta 6.punktu Darbības atbalsta saņemšanai no fondiem neatlasa, ja tās ir faktiski pabeigtas vai pilnībā īstenotas, </w:t>
            </w:r>
            <w:r w:rsidR="00000000" w:rsidRPr="00000000" w:rsidDel="00000000">
              <w:rPr>
                <w:u w:val="single"/>
                <w:rtl w:val="0"/>
              </w:rPr>
              <w:t xml:space="preserve">pirms ir iesniegts pieteikums par finansējumu atbilstoši programmai, neatkarīgi no tā, vai ir veikti visi saistītie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 punkts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Projekta izmaksas ir attiecināmas, ja tās atbilst šajos noteikumos minētajām izmaksu pozīcijām un ir radušās ne agrāk par 2021. gada 1. janvāri. Projekta iesniegumā neiekļauj un finansējumu nepiešķir darbībām, kas pabeigtas pirms projekta iesnieguma iesniegšanas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nodrošina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Nr. 2021/1060 47. pantu un 50. pantu un normatīvajiem aktiem par kārtību, kādā Eiropas Savienības struktūrfondu un Kohēzijas fonda ieviešanā 2021. – 2027. gada plānošanas periodā nodrošināma komunikācijas un vizuālās identitātes prasību ievērošana,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44.4. apakšpunktu pirms vārda "nodrošina" ar vārdiem "nodrošina dubultā finansējuma neiestāšanos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dubultā finansējuma neiestāšanās nodrošināma ne tikai attiecībā uz citiem finanšu instrumentiem, bet arī darbības konkrētam projektam piešķirtā finansējuma ietvaros nedrīkst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nodrošina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Nr. 2021/1060 47. pantu un 50. pantu un normatīvajiem aktiem par kārtību, kādā Eiropas Savienības struktūrfondu un Kohēzijas fonda ieviešanā 2021. – 2027. gada plānošanas periodā nodrošināma komunikācijas un vizuālās identitātes prasību ievērošana, kā arī ievēro Eiropas Savienības fondu 2021. – 2027. gada plānošanas perioda un Atveseļošanas fonda komunikācijas un dizaina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uzkrāj datus par faktiski sasniegtajiem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 minētajiem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pēc nepieciešamības precizēt informāciju, izvērtējot vai projekta iesniedzējs uzkrāj datus par MK noteikumu projekta 10.punktā minēto rādītāju, vai arī projekta līmenī tiek uzkrāti dati tikai par MK noteikuma projekta 9.punktā noteikto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skaidrojam, ka  finansējuma saņēmēja pienākums ir uzkrāt datus par 10.punktā noteikto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uzkrāj datus par faktiski sasniegto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papildināt anotācijas projektu sniedzot skaidrojumu, ka gadījumā, ja projektā netiek plānotas ar būvniecību saistītās darbības, finansējuma saņēmējam nav pienākums uzkrāt  datus par projekta ietekmi uz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skaitu, kuros ERAF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 atbilstoši LM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 anotācijas projekta svītrot informāciju, ka projektu iesniegumu vērtēšanā tiks piemērots kvalitātes rādītājs horizontālajam principam “Vienlīdzība, iekļaušana, nediskriminācija un pamattiesību ievērošana”, kura izpilde vērtēšanā dod projektam papildu punktus, kas veicinās tādu projektu atlasi, kuri sniegs ieguldījumu horizontālā principa mērķu sasniegšanā, jo projektu iesniegumu atlasi īsteno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Veselības ministrijas argumentiem, kāpēc šajā pasākumā ir ierobežotas iespējas izstrādāt vienkāršotās izmaksas un papildināt, ka Veselības ministrija projektu īstenošanas fāzē, kad būs veikti faktiski maksājumi un būs pieejami izejas dati par darbību izmaksām, izvērtēs vienkāršoto izmaksu izstrādes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“Pašreizējā situācija, problēmas un risinājumi” punkta “Risinājuma apraksts” otrajā tabulā novērst matemātisko neprecizitāti, jo, saskaitot finansējumu pa pozīcijām, veidojas 214 428 889 </w:t>
            </w:r>
            <w:r w:rsidR="00000000" w:rsidRPr="00000000" w:rsidDel="00000000">
              <w:rPr>
                <w:i w:val="1"/>
                <w:rtl w:val="0"/>
              </w:rPr>
              <w:t xml:space="preserve">euro</w:t>
            </w:r>
            <w:r w:rsidR="00000000" w:rsidRPr="00000000" w:rsidDel="00000000">
              <w:rPr>
                <w:rtl w:val="0"/>
              </w:rPr>
              <w:t xml:space="preserve">, nevis 295 972 099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4.1.1.1.pasākuma 2. kārtas ietvaros īstenotie projekti un minētās atbalstāmās darbības veicinās  Eiropas Savienības stratēģijā Baltijas jūras reģionam (ESSBJR) noteikto mērķu sasniegšanu. Kā arī anotācijā jānorāda, ka investīcijām piemērojams Makroreģionālā un jūras baseinu stratēģija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1.3. sadaļā "Pašreizējā situācija, problēmas un risinājumi" pie demarkācijas ar citiem finanšu instrumentiem nevajadzētu labāk norādīt  Atveseļošanas un noturības mehānisma plāna 4.1.1.3.i. investīciju "Atbalsts sekundāro ambulatoro pakalpojumu sniedzēju veselības aprūpes infrastruktūras stiprināšanai, lai nodrošinātu visaptverošu ilgtspējīgu integrētu veselības pakalpojumu, mazinātu infekciju slimību izplatību, epidemioloģisko prasību nodrošināšanā", kur finansējuma saņēmēji ir ārstniecības iestādes, kuras būs finansējuma saņēmēji 4.1.1.1.pasākuma 2.kārtā.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ka būvniecības procesā tiks nodrošinātas vides un informācijas piekļūstamības ekspertu konsultācijas, lai īpaši veicinātu vienlīdzīgas iespējas, nediskrimināciju un vides un informācijas piekļūstamību personām ar kustību, redzes, dzirdes vai garīga rakstura traucējumiem, senioriem un vecākiem ar maziem bērniem.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apakšsadaļā "Risinājuma apraksts" noteikto, ka sadarbības iestādei ir tiesības vienpusēji atkāpties no noslēgtā līguma par projekta īstenošanu gadījumos, kad finansējuma saņēmējs apzināti ir sniedzis sadarbības iestādei nepatiesu informāciju. Informējam, ka sadarbības iestādes tiesības vienpusēji atkāpties no līguma par projekta īstenošanu noteiktas MK noteikumu Nr. 408 35. punktā, un tajā šāds gadījums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sadaļas apakšsadaļā "Risinājuma apraksts" norādīto atsauci uz Eiropas Parlamenta un Padomes 2021.gada 12.februāra Regulu (ES) 2021/241, ar ko izveido Atveseļošanas un noturības mehānismu, ņemot vērā, ka tajā iekļauti nosacījumi par Atveseļošanas un noturības mehānisma, nevis Eiropas Savienības fondu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anotācijā rindkopu, kas norādīta piedāvātajā redakcijā, ar piebildi, ka paredzētais privātais finansējumu ir brīvs no komercdarbības atbalsta.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atbalsts piešķirams tikai infrastruktūras, kurā tiek nodrošināti valsts apmaksātie veselības aprūpes pakalpojumi, attīstībai, tādejādi finansējuma saņēmējam ir pienākums aprēķināt infrastruktūras izmantošanas atbalstāmo darbību proporciju valsts apmaksāto veselības aprūpes pakalpojumu sniegšanai un citu darbību veikšanai (turpmāk - infrastruktūras izmantošanas proporcija) un piemērot to projekta kopējam finansējumam, nosakot publiskā un privātā finansējuma apmēru. Proporcionāli infrastruktūras izmantošanai citiem mērķiem (maksas pakalpojumiem) paredzēts piesaistīt pašu privāto līdzfinansējumu, </w:t>
            </w:r>
            <w:r w:rsidR="00000000" w:rsidRPr="00000000" w:rsidDel="00000000">
              <w:rPr>
                <w:b w:val="1"/>
                <w:rtl w:val="0"/>
              </w:rPr>
              <w:t xml:space="preserve">kas ir brīvs no komercdarbības atbalsta,</w:t>
            </w:r>
            <w:r w:rsidR="00000000" w:rsidRPr="00000000" w:rsidDel="00000000">
              <w:rPr>
                <w:rtl w:val="0"/>
              </w:rPr>
              <w:t xml:space="preserve"> tādejādi nodrošinot godīgu konkurenci un neietekmējot tirgus dalībniekus, ar to, ka publiska nauda tiek dota ne tikai valsts apmaksātu (publisku) veselības aprūpes pakalpojumu sniegšanai, bet arī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VM, savukārt atbilstošajā apakšsadaļā "Ietekmes apraksts" norādīt, ka ārstniecības iestādes pildīs finansējuma saņēmēju funkcijas, un VM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punktā “Cita informācija” sniegto informāciju, ņemot vērā, ka no 74.resora “Gadskārtējā valsts budžeta izpildes procesā pārdalāmais finansējums” 80.00.00 programmas “Nesadalītais finansējums Eiropas Savienības politiku instrumentu un pārējās ārvalstu finanšu palīdzības līdzfinansēto projektu un pasākumu īstenošanai” 4.1.1.1. pasākuma "Ārstniecības iestāžu infrastruktūras attīstība" īstenošanai tiks pieprasīts arī Eiropas Reģionālās attīstības fonda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“Tiesību akta projekta ietekme uz valsts budžetu un pašvaldību budžetiem” 6.punkta otrajā teikumā norādīt Finanšu ministrijas budžeta apakšprogrammu, kurā tiks plānots finansējums noteikumu projektā paredzētā 4.1.1.1. pasākuma "Ārstniecības iestāžu infrastruktūras attīstība"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“Tiesību akta projekta ietekme uz valsts budžetu un pašvaldību budžetiem” (turpmāk - 3.sadaļa) 8.aili “izmaiņas, salīdzinot ar vidēja termiņa budžeta ietvaru, 2027” atbilstoši anotācijas 3.sadaļas 6.punktā sniegtajai informācijai. Vienlaikus nepieciešams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23-TA-2551</w:t>
    </w:r>
    <w:r>
      <w:br/>
    </w:r>
    <w:r w:rsidR="00000000" w:rsidRPr="00000000" w:rsidDel="00000000">
      <w:rPr>
        <w:rtl w:val="0"/>
      </w:rPr>
      <w:t xml:space="preserve">11.04.2024. 17.43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23-TA-2551</w:t>
    </w:r>
    <w:r>
      <w:br/>
    </w:r>
    <w:r w:rsidR="00000000" w:rsidRPr="00000000" w:rsidDel="00000000">
      <w:rPr>
        <w:rtl w:val="0"/>
      </w:rPr>
      <w:t xml:space="preserve">11.04.2024. 17.43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Izziņa_23-TA-2551.docx</dc:title>
</cp:coreProperties>
</file>

<file path=docProps/custom.xml><?xml version="1.0" encoding="utf-8"?>
<Properties xmlns="http://schemas.openxmlformats.org/officeDocument/2006/custom-properties" xmlns:vt="http://schemas.openxmlformats.org/officeDocument/2006/docPropsVTypes"/>
</file>