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DA" w:rsidRPr="007869BB" w:rsidRDefault="00E24ADA" w:rsidP="00E24ADA">
      <w:pPr>
        <w:rPr>
          <w:szCs w:val="24"/>
          <w:lang w:val="lv-LV"/>
        </w:rPr>
      </w:pPr>
      <w:bookmarkStart w:id="0" w:name="_GoBack"/>
      <w:bookmarkEnd w:id="0"/>
    </w:p>
    <w:tbl>
      <w:tblPr>
        <w:tblW w:w="6096" w:type="dxa"/>
        <w:tblLayout w:type="fixed"/>
        <w:tblCellMar>
          <w:left w:w="28" w:type="dxa"/>
          <w:right w:w="28" w:type="dxa"/>
        </w:tblCellMar>
        <w:tblLook w:val="04A0" w:firstRow="1" w:lastRow="0" w:firstColumn="1" w:lastColumn="0" w:noHBand="0" w:noVBand="1"/>
      </w:tblPr>
      <w:tblGrid>
        <w:gridCol w:w="453"/>
        <w:gridCol w:w="2241"/>
        <w:gridCol w:w="566"/>
        <w:gridCol w:w="2836"/>
      </w:tblGrid>
      <w:tr w:rsidR="0059678A" w:rsidTr="001D119C">
        <w:trPr>
          <w:cantSplit/>
          <w:trHeight w:hRule="exact" w:val="397"/>
        </w:trPr>
        <w:tc>
          <w:tcPr>
            <w:tcW w:w="2694" w:type="dxa"/>
            <w:gridSpan w:val="2"/>
            <w:tcBorders>
              <w:top w:val="nil"/>
              <w:left w:val="nil"/>
              <w:bottom w:val="single" w:sz="4" w:space="0" w:color="auto"/>
              <w:right w:val="nil"/>
            </w:tcBorders>
            <w:hideMark/>
          </w:tcPr>
          <w:p w:rsidR="00036CA7" w:rsidRPr="007869BB" w:rsidRDefault="00B347F3" w:rsidP="001D119C">
            <w:pPr>
              <w:pStyle w:val="NoSpacing"/>
              <w:rPr>
                <w:lang w:val="lv-LV"/>
              </w:rPr>
            </w:pPr>
            <w:bookmarkStart w:id="1" w:name="_Hlk57118726"/>
            <w:r>
              <w:rPr>
                <w:noProof/>
              </w:rPr>
              <w:t>Datums skatāms laika zīmogā</w:t>
            </w:r>
          </w:p>
        </w:tc>
        <w:tc>
          <w:tcPr>
            <w:tcW w:w="566" w:type="dxa"/>
            <w:hideMark/>
          </w:tcPr>
          <w:p w:rsidR="00036CA7" w:rsidRPr="007869BB" w:rsidRDefault="00B347F3" w:rsidP="001D119C">
            <w:pPr>
              <w:pStyle w:val="NoSpacing"/>
              <w:rPr>
                <w:lang w:val="lv-LV"/>
              </w:rPr>
            </w:pPr>
            <w:r w:rsidRPr="007869BB">
              <w:rPr>
                <w:lang w:val="lv-LV"/>
              </w:rPr>
              <w:t xml:space="preserve"> Nr.</w:t>
            </w:r>
          </w:p>
        </w:tc>
        <w:tc>
          <w:tcPr>
            <w:tcW w:w="2836" w:type="dxa"/>
            <w:tcBorders>
              <w:top w:val="nil"/>
              <w:left w:val="nil"/>
              <w:bottom w:val="single" w:sz="4" w:space="0" w:color="auto"/>
              <w:right w:val="nil"/>
            </w:tcBorders>
            <w:hideMark/>
          </w:tcPr>
          <w:p w:rsidR="00036CA7" w:rsidRPr="007869BB" w:rsidRDefault="00B347F3" w:rsidP="001D119C">
            <w:pPr>
              <w:pStyle w:val="NoSpacing"/>
              <w:rPr>
                <w:lang w:val="lv-LV"/>
              </w:rPr>
            </w:pPr>
            <w:r>
              <w:rPr>
                <w:noProof/>
              </w:rPr>
              <w:t>9.1-4e/209/2021</w:t>
            </w:r>
          </w:p>
        </w:tc>
      </w:tr>
      <w:tr w:rsidR="0059678A" w:rsidTr="001D119C">
        <w:trPr>
          <w:cantSplit/>
          <w:trHeight w:hRule="exact" w:val="397"/>
        </w:trPr>
        <w:tc>
          <w:tcPr>
            <w:tcW w:w="453" w:type="dxa"/>
            <w:hideMark/>
          </w:tcPr>
          <w:p w:rsidR="00036CA7" w:rsidRPr="007869BB" w:rsidRDefault="00B347F3" w:rsidP="001D119C">
            <w:pPr>
              <w:pStyle w:val="NoSpacing"/>
              <w:rPr>
                <w:lang w:val="lv-LV"/>
              </w:rPr>
            </w:pPr>
            <w:r w:rsidRPr="007869BB">
              <w:rPr>
                <w:lang w:val="lv-LV"/>
              </w:rPr>
              <w:t>Uz</w:t>
            </w:r>
          </w:p>
        </w:tc>
        <w:tc>
          <w:tcPr>
            <w:tcW w:w="2241" w:type="dxa"/>
            <w:tcBorders>
              <w:top w:val="nil"/>
              <w:left w:val="nil"/>
              <w:bottom w:val="single" w:sz="4" w:space="0" w:color="auto"/>
              <w:right w:val="nil"/>
            </w:tcBorders>
          </w:tcPr>
          <w:p w:rsidR="00036CA7" w:rsidRPr="009B567A" w:rsidRDefault="00036CA7" w:rsidP="001D119C">
            <w:pPr>
              <w:pStyle w:val="NoSpacing"/>
              <w:rPr>
                <w:lang w:val="lv-LV"/>
              </w:rPr>
            </w:pPr>
          </w:p>
        </w:tc>
        <w:tc>
          <w:tcPr>
            <w:tcW w:w="566" w:type="dxa"/>
            <w:hideMark/>
          </w:tcPr>
          <w:p w:rsidR="00036CA7" w:rsidRPr="009B567A" w:rsidRDefault="00B347F3" w:rsidP="001D119C">
            <w:pPr>
              <w:pStyle w:val="NoSpacing"/>
              <w:rPr>
                <w:lang w:val="lv-LV"/>
              </w:rPr>
            </w:pPr>
            <w:r w:rsidRPr="009B567A">
              <w:rPr>
                <w:lang w:val="lv-LV"/>
              </w:rPr>
              <w:t xml:space="preserve"> Nr.</w:t>
            </w:r>
          </w:p>
        </w:tc>
        <w:tc>
          <w:tcPr>
            <w:tcW w:w="2836" w:type="dxa"/>
            <w:tcBorders>
              <w:top w:val="nil"/>
              <w:left w:val="nil"/>
              <w:bottom w:val="single" w:sz="4" w:space="0" w:color="auto"/>
              <w:right w:val="nil"/>
            </w:tcBorders>
          </w:tcPr>
          <w:p w:rsidR="00036CA7" w:rsidRPr="009B567A" w:rsidRDefault="00036CA7" w:rsidP="001D119C">
            <w:pPr>
              <w:pStyle w:val="NoSpacing"/>
              <w:rPr>
                <w:lang w:val="lv-LV"/>
              </w:rPr>
            </w:pPr>
          </w:p>
        </w:tc>
      </w:tr>
      <w:bookmarkEnd w:id="1"/>
    </w:tbl>
    <w:p w:rsidR="00E24ADA" w:rsidRPr="007869BB" w:rsidRDefault="00E24ADA" w:rsidP="00E24ADA">
      <w:pPr>
        <w:rPr>
          <w:szCs w:val="24"/>
          <w:lang w:val="lv-LV"/>
        </w:rPr>
      </w:pPr>
    </w:p>
    <w:p w:rsidR="00E24ADA" w:rsidRPr="006458AE" w:rsidRDefault="00B347F3" w:rsidP="00E24ADA">
      <w:pPr>
        <w:pStyle w:val="naisf14pt"/>
        <w:ind w:firstLine="0"/>
        <w:jc w:val="right"/>
        <w:rPr>
          <w:sz w:val="24"/>
        </w:rPr>
      </w:pPr>
      <w:r w:rsidRPr="006458AE">
        <w:rPr>
          <w:sz w:val="24"/>
        </w:rPr>
        <w:t>Ekonomikas ministrijai</w:t>
      </w:r>
    </w:p>
    <w:p w:rsidR="00036CA7" w:rsidRDefault="00B347F3" w:rsidP="006458AE">
      <w:pPr>
        <w:tabs>
          <w:tab w:val="left" w:pos="3686"/>
        </w:tabs>
        <w:ind w:right="3272" w:firstLine="0"/>
        <w:contextualSpacing/>
        <w:rPr>
          <w:i/>
          <w:iCs/>
          <w:szCs w:val="24"/>
          <w:lang w:val="lv-LV"/>
        </w:rPr>
      </w:pPr>
      <w:r w:rsidRPr="006458AE">
        <w:rPr>
          <w:i/>
          <w:iCs/>
          <w:szCs w:val="24"/>
          <w:lang w:val="lv-LV"/>
        </w:rPr>
        <w:t>Atzinums par Ministru kabineta</w:t>
      </w:r>
    </w:p>
    <w:p w:rsidR="00036CA7" w:rsidRDefault="00B347F3" w:rsidP="006458AE">
      <w:pPr>
        <w:tabs>
          <w:tab w:val="left" w:pos="3686"/>
        </w:tabs>
        <w:ind w:right="3272" w:firstLine="0"/>
        <w:contextualSpacing/>
        <w:rPr>
          <w:i/>
          <w:iCs/>
          <w:szCs w:val="24"/>
          <w:lang w:val="lv-LV"/>
        </w:rPr>
      </w:pPr>
      <w:r w:rsidRPr="006458AE">
        <w:rPr>
          <w:i/>
          <w:iCs/>
          <w:szCs w:val="24"/>
          <w:lang w:val="lv-LV"/>
        </w:rPr>
        <w:t xml:space="preserve">noteikumu projektu </w:t>
      </w:r>
      <w:r w:rsidR="00CE4A24">
        <w:rPr>
          <w:i/>
          <w:iCs/>
          <w:szCs w:val="24"/>
          <w:lang w:val="lv-LV"/>
        </w:rPr>
        <w:t>“</w:t>
      </w:r>
      <w:r w:rsidR="00CE4A24" w:rsidRPr="00CE4A24">
        <w:rPr>
          <w:i/>
          <w:iCs/>
          <w:szCs w:val="24"/>
          <w:lang w:val="lv-LV"/>
        </w:rPr>
        <w:t>Grozījumi Ministru</w:t>
      </w:r>
    </w:p>
    <w:p w:rsidR="00036CA7" w:rsidRDefault="00B347F3" w:rsidP="006458AE">
      <w:pPr>
        <w:tabs>
          <w:tab w:val="left" w:pos="3686"/>
        </w:tabs>
        <w:ind w:right="3272" w:firstLine="0"/>
        <w:contextualSpacing/>
        <w:rPr>
          <w:i/>
          <w:iCs/>
          <w:szCs w:val="24"/>
          <w:lang w:val="lv-LV"/>
        </w:rPr>
      </w:pPr>
      <w:r w:rsidRPr="00CE4A24">
        <w:rPr>
          <w:i/>
          <w:iCs/>
          <w:szCs w:val="24"/>
          <w:lang w:val="lv-LV"/>
        </w:rPr>
        <w:t>kabineta 2020.gada 2.septembra</w:t>
      </w:r>
    </w:p>
    <w:p w:rsidR="00036CA7" w:rsidRDefault="00B347F3" w:rsidP="006458AE">
      <w:pPr>
        <w:tabs>
          <w:tab w:val="left" w:pos="3686"/>
        </w:tabs>
        <w:ind w:right="3272" w:firstLine="0"/>
        <w:contextualSpacing/>
        <w:rPr>
          <w:i/>
          <w:iCs/>
          <w:szCs w:val="24"/>
          <w:lang w:val="lv-LV"/>
        </w:rPr>
      </w:pPr>
      <w:r w:rsidRPr="00CE4A24">
        <w:rPr>
          <w:i/>
          <w:iCs/>
          <w:szCs w:val="24"/>
          <w:lang w:val="lv-LV"/>
        </w:rPr>
        <w:t xml:space="preserve">noteikumos Nr.560 </w:t>
      </w:r>
      <w:r>
        <w:rPr>
          <w:i/>
          <w:iCs/>
          <w:szCs w:val="24"/>
          <w:lang w:val="lv-LV"/>
        </w:rPr>
        <w:t>“</w:t>
      </w:r>
      <w:r w:rsidRPr="00CE4A24">
        <w:rPr>
          <w:i/>
          <w:iCs/>
          <w:szCs w:val="24"/>
          <w:lang w:val="lv-LV"/>
        </w:rPr>
        <w:t>Noteikumi par</w:t>
      </w:r>
    </w:p>
    <w:p w:rsidR="00036CA7" w:rsidRDefault="00B347F3" w:rsidP="006458AE">
      <w:pPr>
        <w:tabs>
          <w:tab w:val="left" w:pos="3686"/>
        </w:tabs>
        <w:ind w:right="3272" w:firstLine="0"/>
        <w:contextualSpacing/>
        <w:rPr>
          <w:i/>
          <w:iCs/>
          <w:szCs w:val="24"/>
          <w:lang w:val="lv-LV"/>
        </w:rPr>
      </w:pPr>
      <w:r w:rsidRPr="00CE4A24">
        <w:rPr>
          <w:i/>
          <w:iCs/>
          <w:szCs w:val="24"/>
          <w:lang w:val="lv-LV"/>
        </w:rPr>
        <w:t>elektroenerģijas ražošanu,</w:t>
      </w:r>
    </w:p>
    <w:p w:rsidR="00036CA7" w:rsidRDefault="00B347F3" w:rsidP="006458AE">
      <w:pPr>
        <w:tabs>
          <w:tab w:val="left" w:pos="3686"/>
        </w:tabs>
        <w:ind w:right="3272" w:firstLine="0"/>
        <w:contextualSpacing/>
        <w:rPr>
          <w:i/>
          <w:iCs/>
          <w:szCs w:val="24"/>
          <w:lang w:val="lv-LV"/>
        </w:rPr>
      </w:pPr>
      <w:r w:rsidRPr="00CE4A24">
        <w:rPr>
          <w:i/>
          <w:iCs/>
          <w:szCs w:val="24"/>
          <w:lang w:val="lv-LV"/>
        </w:rPr>
        <w:t>izmantojot atjaunojamos energoresursus,</w:t>
      </w:r>
    </w:p>
    <w:p w:rsidR="00803839" w:rsidRPr="006458AE" w:rsidRDefault="00B347F3" w:rsidP="006458AE">
      <w:pPr>
        <w:tabs>
          <w:tab w:val="left" w:pos="3686"/>
        </w:tabs>
        <w:ind w:right="3272" w:firstLine="0"/>
        <w:contextualSpacing/>
        <w:rPr>
          <w:i/>
          <w:iCs/>
          <w:szCs w:val="24"/>
          <w:lang w:val="lv-LV"/>
        </w:rPr>
      </w:pPr>
      <w:r w:rsidRPr="00CE4A24">
        <w:rPr>
          <w:i/>
          <w:iCs/>
          <w:szCs w:val="24"/>
          <w:lang w:val="lv-LV"/>
        </w:rPr>
        <w:t>kā arī par cenu noteikšanas kārtību un uzraudzību”</w:t>
      </w:r>
      <w:r w:rsidR="006458AE" w:rsidRPr="006458AE">
        <w:rPr>
          <w:i/>
          <w:iCs/>
          <w:szCs w:val="24"/>
          <w:lang w:val="lv-LV"/>
        </w:rPr>
        <w:t>”</w:t>
      </w:r>
    </w:p>
    <w:p w:rsidR="00E24ADA" w:rsidRPr="006458AE" w:rsidRDefault="00E24ADA" w:rsidP="00E24ADA">
      <w:pPr>
        <w:ind w:right="3698" w:firstLine="0"/>
        <w:contextualSpacing/>
        <w:rPr>
          <w:i/>
          <w:iCs/>
          <w:szCs w:val="24"/>
          <w:lang w:val="lv-LV"/>
        </w:rPr>
      </w:pPr>
    </w:p>
    <w:p w:rsidR="00E24ADA" w:rsidRPr="00850D3C" w:rsidRDefault="00B347F3" w:rsidP="0014232D">
      <w:pPr>
        <w:spacing w:before="120" w:after="120"/>
        <w:ind w:right="12"/>
        <w:contextualSpacing/>
        <w:rPr>
          <w:szCs w:val="24"/>
          <w:lang w:val="lv-LV"/>
        </w:rPr>
      </w:pPr>
      <w:r w:rsidRPr="006458AE">
        <w:rPr>
          <w:rFonts w:eastAsia="Times New Roman"/>
          <w:szCs w:val="24"/>
          <w:lang w:val="lv-LV"/>
        </w:rPr>
        <w:t xml:space="preserve">Zemkopības ministrija </w:t>
      </w:r>
      <w:r w:rsidR="003A203E" w:rsidRPr="003A203E">
        <w:rPr>
          <w:szCs w:val="24"/>
          <w:lang w:val="lv-LV"/>
        </w:rPr>
        <w:t xml:space="preserve">atbilstoši savai kompetencei </w:t>
      </w:r>
      <w:r w:rsidR="006458AE" w:rsidRPr="00CE4A24">
        <w:rPr>
          <w:szCs w:val="24"/>
          <w:lang w:val="lv-LV"/>
        </w:rPr>
        <w:t xml:space="preserve">ir izvērtējusi </w:t>
      </w:r>
      <w:r w:rsidRPr="00CE4A24">
        <w:rPr>
          <w:szCs w:val="24"/>
          <w:lang w:val="lv-LV"/>
        </w:rPr>
        <w:t>Ekonomikas ministrijas sagatavot</w:t>
      </w:r>
      <w:r w:rsidR="006458AE" w:rsidRPr="00CE4A24">
        <w:rPr>
          <w:szCs w:val="24"/>
          <w:lang w:val="lv-LV"/>
        </w:rPr>
        <w:t>u</w:t>
      </w:r>
      <w:r w:rsidR="00803839" w:rsidRPr="00CE4A24">
        <w:rPr>
          <w:szCs w:val="24"/>
          <w:lang w:val="lv-LV"/>
        </w:rPr>
        <w:t xml:space="preserve"> Ministru kabineta noteikumu projektu</w:t>
      </w:r>
      <w:r w:rsidR="006458AE" w:rsidRPr="00CE4A24">
        <w:rPr>
          <w:szCs w:val="24"/>
          <w:lang w:val="lv-LV"/>
        </w:rPr>
        <w:t xml:space="preserve"> “</w:t>
      </w:r>
      <w:r w:rsidR="00CE4A24" w:rsidRPr="00CE4A24">
        <w:rPr>
          <w:szCs w:val="24"/>
          <w:lang w:val="lv-LV"/>
        </w:rPr>
        <w:t xml:space="preserve">Grozījumi Ministru kabineta 2020.gada 2.septembra noteikumos Nr.560 </w:t>
      </w:r>
      <w:r w:rsidR="00CE4A24">
        <w:rPr>
          <w:szCs w:val="24"/>
          <w:lang w:val="lv-LV"/>
        </w:rPr>
        <w:t>“</w:t>
      </w:r>
      <w:r w:rsidR="00CE4A24" w:rsidRPr="00850D3C">
        <w:rPr>
          <w:szCs w:val="24"/>
          <w:lang w:val="lv-LV"/>
        </w:rPr>
        <w:t>Noteikumi par elektroenerģijas ražošanu, izmantojot atjaunojamos energoresursus, kā arī par cenu noteikšanas kārtību un uzraudzību”</w:t>
      </w:r>
      <w:r w:rsidR="006458AE" w:rsidRPr="00850D3C">
        <w:rPr>
          <w:szCs w:val="24"/>
          <w:lang w:val="lv-LV"/>
        </w:rPr>
        <w:t>”</w:t>
      </w:r>
      <w:r w:rsidR="00420BFB" w:rsidRPr="00850D3C">
        <w:rPr>
          <w:szCs w:val="24"/>
          <w:lang w:val="lv-LV"/>
        </w:rPr>
        <w:t xml:space="preserve"> (turpmāk – noteikumu projekts)</w:t>
      </w:r>
      <w:r w:rsidR="006458AE" w:rsidRPr="00850D3C">
        <w:rPr>
          <w:szCs w:val="24"/>
          <w:lang w:val="lv-LV"/>
        </w:rPr>
        <w:t xml:space="preserve"> (</w:t>
      </w:r>
      <w:r w:rsidR="00420BFB" w:rsidRPr="00850D3C">
        <w:rPr>
          <w:szCs w:val="24"/>
          <w:lang w:val="lv-LV"/>
        </w:rPr>
        <w:t>VSS-3</w:t>
      </w:r>
      <w:r w:rsidR="00CE4A24" w:rsidRPr="00850D3C">
        <w:rPr>
          <w:szCs w:val="24"/>
          <w:lang w:val="lv-LV"/>
        </w:rPr>
        <w:t>8</w:t>
      </w:r>
      <w:r w:rsidR="006458AE" w:rsidRPr="00850D3C">
        <w:rPr>
          <w:szCs w:val="24"/>
          <w:lang w:val="lv-LV"/>
        </w:rPr>
        <w:t>)</w:t>
      </w:r>
      <w:r w:rsidR="0039513F" w:rsidRPr="00850D3C">
        <w:rPr>
          <w:szCs w:val="24"/>
          <w:lang w:val="lv-LV"/>
        </w:rPr>
        <w:t>,</w:t>
      </w:r>
      <w:r w:rsidRPr="00850D3C">
        <w:rPr>
          <w:szCs w:val="24"/>
          <w:lang w:val="lv-LV"/>
        </w:rPr>
        <w:t xml:space="preserve"> un t</w:t>
      </w:r>
      <w:r w:rsidR="00803839" w:rsidRPr="00850D3C">
        <w:rPr>
          <w:szCs w:val="24"/>
          <w:lang w:val="lv-LV"/>
        </w:rPr>
        <w:t>o</w:t>
      </w:r>
      <w:r w:rsidRPr="00850D3C">
        <w:rPr>
          <w:szCs w:val="24"/>
          <w:lang w:val="lv-LV"/>
        </w:rPr>
        <w:t xml:space="preserve"> anotācij</w:t>
      </w:r>
      <w:r w:rsidR="00803839" w:rsidRPr="00850D3C">
        <w:rPr>
          <w:szCs w:val="24"/>
          <w:lang w:val="lv-LV"/>
        </w:rPr>
        <w:t>as</w:t>
      </w:r>
      <w:r w:rsidRPr="00850D3C">
        <w:rPr>
          <w:szCs w:val="24"/>
          <w:lang w:val="lv-LV"/>
        </w:rPr>
        <w:t xml:space="preserve"> un </w:t>
      </w:r>
      <w:r w:rsidR="00420BFB" w:rsidRPr="00850D3C">
        <w:rPr>
          <w:szCs w:val="24"/>
          <w:lang w:val="lv-LV"/>
        </w:rPr>
        <w:t>ne</w:t>
      </w:r>
      <w:r w:rsidRPr="00850D3C">
        <w:rPr>
          <w:szCs w:val="24"/>
          <w:lang w:val="lv-LV"/>
        </w:rPr>
        <w:t xml:space="preserve">atbalsta to tālāku virzību, ja </w:t>
      </w:r>
      <w:r w:rsidR="00061440" w:rsidRPr="00850D3C">
        <w:rPr>
          <w:szCs w:val="24"/>
          <w:lang w:val="lv-LV"/>
        </w:rPr>
        <w:t>ne</w:t>
      </w:r>
      <w:r w:rsidRPr="00850D3C">
        <w:rPr>
          <w:szCs w:val="24"/>
          <w:lang w:val="lv-LV"/>
        </w:rPr>
        <w:t xml:space="preserve">tiks ņemti vērā </w:t>
      </w:r>
      <w:r w:rsidR="0039513F" w:rsidRPr="00850D3C">
        <w:rPr>
          <w:szCs w:val="24"/>
          <w:lang w:val="lv-LV"/>
        </w:rPr>
        <w:t xml:space="preserve">šādi </w:t>
      </w:r>
      <w:r w:rsidRPr="00850D3C">
        <w:rPr>
          <w:szCs w:val="24"/>
          <w:lang w:val="lv-LV"/>
        </w:rPr>
        <w:t>iebildumi:</w:t>
      </w:r>
    </w:p>
    <w:p w:rsidR="00407F3A" w:rsidRPr="0014232D" w:rsidRDefault="00B347F3" w:rsidP="0014232D">
      <w:pPr>
        <w:pStyle w:val="ListParagraph"/>
        <w:numPr>
          <w:ilvl w:val="0"/>
          <w:numId w:val="19"/>
        </w:numPr>
        <w:ind w:left="0" w:firstLine="720"/>
        <w:rPr>
          <w:lang w:val="lv-LV"/>
        </w:rPr>
      </w:pPr>
      <w:bookmarkStart w:id="2" w:name="_Hlk62058175"/>
      <w:bookmarkStart w:id="3" w:name="_Hlk62058570"/>
      <w:r w:rsidRPr="00850D3C">
        <w:rPr>
          <w:lang w:val="lv-LV"/>
        </w:rPr>
        <w:t>Ņemot vērā to, ka 2020.gada 2.septembra Ministru kabineta noteikumos Nr.560 “</w:t>
      </w:r>
      <w:r w:rsidRPr="00850D3C">
        <w:rPr>
          <w:szCs w:val="24"/>
          <w:lang w:val="lv-LV"/>
        </w:rPr>
        <w:t>Noteikumi par elektroenerģijas ražošanu, izmantojot</w:t>
      </w:r>
      <w:r w:rsidRPr="00407F3A">
        <w:rPr>
          <w:szCs w:val="24"/>
          <w:lang w:val="lv-LV"/>
        </w:rPr>
        <w:t xml:space="preserve"> atjaunojamos energoresursus, kā arī par cenu noteikšanas kārtību un uzraudzību”</w:t>
      </w:r>
      <w:r w:rsidRPr="00407F3A">
        <w:rPr>
          <w:lang w:val="lv-LV"/>
        </w:rPr>
        <w:t xml:space="preserve">” (turpmāk – noteikumi Nr.560), kā arī noteikumu projektā, ir minēti vairāki termini, </w:t>
      </w:r>
      <w:r w:rsidRPr="0014232D">
        <w:rPr>
          <w:lang w:val="lv-LV"/>
        </w:rPr>
        <w:t>proti, koģenerācijas iekārta, biogāzes ražošanas iekārta, biogāzes elektrostacija, bet nav</w:t>
      </w:r>
      <w:r w:rsidRPr="0014232D">
        <w:rPr>
          <w:lang w:val="lv-LV"/>
        </w:rPr>
        <w:t xml:space="preserve"> noteikta neviena definīcija, lūdzam pārskatīt gan noteikumus Nr.560, gan noteikumu projektu un attiecīgi papildināt ar precīzām definīcijām un terminiem. </w:t>
      </w:r>
      <w:bookmarkStart w:id="4" w:name="_Hlk62058401"/>
      <w:bookmarkEnd w:id="2"/>
      <w:r w:rsidR="0014232D" w:rsidRPr="0014232D">
        <w:rPr>
          <w:lang w:val="lv-LV"/>
        </w:rPr>
        <w:t>Turklāt</w:t>
      </w:r>
      <w:r w:rsidR="00966E28" w:rsidRPr="0014232D">
        <w:rPr>
          <w:lang w:val="lv-LV"/>
        </w:rPr>
        <w:t>, identiskas nozīmes teikumos not</w:t>
      </w:r>
      <w:r w:rsidR="0014232D" w:rsidRPr="0014232D">
        <w:rPr>
          <w:lang w:val="lv-LV"/>
        </w:rPr>
        <w:t>eikumos</w:t>
      </w:r>
      <w:r w:rsidR="00966E28" w:rsidRPr="0014232D">
        <w:rPr>
          <w:lang w:val="lv-LV"/>
        </w:rPr>
        <w:t xml:space="preserve"> Nr.560 un </w:t>
      </w:r>
      <w:r w:rsidR="0014232D" w:rsidRPr="0014232D">
        <w:rPr>
          <w:lang w:val="lv-LV"/>
        </w:rPr>
        <w:t xml:space="preserve">2020.gada 2.septembra Ministru kabineta noteikumos Nr.561 “Noteikumi par elektroenerģijas ražošanu, uzraudzību un cenu noteikšanu, ražojot elektroenerģiju koģenerācijā” </w:t>
      </w:r>
      <w:r w:rsidR="00966E28" w:rsidRPr="0014232D">
        <w:rPr>
          <w:lang w:val="lv-LV"/>
        </w:rPr>
        <w:t>tiek lietoti atšķirīgi termini.</w:t>
      </w:r>
    </w:p>
    <w:p w:rsidR="00407F3A" w:rsidRDefault="00B347F3" w:rsidP="0014232D">
      <w:pPr>
        <w:pStyle w:val="ListParagraph"/>
        <w:numPr>
          <w:ilvl w:val="0"/>
          <w:numId w:val="19"/>
        </w:numPr>
        <w:ind w:left="0" w:firstLine="720"/>
        <w:rPr>
          <w:lang w:val="lv-LV"/>
        </w:rPr>
      </w:pPr>
      <w:r w:rsidRPr="00407F3A">
        <w:rPr>
          <w:lang w:val="lv-LV"/>
        </w:rPr>
        <w:t xml:space="preserve">Saskaņā ar Elektroenerģijas tirgus likumā </w:t>
      </w:r>
      <w:r w:rsidR="00966E28" w:rsidRPr="00407F3A">
        <w:rPr>
          <w:lang w:val="lv-LV"/>
        </w:rPr>
        <w:t>noteikt</w:t>
      </w:r>
      <w:r w:rsidR="00966E28">
        <w:rPr>
          <w:lang w:val="lv-LV"/>
        </w:rPr>
        <w:t>o</w:t>
      </w:r>
      <w:r w:rsidRPr="00407F3A">
        <w:rPr>
          <w:lang w:val="lv-LV"/>
        </w:rPr>
        <w:t>, vienotā tehnoloģiskā cikla princips attiecinām</w:t>
      </w:r>
      <w:r w:rsidRPr="00407F3A">
        <w:rPr>
          <w:lang w:val="lv-LV"/>
        </w:rPr>
        <w:t>s uz elektrostaciju darbību. Tas nozīmē, ka biogāzes ražošana biogāzes elektrostacijās ir ārpus vienotā tehnoloģiskā cikla. Tāpēc, ņemot vērā iepriekšminēto, lūdzam precizēt noteikumu projektu un nodalīt biogāzes ražošanu un koģenerācijas procesu.</w:t>
      </w:r>
      <w:bookmarkStart w:id="5" w:name="_Hlk62058659"/>
      <w:bookmarkEnd w:id="4"/>
    </w:p>
    <w:p w:rsidR="00407F3A" w:rsidRDefault="00B347F3" w:rsidP="0014232D">
      <w:pPr>
        <w:pStyle w:val="ListParagraph"/>
        <w:numPr>
          <w:ilvl w:val="0"/>
          <w:numId w:val="19"/>
        </w:numPr>
        <w:ind w:left="0" w:firstLine="720"/>
        <w:rPr>
          <w:lang w:val="lv-LV"/>
        </w:rPr>
      </w:pPr>
      <w:r w:rsidRPr="00407F3A">
        <w:rPr>
          <w:lang w:val="lv-LV"/>
        </w:rPr>
        <w:t>Skaidroj</w:t>
      </w:r>
      <w:r w:rsidRPr="00407F3A">
        <w:rPr>
          <w:lang w:val="lv-LV"/>
        </w:rPr>
        <w:t xml:space="preserve">am, ka lauku saimniecības biogāzes ražošanā izmanto ļoti dažādas izejvielas (gan šķidrās, gan cietās) un, lai izveidotu uzskaites sistēmu un pieņemtu organiskas izcelsmes atkritumus, nepieciešams pārskatīt un noteikt pārejas periodu mēraparātu vai </w:t>
      </w:r>
      <w:proofErr w:type="spellStart"/>
      <w:r w:rsidRPr="00407F3A">
        <w:rPr>
          <w:lang w:val="lv-LV"/>
        </w:rPr>
        <w:t>mērlīdze</w:t>
      </w:r>
      <w:r w:rsidRPr="00407F3A">
        <w:rPr>
          <w:lang w:val="lv-LV"/>
        </w:rPr>
        <w:t>kļu</w:t>
      </w:r>
      <w:proofErr w:type="spellEnd"/>
      <w:r w:rsidRPr="00407F3A">
        <w:rPr>
          <w:lang w:val="lv-LV"/>
        </w:rPr>
        <w:t xml:space="preserve"> sistēmas ieviešanai. </w:t>
      </w:r>
      <w:bookmarkEnd w:id="5"/>
      <w:r w:rsidRPr="00407F3A">
        <w:rPr>
          <w:lang w:val="lv-LV"/>
        </w:rPr>
        <w:t xml:space="preserve">Tāpēc lūdzam noteikumu Nr.560 21.3.apakšpunktā noteikto prasību ieviešanai paredzēt pārejas periodu un noteikt: “Biogāzes elektrostacijās ne vēlāk kā no 2022. gada 1. janvāra nodrošina uzskaiti, izmantojot mēraparātus vai </w:t>
      </w:r>
      <w:proofErr w:type="spellStart"/>
      <w:r w:rsidRPr="00407F3A">
        <w:rPr>
          <w:lang w:val="lv-LV"/>
        </w:rPr>
        <w:t>mērlīdzek</w:t>
      </w:r>
      <w:r w:rsidRPr="00407F3A">
        <w:rPr>
          <w:lang w:val="lv-LV"/>
        </w:rPr>
        <w:t>ļu</w:t>
      </w:r>
      <w:proofErr w:type="spellEnd"/>
      <w:r w:rsidRPr="00407F3A">
        <w:rPr>
          <w:lang w:val="lv-LV"/>
        </w:rPr>
        <w:t xml:space="preserve"> sistēmu, kas atbilst normatīvajiem aktiem par mērīšanas līdzekļu metroloģiskajām prasībām un to metroloģiskās kontroles kārtību.”</w:t>
      </w:r>
      <w:bookmarkStart w:id="6" w:name="_Hlk62058710"/>
    </w:p>
    <w:p w:rsidR="0014232D" w:rsidRPr="0014232D" w:rsidRDefault="00B347F3" w:rsidP="0014232D">
      <w:pPr>
        <w:pStyle w:val="ListParagraph"/>
        <w:numPr>
          <w:ilvl w:val="0"/>
          <w:numId w:val="19"/>
        </w:numPr>
        <w:ind w:left="0" w:firstLine="720"/>
        <w:rPr>
          <w:lang w:val="lv-LV"/>
        </w:rPr>
      </w:pPr>
      <w:r w:rsidRPr="0014232D">
        <w:rPr>
          <w:lang w:val="lv-LV"/>
        </w:rPr>
        <w:t xml:space="preserve">Ņemot vērā to, ka </w:t>
      </w:r>
      <w:r w:rsidR="00966E28" w:rsidRPr="0014232D">
        <w:rPr>
          <w:lang w:val="lv-LV"/>
        </w:rPr>
        <w:t xml:space="preserve">biogāzes ražošanas </w:t>
      </w:r>
      <w:r w:rsidRPr="0014232D">
        <w:rPr>
          <w:lang w:val="lv-LV"/>
        </w:rPr>
        <w:t>tehnoloģiskām vajadzībām izmantot</w:t>
      </w:r>
      <w:r w:rsidR="00966E28" w:rsidRPr="0014232D">
        <w:rPr>
          <w:lang w:val="lv-LV"/>
        </w:rPr>
        <w:t>ai</w:t>
      </w:r>
      <w:r w:rsidRPr="0014232D">
        <w:rPr>
          <w:lang w:val="lv-LV"/>
        </w:rPr>
        <w:t xml:space="preserve">s </w:t>
      </w:r>
      <w:r w:rsidRPr="0014232D">
        <w:rPr>
          <w:lang w:val="lv-LV"/>
        </w:rPr>
        <w:lastRenderedPageBreak/>
        <w:t xml:space="preserve">siltums nav </w:t>
      </w:r>
      <w:r w:rsidR="00966E28" w:rsidRPr="0014232D">
        <w:rPr>
          <w:lang w:val="lv-LV"/>
        </w:rPr>
        <w:t xml:space="preserve">koģenerācijas iekārtas </w:t>
      </w:r>
      <w:r w:rsidRPr="0014232D">
        <w:rPr>
          <w:lang w:val="lv-LV"/>
        </w:rPr>
        <w:t>pašpatēriņš un</w:t>
      </w:r>
      <w:r w:rsidRPr="0014232D">
        <w:rPr>
          <w:lang w:val="lv-LV"/>
        </w:rPr>
        <w:t xml:space="preserve"> </w:t>
      </w:r>
      <w:r w:rsidR="00966E28" w:rsidRPr="0014232D">
        <w:rPr>
          <w:lang w:val="lv-LV"/>
        </w:rPr>
        <w:t xml:space="preserve">ir </w:t>
      </w:r>
      <w:r w:rsidRPr="0014232D">
        <w:rPr>
          <w:lang w:val="lv-LV"/>
        </w:rPr>
        <w:t xml:space="preserve">uzskatāms par lietderīgi izmantotu siltumenerģiju, </w:t>
      </w:r>
      <w:bookmarkStart w:id="7" w:name="_Hlk62058492"/>
      <w:bookmarkEnd w:id="6"/>
      <w:r w:rsidRPr="0014232D">
        <w:rPr>
          <w:lang w:val="lv-LV"/>
        </w:rPr>
        <w:t>lūdzam papildināt noteikumu projektu un noteikumu Nr.56</w:t>
      </w:r>
      <w:r>
        <w:rPr>
          <w:lang w:val="lv-LV"/>
        </w:rPr>
        <w:t>0</w:t>
      </w:r>
      <w:r w:rsidRPr="0014232D">
        <w:rPr>
          <w:lang w:val="lv-LV"/>
        </w:rPr>
        <w:t xml:space="preserve"> 21.</w:t>
      </w:r>
      <w:r>
        <w:rPr>
          <w:lang w:val="lv-LV"/>
        </w:rPr>
        <w:t>6</w:t>
      </w:r>
      <w:r w:rsidRPr="0014232D">
        <w:rPr>
          <w:lang w:val="lv-LV"/>
        </w:rPr>
        <w:t>.apakšpunktu izteikt šādā redakcija: “21.</w:t>
      </w:r>
      <w:r>
        <w:rPr>
          <w:lang w:val="lv-LV"/>
        </w:rPr>
        <w:t>6</w:t>
      </w:r>
      <w:r w:rsidRPr="0014232D">
        <w:rPr>
          <w:lang w:val="lv-LV"/>
        </w:rPr>
        <w:t>. ka koģenerācijas stacijā saražotā siltumenerģija tiek izmantota lietderīgi, tajā skaitā to, ka l</w:t>
      </w:r>
      <w:r w:rsidRPr="0014232D">
        <w:rPr>
          <w:lang w:val="lv-LV"/>
        </w:rPr>
        <w:t>ietderīgās siltumenerģijas kopējā apjomā netiek ieskaitīta tāda siltumenerģija, kas tiek izmantota koģenerācijas stacijas pašpatēriņam. Biogāzes ražošanas iekārta nav koģenerācijas stacija un tās vajadzībām izlietotā siltumenerģija ir lietderīgā siltumener</w:t>
      </w:r>
      <w:r w:rsidRPr="0014232D">
        <w:rPr>
          <w:lang w:val="lv-LV"/>
        </w:rPr>
        <w:t xml:space="preserve">ģija, ja tās vajadzībām patērētās siltumenerģijas daudzums gadā vidēji nepārsniedz </w:t>
      </w:r>
      <w:r w:rsidR="00631A5E">
        <w:rPr>
          <w:lang w:val="lv-LV"/>
        </w:rPr>
        <w:t>4</w:t>
      </w:r>
      <w:r w:rsidRPr="0014232D">
        <w:rPr>
          <w:lang w:val="lv-LV"/>
        </w:rPr>
        <w:t>0% no</w:t>
      </w:r>
      <w:r w:rsidR="00A5618E">
        <w:rPr>
          <w:lang w:val="lv-LV"/>
        </w:rPr>
        <w:t xml:space="preserve"> visa</w:t>
      </w:r>
      <w:r w:rsidRPr="0014232D">
        <w:rPr>
          <w:lang w:val="lv-LV"/>
        </w:rPr>
        <w:t xml:space="preserve"> koģenerācijas iekārtā  saražotās siltumenerģijas daudzuma.” </w:t>
      </w:r>
    </w:p>
    <w:p w:rsidR="00407F3A" w:rsidRDefault="00B347F3" w:rsidP="0014232D">
      <w:pPr>
        <w:pStyle w:val="ListParagraph"/>
        <w:numPr>
          <w:ilvl w:val="0"/>
          <w:numId w:val="19"/>
        </w:numPr>
        <w:ind w:left="0" w:firstLine="720"/>
        <w:rPr>
          <w:lang w:val="lv-LV"/>
        </w:rPr>
      </w:pPr>
      <w:r w:rsidRPr="00407F3A">
        <w:rPr>
          <w:lang w:val="lv-LV"/>
        </w:rPr>
        <w:t>Lūdzam noteikumu projektā skaidri definēt vienotā tehnoloģiskā cikla robežas, lai nerastos pārpratum</w:t>
      </w:r>
      <w:r w:rsidRPr="00407F3A">
        <w:rPr>
          <w:lang w:val="lv-LV"/>
        </w:rPr>
        <w:t>i komersantiem, ievērojot noteikumu prasības.</w:t>
      </w:r>
      <w:bookmarkEnd w:id="7"/>
      <w:r w:rsidRPr="00407F3A">
        <w:rPr>
          <w:lang w:val="lv-LV"/>
        </w:rPr>
        <w:t xml:space="preserve"> Piemēram, 47.punktā ir noteikts, ka </w:t>
      </w:r>
      <w:r w:rsidR="00331CFA" w:rsidRPr="00407F3A">
        <w:rPr>
          <w:lang w:val="lv-LV"/>
        </w:rPr>
        <w:t>b</w:t>
      </w:r>
      <w:r w:rsidRPr="00407F3A">
        <w:rPr>
          <w:lang w:val="lv-LV"/>
        </w:rPr>
        <w:t xml:space="preserve">irojs </w:t>
      </w:r>
      <w:proofErr w:type="spellStart"/>
      <w:r w:rsidRPr="00407F3A">
        <w:rPr>
          <w:lang w:val="lv-LV"/>
        </w:rPr>
        <w:t>nosūta</w:t>
      </w:r>
      <w:proofErr w:type="spellEnd"/>
      <w:r w:rsidRPr="00407F3A">
        <w:rPr>
          <w:lang w:val="lv-LV"/>
        </w:rPr>
        <w:t xml:space="preserve"> komersantam brīdinājumu par iespējamu obligātā iepirkuma tiesību vai garantētās maksas tiesību zaudēšanu, ja birojs konstatē, ka </w:t>
      </w:r>
      <w:r w:rsidR="00331CFA" w:rsidRPr="00407F3A">
        <w:rPr>
          <w:lang w:val="lv-LV"/>
        </w:rPr>
        <w:t xml:space="preserve">elektrostacijas darbība neatbilst normatīvajiem aktiem, kas nosaka prasības elektrostaciju darbībai vides aizsardzības vai darba drošības jomā. </w:t>
      </w:r>
      <w:r w:rsidRPr="00407F3A">
        <w:rPr>
          <w:lang w:val="lv-LV"/>
        </w:rPr>
        <w:t>Kā jau minējām pirmajā iebildumā, nepieciešams precizēt noteikumos lietotus terminus, lai komersants skaidri var</w:t>
      </w:r>
      <w:r w:rsidRPr="00407F3A">
        <w:rPr>
          <w:lang w:val="lv-LV"/>
        </w:rPr>
        <w:t xml:space="preserve">ētu saprast, ka pārkāpums konstatēts </w:t>
      </w:r>
      <w:r w:rsidR="00331CFA" w:rsidRPr="00407F3A">
        <w:rPr>
          <w:lang w:val="lv-LV"/>
        </w:rPr>
        <w:t>elektrostacijā</w:t>
      </w:r>
      <w:r w:rsidRPr="00407F3A">
        <w:rPr>
          <w:lang w:val="lv-LV"/>
        </w:rPr>
        <w:t xml:space="preserve">, bet ne lauksaimnieciskajā </w:t>
      </w:r>
      <w:r>
        <w:rPr>
          <w:lang w:val="lv-LV"/>
        </w:rPr>
        <w:t xml:space="preserve">un cita veida </w:t>
      </w:r>
      <w:r w:rsidRPr="00407F3A">
        <w:rPr>
          <w:lang w:val="lv-LV"/>
        </w:rPr>
        <w:t>ražošanā.</w:t>
      </w:r>
    </w:p>
    <w:p w:rsidR="00407F3A" w:rsidRPr="00631A5E" w:rsidRDefault="00B347F3" w:rsidP="0014232D">
      <w:pPr>
        <w:pStyle w:val="ListParagraph"/>
        <w:numPr>
          <w:ilvl w:val="0"/>
          <w:numId w:val="19"/>
        </w:numPr>
        <w:ind w:left="0" w:firstLine="720"/>
        <w:rPr>
          <w:lang w:val="lv-LV"/>
        </w:rPr>
      </w:pPr>
      <w:r w:rsidRPr="00061440">
        <w:rPr>
          <w:rFonts w:eastAsia="Times New Roman"/>
          <w:lang w:val="lv-LV"/>
        </w:rPr>
        <w:t xml:space="preserve">Lūdzam svītrot noteikumu projekta </w:t>
      </w:r>
      <w:r w:rsidR="00331CFA" w:rsidRPr="00061440">
        <w:rPr>
          <w:rFonts w:eastAsia="Times New Roman"/>
          <w:lang w:val="lv-LV"/>
        </w:rPr>
        <w:t>59</w:t>
      </w:r>
      <w:r w:rsidRPr="00061440">
        <w:rPr>
          <w:rFonts w:eastAsia="Times New Roman"/>
          <w:lang w:val="lv-LV"/>
        </w:rPr>
        <w:t>.</w:t>
      </w:r>
      <w:r w:rsidRPr="00061440">
        <w:rPr>
          <w:rFonts w:eastAsia="Times New Roman"/>
          <w:vertAlign w:val="superscript"/>
          <w:lang w:val="lv-LV"/>
        </w:rPr>
        <w:t>1</w:t>
      </w:r>
      <w:r w:rsidR="00331CFA" w:rsidRPr="00061440">
        <w:rPr>
          <w:rFonts w:eastAsia="Times New Roman"/>
          <w:vertAlign w:val="superscript"/>
          <w:lang w:val="lv-LV"/>
        </w:rPr>
        <w:t>1</w:t>
      </w:r>
      <w:r w:rsidRPr="00061440">
        <w:rPr>
          <w:rFonts w:eastAsia="Times New Roman"/>
          <w:vertAlign w:val="superscript"/>
          <w:lang w:val="lv-LV"/>
        </w:rPr>
        <w:t xml:space="preserve"> </w:t>
      </w:r>
      <w:r w:rsidRPr="00061440">
        <w:rPr>
          <w:rFonts w:eastAsia="Times New Roman"/>
          <w:lang w:val="lv-LV"/>
        </w:rPr>
        <w:t>punktu</w:t>
      </w:r>
      <w:r w:rsidR="00F13D69" w:rsidRPr="00061440">
        <w:rPr>
          <w:rFonts w:eastAsia="Times New Roman"/>
          <w:lang w:val="lv-LV"/>
        </w:rPr>
        <w:t xml:space="preserve"> un 59</w:t>
      </w:r>
      <w:r w:rsidR="00436924" w:rsidRPr="00061440">
        <w:rPr>
          <w:rFonts w:eastAsia="Times New Roman"/>
          <w:lang w:val="lv-LV"/>
        </w:rPr>
        <w:t>.</w:t>
      </w:r>
      <w:r w:rsidR="00436924" w:rsidRPr="00061440">
        <w:rPr>
          <w:rFonts w:eastAsia="Times New Roman"/>
          <w:vertAlign w:val="superscript"/>
          <w:lang w:val="lv-LV"/>
        </w:rPr>
        <w:t xml:space="preserve">8 </w:t>
      </w:r>
      <w:r w:rsidR="00436924" w:rsidRPr="00061440">
        <w:rPr>
          <w:rFonts w:eastAsia="Times New Roman"/>
          <w:lang w:val="lv-LV"/>
        </w:rPr>
        <w:t>7.apakšpunktu</w:t>
      </w:r>
      <w:r w:rsidRPr="00061440">
        <w:rPr>
          <w:rFonts w:eastAsia="Times New Roman"/>
          <w:lang w:val="lv-LV"/>
        </w:rPr>
        <w:t xml:space="preserve">. </w:t>
      </w:r>
    </w:p>
    <w:p w:rsidR="00631A5E" w:rsidRPr="00061440" w:rsidRDefault="00B347F3" w:rsidP="0014232D">
      <w:pPr>
        <w:pStyle w:val="ListParagraph"/>
        <w:numPr>
          <w:ilvl w:val="0"/>
          <w:numId w:val="19"/>
        </w:numPr>
        <w:ind w:left="0" w:firstLine="720"/>
        <w:rPr>
          <w:lang w:val="lv-LV"/>
        </w:rPr>
      </w:pPr>
      <w:r>
        <w:rPr>
          <w:szCs w:val="24"/>
          <w:lang w:val="lv-LV"/>
        </w:rPr>
        <w:t xml:space="preserve">Noteikumu projekta 20.punktā, proti, </w:t>
      </w:r>
      <w:r w:rsidRPr="00631A5E">
        <w:rPr>
          <w:szCs w:val="24"/>
          <w:lang w:val="lv-LV"/>
        </w:rPr>
        <w:t>59.</w:t>
      </w:r>
      <w:r w:rsidRPr="00631A5E">
        <w:rPr>
          <w:szCs w:val="24"/>
          <w:vertAlign w:val="superscript"/>
          <w:lang w:val="lv-LV"/>
        </w:rPr>
        <w:t>4</w:t>
      </w:r>
      <w:r w:rsidRPr="00631A5E">
        <w:rPr>
          <w:szCs w:val="24"/>
          <w:lang w:val="lv-LV"/>
        </w:rPr>
        <w:t> </w:t>
      </w:r>
      <w:r>
        <w:rPr>
          <w:szCs w:val="24"/>
          <w:lang w:val="lv-LV"/>
        </w:rPr>
        <w:t>punktā noteikta prasība, ka k</w:t>
      </w:r>
      <w:r w:rsidRPr="00631A5E">
        <w:rPr>
          <w:szCs w:val="24"/>
          <w:lang w:val="lv-LV"/>
        </w:rPr>
        <w:t>omersants i</w:t>
      </w:r>
      <w:r w:rsidRPr="00631A5E">
        <w:rPr>
          <w:szCs w:val="24"/>
          <w:lang w:val="lv-LV"/>
        </w:rPr>
        <w:t>r tiesīgs lūgt biroju veikt šo noteikumu 59.</w:t>
      </w:r>
      <w:r w:rsidRPr="00631A5E">
        <w:rPr>
          <w:szCs w:val="24"/>
          <w:vertAlign w:val="superscript"/>
          <w:lang w:val="lv-LV"/>
        </w:rPr>
        <w:t>3</w:t>
      </w:r>
      <w:r w:rsidRPr="00631A5E">
        <w:rPr>
          <w:szCs w:val="24"/>
          <w:lang w:val="lv-LV"/>
        </w:rPr>
        <w:t> punktā minētā aprēķina pārrēķinu ne agrāk kā 3 mēnešus pēc šo noteikumu 59.</w:t>
      </w:r>
      <w:r w:rsidRPr="00631A5E">
        <w:rPr>
          <w:szCs w:val="24"/>
          <w:vertAlign w:val="superscript"/>
          <w:lang w:val="lv-LV"/>
        </w:rPr>
        <w:t>3</w:t>
      </w:r>
      <w:r w:rsidRPr="00631A5E">
        <w:rPr>
          <w:szCs w:val="24"/>
          <w:lang w:val="lv-LV"/>
        </w:rPr>
        <w:t> punktā minētā aprēķina veikšanas, iesniedzot birojā attiecīgu iesniegumu.</w:t>
      </w:r>
      <w:r>
        <w:rPr>
          <w:szCs w:val="24"/>
          <w:lang w:val="lv-LV"/>
        </w:rPr>
        <w:t xml:space="preserve"> Lūdzam skaidrot šī punkta būtību un arī skaidrot kā tiks ve</w:t>
      </w:r>
      <w:r>
        <w:rPr>
          <w:szCs w:val="24"/>
          <w:lang w:val="lv-LV"/>
        </w:rPr>
        <w:t>ikts pārrēķins un uz kādu datu pamata. Papildus tam,</w:t>
      </w:r>
      <w:r w:rsidR="005C3937">
        <w:rPr>
          <w:szCs w:val="24"/>
          <w:lang w:val="lv-LV"/>
        </w:rPr>
        <w:t xml:space="preserve"> norādām, ka </w:t>
      </w:r>
      <w:r>
        <w:rPr>
          <w:szCs w:val="24"/>
          <w:lang w:val="lv-LV"/>
        </w:rPr>
        <w:t xml:space="preserve">noteikumu projektā nav paredzēta IRR aprēķina </w:t>
      </w:r>
      <w:r w:rsidR="00EE6CF0">
        <w:rPr>
          <w:szCs w:val="24"/>
          <w:lang w:val="lv-LV"/>
        </w:rPr>
        <w:t xml:space="preserve">apstrīdēšanas kārtība (ja gadījumā, komersants nepiekrīt). </w:t>
      </w:r>
    </w:p>
    <w:p w:rsidR="00212433" w:rsidRPr="00407F3A" w:rsidRDefault="00B347F3" w:rsidP="0014232D">
      <w:pPr>
        <w:pStyle w:val="ListParagraph"/>
        <w:numPr>
          <w:ilvl w:val="0"/>
          <w:numId w:val="19"/>
        </w:numPr>
        <w:ind w:left="0" w:firstLine="720"/>
        <w:rPr>
          <w:lang w:val="lv-LV"/>
        </w:rPr>
      </w:pPr>
      <w:r w:rsidRPr="00407F3A">
        <w:rPr>
          <w:lang w:val="lv-LV"/>
        </w:rPr>
        <w:t xml:space="preserve">Kategoriski iebilstam par koģenerācijas stacijas kopējā </w:t>
      </w:r>
      <w:r w:rsidRPr="00407F3A">
        <w:rPr>
          <w:lang w:val="lv-LV"/>
        </w:rPr>
        <w:t>kapitālieguldījuma iekšējās peļņas normas aprēķina metodiku (IRR), jo:</w:t>
      </w:r>
    </w:p>
    <w:p w:rsidR="00212433" w:rsidRDefault="00B347F3" w:rsidP="00212433">
      <w:pPr>
        <w:pStyle w:val="ListParagraph"/>
        <w:ind w:left="0"/>
        <w:rPr>
          <w:lang w:val="lv-LV"/>
        </w:rPr>
      </w:pPr>
      <w:r>
        <w:rPr>
          <w:lang w:val="lv-LV"/>
        </w:rPr>
        <w:t>8.1. uzskatām, ka nav pieņemami, ka biogāzes elektrostacijai, kurai 2019. gadā IRR visam atbalsta periodam tika apstiprināts, piemēram, 7,9 %, bet, piemērojot noteikumu projektā noteikt</w:t>
      </w:r>
      <w:r>
        <w:rPr>
          <w:lang w:val="lv-LV"/>
        </w:rPr>
        <w:t xml:space="preserve">u jaunu aprēķinu metodiku, uz 2021. gadā IRR sastāda 19.8%. </w:t>
      </w:r>
      <w:r w:rsidR="00407F3A">
        <w:rPr>
          <w:lang w:val="lv-LV"/>
        </w:rPr>
        <w:t>Pēc jauna IRR aprēķina t</w:t>
      </w:r>
      <w:r>
        <w:rPr>
          <w:lang w:val="lv-LV"/>
        </w:rPr>
        <w:t xml:space="preserve">as nozīmē, ka stacija tika pārkompensēta jau 2019. gadā un stacijas darbība ir jāaptur. </w:t>
      </w:r>
    </w:p>
    <w:p w:rsidR="00212433" w:rsidRDefault="00B347F3" w:rsidP="00212433">
      <w:pPr>
        <w:pStyle w:val="ListParagraph"/>
        <w:ind w:left="0"/>
        <w:rPr>
          <w:szCs w:val="24"/>
          <w:lang w:val="lv-LV"/>
        </w:rPr>
      </w:pPr>
      <w:r>
        <w:rPr>
          <w:lang w:val="lv-LV"/>
        </w:rPr>
        <w:t xml:space="preserve">8.2. noteikumu projektā 26.punktā ir noteikts, ka komersantam </w:t>
      </w:r>
      <w:r>
        <w:rPr>
          <w:szCs w:val="24"/>
          <w:lang w:val="lv-LV"/>
        </w:rPr>
        <w:t>divu mēnešu laikā pēc</w:t>
      </w:r>
      <w:r>
        <w:rPr>
          <w:szCs w:val="24"/>
          <w:lang w:val="lv-LV"/>
        </w:rPr>
        <w:t xml:space="preserve"> noteikumu spēkā stāšanās dienas jāiesniedz birojā informāciju un dokumentus, t.sk. koģenerācijas stacijas ieņēmumu un izdevumu faktiskos datus par visu atbalsta periodu kopējo kapitālieguldījumu iekšējās peļņas normas aprēķina veikšanai. Nav skaidri sapro</w:t>
      </w:r>
      <w:r>
        <w:rPr>
          <w:szCs w:val="24"/>
          <w:lang w:val="lv-LV"/>
        </w:rPr>
        <w:t>tams, k</w:t>
      </w:r>
      <w:r w:rsidR="00A5618E">
        <w:rPr>
          <w:szCs w:val="24"/>
          <w:lang w:val="lv-LV"/>
        </w:rPr>
        <w:t>ā</w:t>
      </w:r>
      <w:r>
        <w:rPr>
          <w:szCs w:val="24"/>
          <w:lang w:val="lv-LV"/>
        </w:rPr>
        <w:t>di faktiskie dati tiks ņemti vērā, jo lauksaimniecības biogāzes stacijām ir sava specifika, jo tās ir viens uzņēmums ar kopīgu uzņēmuma saimniecisko operāciju reģistrāciju (grāmatvedību).</w:t>
      </w:r>
      <w:r>
        <w:rPr>
          <w:lang w:val="lv-LV"/>
        </w:rPr>
        <w:t xml:space="preserve"> Uzskatām, ka jaunie noteikumi vairākas lietas detalizēti nes</w:t>
      </w:r>
      <w:r>
        <w:rPr>
          <w:lang w:val="lv-LV"/>
        </w:rPr>
        <w:t xml:space="preserve">kaidro. Vai sadaļā “Investīcijas” </w:t>
      </w:r>
      <w:r>
        <w:rPr>
          <w:szCs w:val="24"/>
          <w:lang w:val="lv-LV"/>
        </w:rPr>
        <w:t>tiks uzskaitītas Lauku atbalsta dienestā (LAD) īstenoto projektu investīcijas, vai arī cits ieguldītais finansējums, ko komersants ir veicis ? Vai Birojs spēs izdalīt no saimniecības visām investīcijām, kuras ir attiecinām</w:t>
      </w:r>
      <w:r>
        <w:rPr>
          <w:szCs w:val="24"/>
          <w:lang w:val="lv-LV"/>
        </w:rPr>
        <w:t xml:space="preserve">as uz biogāzi un kuras uz piena fermu vai ražotni? </w:t>
      </w:r>
    </w:p>
    <w:p w:rsidR="00212433" w:rsidRPr="001B0A41" w:rsidRDefault="00B347F3" w:rsidP="001B0A41">
      <w:pPr>
        <w:rPr>
          <w:szCs w:val="24"/>
          <w:lang w:val="lv-LV"/>
        </w:rPr>
      </w:pPr>
      <w:r>
        <w:rPr>
          <w:szCs w:val="24"/>
          <w:lang w:val="lv-LV"/>
        </w:rPr>
        <w:t xml:space="preserve">Uzskatam, ka noteikumu projektā noteiktā iespēja komersantam arī iesniegt faktiskos kurināmā izmaksu datus ir vērtējama pozitīvi, bet ir svarīgi, ka paliek </w:t>
      </w:r>
      <w:proofErr w:type="spellStart"/>
      <w:r>
        <w:rPr>
          <w:szCs w:val="24"/>
          <w:lang w:val="lv-LV"/>
        </w:rPr>
        <w:t>līmeņatzīmes</w:t>
      </w:r>
      <w:proofErr w:type="spellEnd"/>
      <w:r>
        <w:rPr>
          <w:szCs w:val="24"/>
          <w:lang w:val="lv-LV"/>
        </w:rPr>
        <w:t>, kuras izmantot gan tad, kad ražotā</w:t>
      </w:r>
      <w:r>
        <w:rPr>
          <w:szCs w:val="24"/>
          <w:lang w:val="lv-LV"/>
        </w:rPr>
        <w:t xml:space="preserve">jam nav faktisko datu vai tos nevar izmantot (piemēram, sarežģījumi ar vertikāli integrētām saimniecībām, kur biogāze ir kopā ar piena fermu vai ražotni), gan nākotnes periodos. Gan faktiskām izmaksām, gan </w:t>
      </w:r>
      <w:proofErr w:type="spellStart"/>
      <w:r>
        <w:rPr>
          <w:szCs w:val="24"/>
          <w:lang w:val="lv-LV"/>
        </w:rPr>
        <w:t>līmeņatzīmēm</w:t>
      </w:r>
      <w:proofErr w:type="spellEnd"/>
      <w:r>
        <w:rPr>
          <w:szCs w:val="24"/>
          <w:lang w:val="lv-LV"/>
        </w:rPr>
        <w:t xml:space="preserve"> būtu jābūt veidotām tā, lai atspoguļo</w:t>
      </w:r>
      <w:r>
        <w:rPr>
          <w:szCs w:val="24"/>
          <w:lang w:val="lv-LV"/>
        </w:rPr>
        <w:t>tu visas izmaksas, kas ražotājam rodas</w:t>
      </w:r>
      <w:bookmarkStart w:id="8" w:name="_Hlk62561611"/>
      <w:r>
        <w:rPr>
          <w:szCs w:val="24"/>
          <w:lang w:val="lv-LV"/>
        </w:rPr>
        <w:t>.</w:t>
      </w:r>
      <w:r w:rsidR="00407F3A">
        <w:rPr>
          <w:szCs w:val="24"/>
          <w:lang w:val="lv-LV"/>
        </w:rPr>
        <w:t xml:space="preserve"> Lūdzam precizēt noteikumu projektu un paredzēt iespēju integrētiem uzņēmumiem investīcijām piemērot </w:t>
      </w:r>
      <w:proofErr w:type="spellStart"/>
      <w:r w:rsidR="00407F3A">
        <w:rPr>
          <w:szCs w:val="24"/>
          <w:lang w:val="lv-LV"/>
        </w:rPr>
        <w:t>līmeņatzīmes</w:t>
      </w:r>
      <w:proofErr w:type="spellEnd"/>
      <w:r w:rsidR="00407F3A">
        <w:rPr>
          <w:szCs w:val="24"/>
          <w:lang w:val="lv-LV"/>
        </w:rPr>
        <w:t>. Papildus tam</w:t>
      </w:r>
      <w:r w:rsidR="001B0A41">
        <w:rPr>
          <w:szCs w:val="24"/>
          <w:lang w:val="lv-LV"/>
        </w:rPr>
        <w:t>,</w:t>
      </w:r>
      <w:r w:rsidR="00407F3A">
        <w:rPr>
          <w:szCs w:val="24"/>
          <w:lang w:val="lv-LV"/>
        </w:rPr>
        <w:t xml:space="preserve"> </w:t>
      </w:r>
      <w:r w:rsidR="001B0A41">
        <w:rPr>
          <w:szCs w:val="24"/>
          <w:lang w:val="lv-LV"/>
        </w:rPr>
        <w:t xml:space="preserve">lūdzam </w:t>
      </w:r>
      <w:r w:rsidR="00407F3A">
        <w:rPr>
          <w:szCs w:val="24"/>
          <w:lang w:val="lv-LV"/>
        </w:rPr>
        <w:t xml:space="preserve">noteikumu projektu </w:t>
      </w:r>
      <w:r w:rsidR="001B0A41">
        <w:rPr>
          <w:szCs w:val="24"/>
          <w:lang w:val="lv-LV"/>
        </w:rPr>
        <w:t xml:space="preserve">papildināt un </w:t>
      </w:r>
      <w:r w:rsidR="00407F3A">
        <w:rPr>
          <w:szCs w:val="24"/>
          <w:lang w:val="lv-LV"/>
        </w:rPr>
        <w:t>noteikt</w:t>
      </w:r>
      <w:r w:rsidR="001B0A41">
        <w:rPr>
          <w:szCs w:val="24"/>
          <w:lang w:val="lv-LV"/>
        </w:rPr>
        <w:t xml:space="preserve"> b</w:t>
      </w:r>
      <w:r w:rsidR="001B0A41" w:rsidRPr="001B0A41">
        <w:rPr>
          <w:szCs w:val="24"/>
          <w:lang w:val="lv-LV"/>
        </w:rPr>
        <w:t xml:space="preserve">iogāzes stacijām (izņemot biomasas gazifikācijas stacijas) </w:t>
      </w:r>
      <w:r w:rsidR="00207076">
        <w:rPr>
          <w:szCs w:val="24"/>
          <w:lang w:val="lv-LV"/>
        </w:rPr>
        <w:t xml:space="preserve">investīcijām </w:t>
      </w:r>
      <w:r w:rsidR="001B0A41" w:rsidRPr="001B0A41">
        <w:rPr>
          <w:szCs w:val="24"/>
          <w:lang w:val="lv-LV"/>
        </w:rPr>
        <w:t xml:space="preserve">piemērojamās </w:t>
      </w:r>
      <w:proofErr w:type="spellStart"/>
      <w:r w:rsidR="001B0A41" w:rsidRPr="001B0A41">
        <w:rPr>
          <w:szCs w:val="24"/>
          <w:lang w:val="lv-LV"/>
        </w:rPr>
        <w:t>līmeņatzīmes</w:t>
      </w:r>
      <w:proofErr w:type="spellEnd"/>
      <w:r w:rsidR="001B0A41">
        <w:rPr>
          <w:szCs w:val="24"/>
          <w:lang w:val="lv-LV"/>
        </w:rPr>
        <w:t xml:space="preserve"> šādi: u</w:t>
      </w:r>
      <w:r w:rsidR="001B0A41" w:rsidRPr="001B0A41">
        <w:rPr>
          <w:szCs w:val="24"/>
          <w:lang w:val="lv-LV"/>
        </w:rPr>
        <w:t xml:space="preserve">zstādītā elektriskā jauda </w:t>
      </w:r>
      <w:r w:rsidR="001B0A41">
        <w:rPr>
          <w:szCs w:val="24"/>
          <w:lang w:val="lv-LV"/>
        </w:rPr>
        <w:t>n</w:t>
      </w:r>
      <w:r w:rsidR="001B0A41" w:rsidRPr="001B0A41">
        <w:rPr>
          <w:szCs w:val="24"/>
          <w:lang w:val="lv-LV"/>
        </w:rPr>
        <w:t xml:space="preserve">epārsniedz 0,5 MW </w:t>
      </w:r>
      <w:r w:rsidR="00207076">
        <w:rPr>
          <w:szCs w:val="24"/>
          <w:lang w:val="lv-LV"/>
        </w:rPr>
        <w:t>–</w:t>
      </w:r>
      <w:r w:rsidR="001B0A41" w:rsidRPr="001B0A41">
        <w:rPr>
          <w:szCs w:val="24"/>
          <w:lang w:val="lv-LV"/>
        </w:rPr>
        <w:t xml:space="preserve"> </w:t>
      </w:r>
      <w:r w:rsidR="001B0A41">
        <w:rPr>
          <w:szCs w:val="24"/>
          <w:lang w:val="lv-LV"/>
        </w:rPr>
        <w:t>4000</w:t>
      </w:r>
      <w:r w:rsidR="00207076">
        <w:rPr>
          <w:szCs w:val="24"/>
          <w:lang w:val="lv-LV"/>
        </w:rPr>
        <w:t xml:space="preserve"> </w:t>
      </w:r>
      <w:r w:rsidR="00207076" w:rsidRPr="00207076">
        <w:rPr>
          <w:szCs w:val="24"/>
          <w:lang w:val="lv-LV"/>
        </w:rPr>
        <w:t>(EUR/</w:t>
      </w:r>
      <w:proofErr w:type="spellStart"/>
      <w:r w:rsidR="00207076" w:rsidRPr="00207076">
        <w:rPr>
          <w:szCs w:val="24"/>
          <w:lang w:val="lv-LV"/>
        </w:rPr>
        <w:t>kWel</w:t>
      </w:r>
      <w:proofErr w:type="spellEnd"/>
      <w:r w:rsidR="00207076" w:rsidRPr="00207076">
        <w:rPr>
          <w:szCs w:val="24"/>
          <w:lang w:val="lv-LV"/>
        </w:rPr>
        <w:t>)</w:t>
      </w:r>
      <w:r w:rsidR="001B0A41" w:rsidRPr="001B0A41">
        <w:rPr>
          <w:szCs w:val="24"/>
          <w:lang w:val="lv-LV"/>
        </w:rPr>
        <w:t xml:space="preserve">; </w:t>
      </w:r>
      <w:r w:rsidR="001B0A41">
        <w:rPr>
          <w:szCs w:val="24"/>
          <w:lang w:val="lv-LV"/>
        </w:rPr>
        <w:t>l</w:t>
      </w:r>
      <w:r w:rsidR="001B0A41" w:rsidRPr="001B0A41">
        <w:rPr>
          <w:szCs w:val="24"/>
          <w:lang w:val="lv-LV"/>
        </w:rPr>
        <w:t xml:space="preserve">ielāka par 0,5 MW, bet nepārsniedz 2 MW </w:t>
      </w:r>
      <w:r w:rsidR="001B0A41">
        <w:rPr>
          <w:szCs w:val="24"/>
          <w:lang w:val="lv-LV"/>
        </w:rPr>
        <w:t>–</w:t>
      </w:r>
      <w:r w:rsidR="001B0A41" w:rsidRPr="001B0A41">
        <w:rPr>
          <w:szCs w:val="24"/>
          <w:lang w:val="lv-LV"/>
        </w:rPr>
        <w:t xml:space="preserve"> 3800</w:t>
      </w:r>
      <w:r w:rsidR="00207076" w:rsidRPr="00207076">
        <w:rPr>
          <w:szCs w:val="24"/>
          <w:lang w:val="lv-LV"/>
        </w:rPr>
        <w:t xml:space="preserve"> (EUR/</w:t>
      </w:r>
      <w:proofErr w:type="spellStart"/>
      <w:r w:rsidR="00207076" w:rsidRPr="00207076">
        <w:rPr>
          <w:szCs w:val="24"/>
          <w:lang w:val="lv-LV"/>
        </w:rPr>
        <w:t>kWel</w:t>
      </w:r>
      <w:proofErr w:type="spellEnd"/>
      <w:r w:rsidR="00207076" w:rsidRPr="00207076">
        <w:rPr>
          <w:szCs w:val="24"/>
          <w:lang w:val="lv-LV"/>
        </w:rPr>
        <w:t>)</w:t>
      </w:r>
      <w:r w:rsidR="00207076">
        <w:rPr>
          <w:szCs w:val="24"/>
          <w:lang w:val="lv-LV"/>
        </w:rPr>
        <w:t>.</w:t>
      </w:r>
      <w:bookmarkEnd w:id="8"/>
    </w:p>
    <w:p w:rsidR="00212433" w:rsidRDefault="00B347F3" w:rsidP="00212433">
      <w:pPr>
        <w:pStyle w:val="ListParagraph"/>
        <w:ind w:left="0"/>
        <w:rPr>
          <w:lang w:val="lv-LV"/>
        </w:rPr>
      </w:pPr>
      <w:r>
        <w:rPr>
          <w:lang w:val="lv-LV"/>
        </w:rPr>
        <w:t>8.3. koeficients, kas raksturo koģenerācijas stacijas ekspluatācij</w:t>
      </w:r>
      <w:r>
        <w:rPr>
          <w:lang w:val="lv-LV"/>
        </w:rPr>
        <w:t xml:space="preserve">as izmaksu īpatsvaru veiktajās investīcijās, noteikts noteikumu projekta 8.pielikuma 1. tabulā un sastāda 4% </w:t>
      </w:r>
      <w:r>
        <w:rPr>
          <w:rFonts w:eastAsia="Times New Roman"/>
          <w:lang w:val="lv-LV"/>
        </w:rPr>
        <w:t>(to starpā darbinieku algas</w:t>
      </w:r>
      <w:r>
        <w:rPr>
          <w:lang w:val="lv-LV"/>
        </w:rPr>
        <w:t>). Š</w:t>
      </w:r>
      <w:r w:rsidR="00A5618E">
        <w:rPr>
          <w:lang w:val="lv-LV"/>
        </w:rPr>
        <w:t>i</w:t>
      </w:r>
      <w:r>
        <w:rPr>
          <w:lang w:val="lv-LV"/>
        </w:rPr>
        <w:t xml:space="preserve">s jau noteiktais koeficients būtiski samazina stacijas izdevumu struktūru, kas </w:t>
      </w:r>
      <w:r>
        <w:rPr>
          <w:lang w:val="lv-LV"/>
        </w:rPr>
        <w:lastRenderedPageBreak/>
        <w:t>elektrostacijām neatspoguļo patiesās</w:t>
      </w:r>
      <w:r>
        <w:rPr>
          <w:lang w:val="lv-LV"/>
        </w:rPr>
        <w:t xml:space="preserve"> izmaksas. </w:t>
      </w:r>
    </w:p>
    <w:p w:rsidR="0014232D" w:rsidRDefault="00B347F3" w:rsidP="00743D12">
      <w:pPr>
        <w:pStyle w:val="ListParagraph"/>
        <w:ind w:left="0"/>
        <w:rPr>
          <w:rFonts w:eastAsia="Times New Roman"/>
          <w:lang w:val="lv-LV"/>
        </w:rPr>
      </w:pPr>
      <w:r>
        <w:rPr>
          <w:rFonts w:eastAsia="Times New Roman"/>
          <w:lang w:val="lv-LV"/>
        </w:rPr>
        <w:t xml:space="preserve">Vēršam uzmanību, </w:t>
      </w:r>
      <w:r w:rsidR="00A5618E">
        <w:rPr>
          <w:rFonts w:eastAsia="Times New Roman"/>
          <w:lang w:val="lv-LV"/>
        </w:rPr>
        <w:t xml:space="preserve">kā, </w:t>
      </w:r>
      <w:r>
        <w:rPr>
          <w:rFonts w:eastAsia="Times New Roman"/>
          <w:lang w:val="lv-LV"/>
        </w:rPr>
        <w:t xml:space="preserve">tā kā ekspluatācijas izmaksas ir paredzēts rēķināt tikai un vienīgi no </w:t>
      </w:r>
      <w:proofErr w:type="spellStart"/>
      <w:r>
        <w:rPr>
          <w:rFonts w:eastAsia="Times New Roman"/>
          <w:lang w:val="lv-LV"/>
        </w:rPr>
        <w:t>līmeņatzīmēm</w:t>
      </w:r>
      <w:proofErr w:type="spellEnd"/>
      <w:r>
        <w:rPr>
          <w:rFonts w:eastAsia="Times New Roman"/>
          <w:lang w:val="lv-LV"/>
        </w:rPr>
        <w:t>, tad tām ir ļoti būtiska loma IRR aprēķinu rezultātā, jo tas uzreiz skars arī staciju pirmo gadu rādītājus, kam ir izšķiroša loma IRR rezultātā. Aprēķinot ekspluatācijas iz</w:t>
      </w:r>
      <w:r>
        <w:rPr>
          <w:rFonts w:eastAsia="Times New Roman"/>
          <w:lang w:val="lv-LV"/>
        </w:rPr>
        <w:t xml:space="preserve">maksas no kopējām investīcijām, nedrīkst atrēķināt no investīcijām piesaistīto atbalstu, jo ikdienas stacijas uzturēšanas izdevumi nesamazinās, ja biogāzes stacijas būvniecībā, izmantots, piemēram, LAD atbalsts. </w:t>
      </w:r>
      <w:r w:rsidR="00A5618E" w:rsidRPr="00043768">
        <w:rPr>
          <w:lang w:val="lv-LV"/>
        </w:rPr>
        <w:t>Zemkopības ministrijas rīcībā esošajā</w:t>
      </w:r>
      <w:r w:rsidR="00431851">
        <w:rPr>
          <w:lang w:val="lv-LV"/>
        </w:rPr>
        <w:t>,</w:t>
      </w:r>
      <w:r w:rsidR="00A5618E" w:rsidRPr="00043768">
        <w:rPr>
          <w:lang w:val="lv-LV"/>
        </w:rPr>
        <w:t xml:space="preserve"> </w:t>
      </w:r>
      <w:bookmarkStart w:id="9" w:name="_Hlk62816568"/>
      <w:r w:rsidR="00A56411" w:rsidRPr="00631A5E">
        <w:rPr>
          <w:szCs w:val="24"/>
          <w:lang w:val="lv-LV"/>
        </w:rPr>
        <w:t xml:space="preserve">2021. gada 20. janvāra starptautiski atzītās </w:t>
      </w:r>
      <w:proofErr w:type="spellStart"/>
      <w:r w:rsidR="00A56411" w:rsidRPr="00631A5E">
        <w:rPr>
          <w:szCs w:val="24"/>
          <w:lang w:val="lv-LV"/>
        </w:rPr>
        <w:t>auditorkompānijas</w:t>
      </w:r>
      <w:proofErr w:type="spellEnd"/>
      <w:r w:rsidR="00A56411" w:rsidRPr="00631A5E">
        <w:rPr>
          <w:szCs w:val="24"/>
          <w:lang w:val="lv-LV"/>
        </w:rPr>
        <w:t xml:space="preserve"> “KPMG </w:t>
      </w:r>
      <w:proofErr w:type="spellStart"/>
      <w:r w:rsidR="00A56411" w:rsidRPr="00631A5E">
        <w:rPr>
          <w:szCs w:val="24"/>
          <w:lang w:val="lv-LV"/>
        </w:rPr>
        <w:t>Baltic</w:t>
      </w:r>
      <w:proofErr w:type="spellEnd"/>
      <w:r w:rsidR="00A56411" w:rsidRPr="00631A5E">
        <w:rPr>
          <w:szCs w:val="24"/>
          <w:lang w:val="lv-LV"/>
        </w:rPr>
        <w:t xml:space="preserve"> AS” (turpmāk – KPMG) sagatavoto ziņojumu “Neatkarīgs vērtējums par Ekonomikas Ministrijas plānoto Ministru kabineta noteikumu Nr. 560 un Nr. 561 izmaiņu pamatotību un ietekmi uz kopējo kapitālieguldījumu iekšējās peļņas normas un cenas diferencēšanas koeficientu </w:t>
      </w:r>
      <w:proofErr w:type="spellStart"/>
      <w:r w:rsidR="00A56411" w:rsidRPr="00631A5E">
        <w:rPr>
          <w:szCs w:val="24"/>
          <w:lang w:val="lv-LV"/>
        </w:rPr>
        <w:t>pārkompensācijas</w:t>
      </w:r>
      <w:proofErr w:type="spellEnd"/>
      <w:r w:rsidR="00A56411" w:rsidRPr="00631A5E">
        <w:rPr>
          <w:szCs w:val="24"/>
          <w:lang w:val="lv-LV"/>
        </w:rPr>
        <w:t xml:space="preserve"> novēršanai aprēķinu elektrības ražošanā koģenerācijas procesā un elektrības ražošanā izmantojot atjaunojamos energoresursus”</w:t>
      </w:r>
      <w:bookmarkEnd w:id="9"/>
      <w:r w:rsidR="00631A5E">
        <w:rPr>
          <w:szCs w:val="24"/>
          <w:lang w:val="lv-LV"/>
        </w:rPr>
        <w:t xml:space="preserve"> </w:t>
      </w:r>
      <w:r w:rsidR="00545A0A">
        <w:rPr>
          <w:szCs w:val="24"/>
          <w:lang w:val="lv-LV"/>
        </w:rPr>
        <w:t>v</w:t>
      </w:r>
      <w:r w:rsidR="00A5618E" w:rsidRPr="00043768">
        <w:rPr>
          <w:lang w:val="lv-LV"/>
        </w:rPr>
        <w:t xml:space="preserve">eiktajā pētījumā ir norādīts, ka ekspluatācijas izmaksu </w:t>
      </w:r>
      <w:proofErr w:type="spellStart"/>
      <w:r w:rsidR="00A5618E" w:rsidRPr="00043768">
        <w:rPr>
          <w:lang w:val="lv-LV"/>
        </w:rPr>
        <w:t>līmeņatzīme</w:t>
      </w:r>
      <w:proofErr w:type="spellEnd"/>
      <w:r w:rsidR="00A5618E" w:rsidRPr="00043768">
        <w:rPr>
          <w:lang w:val="lv-LV"/>
        </w:rPr>
        <w:t xml:space="preserve"> neietver visas fiksētās un mainīgās ekspluatācijas izmaksas</w:t>
      </w:r>
      <w:r w:rsidR="00A5618E">
        <w:rPr>
          <w:lang w:val="lv-LV"/>
        </w:rPr>
        <w:t>.</w:t>
      </w:r>
      <w:r w:rsidR="00A5618E">
        <w:rPr>
          <w:rFonts w:eastAsia="Times New Roman"/>
          <w:lang w:val="lv-LV"/>
        </w:rPr>
        <w:t xml:space="preserve"> </w:t>
      </w:r>
      <w:r w:rsidR="00966E28">
        <w:rPr>
          <w:rFonts w:eastAsia="Times New Roman"/>
          <w:lang w:val="lv-LV"/>
        </w:rPr>
        <w:t>Pētījumā veiktā uzņēmumu faktisko izmaksu analīze norāda, ka biogāzes stacijās ekspluatācijas izmaksas ir vidēji 10% no</w:t>
      </w:r>
      <w:r w:rsidR="00297145">
        <w:rPr>
          <w:rFonts w:eastAsia="Times New Roman"/>
          <w:lang w:val="lv-LV"/>
        </w:rPr>
        <w:t xml:space="preserve"> kopējām</w:t>
      </w:r>
      <w:r w:rsidR="00966E28">
        <w:rPr>
          <w:rFonts w:eastAsia="Times New Roman"/>
          <w:lang w:val="lv-LV"/>
        </w:rPr>
        <w:t xml:space="preserve"> investīcijām. </w:t>
      </w:r>
      <w:r w:rsidR="00442F01">
        <w:rPr>
          <w:rFonts w:eastAsia="Times New Roman"/>
          <w:lang w:val="lv-LV"/>
        </w:rPr>
        <w:t>U</w:t>
      </w:r>
      <w:r w:rsidR="00966E28">
        <w:rPr>
          <w:rFonts w:eastAsia="Times New Roman"/>
          <w:lang w:val="lv-LV"/>
        </w:rPr>
        <w:t>zskat</w:t>
      </w:r>
      <w:r w:rsidR="00442F01">
        <w:rPr>
          <w:rFonts w:eastAsia="Times New Roman"/>
          <w:lang w:val="lv-LV"/>
        </w:rPr>
        <w:t>ām,</w:t>
      </w:r>
      <w:r w:rsidR="00966E28">
        <w:rPr>
          <w:rFonts w:eastAsia="Times New Roman"/>
          <w:lang w:val="lv-LV"/>
        </w:rPr>
        <w:t xml:space="preserve"> ka 10% no</w:t>
      </w:r>
      <w:r w:rsidR="00297145">
        <w:rPr>
          <w:rFonts w:eastAsia="Times New Roman"/>
          <w:lang w:val="lv-LV"/>
        </w:rPr>
        <w:t xml:space="preserve"> kopējām</w:t>
      </w:r>
      <w:r w:rsidR="00966E28">
        <w:rPr>
          <w:rFonts w:eastAsia="Times New Roman"/>
          <w:lang w:val="lv-LV"/>
        </w:rPr>
        <w:t xml:space="preserve"> investīcijām</w:t>
      </w:r>
      <w:r w:rsidR="00297145">
        <w:rPr>
          <w:rFonts w:eastAsia="Times New Roman"/>
          <w:lang w:val="lv-LV"/>
        </w:rPr>
        <w:t xml:space="preserve"> (to starpā arī LAD sniegtais atbalsts)</w:t>
      </w:r>
      <w:r w:rsidR="00966E28">
        <w:rPr>
          <w:rFonts w:eastAsia="Times New Roman"/>
          <w:lang w:val="lv-LV"/>
        </w:rPr>
        <w:t xml:space="preserve"> ir objektīvi pamatojama un reāla biogāzes staciju ekspluatācijas izmaksu </w:t>
      </w:r>
      <w:proofErr w:type="spellStart"/>
      <w:r w:rsidR="00966E28">
        <w:rPr>
          <w:rFonts w:eastAsia="Times New Roman"/>
          <w:lang w:val="lv-LV"/>
        </w:rPr>
        <w:t>līmeņatzīme</w:t>
      </w:r>
      <w:proofErr w:type="spellEnd"/>
      <w:r>
        <w:rPr>
          <w:rFonts w:eastAsia="Times New Roman"/>
          <w:lang w:val="lv-LV"/>
        </w:rPr>
        <w:t>.</w:t>
      </w:r>
    </w:p>
    <w:p w:rsidR="00743D12" w:rsidRDefault="00B347F3" w:rsidP="00743D12">
      <w:pPr>
        <w:pStyle w:val="ListParagraph"/>
        <w:ind w:left="0"/>
        <w:rPr>
          <w:rFonts w:eastAsia="Times New Roman"/>
          <w:lang w:val="lv-LV"/>
        </w:rPr>
      </w:pPr>
      <w:r>
        <w:rPr>
          <w:lang w:val="lv-LV"/>
        </w:rPr>
        <w:t>8</w:t>
      </w:r>
      <w:r w:rsidRPr="000F1114">
        <w:rPr>
          <w:lang w:val="lv-LV"/>
        </w:rPr>
        <w:t xml:space="preserve">.4. </w:t>
      </w:r>
      <w:proofErr w:type="spellStart"/>
      <w:r w:rsidRPr="000F1114">
        <w:rPr>
          <w:rFonts w:eastAsia="Times New Roman"/>
          <w:lang w:val="lv-LV"/>
        </w:rPr>
        <w:t>fermenteros</w:t>
      </w:r>
      <w:proofErr w:type="spellEnd"/>
      <w:r w:rsidRPr="000F1114">
        <w:rPr>
          <w:rFonts w:eastAsia="Times New Roman"/>
          <w:lang w:val="lv-LV"/>
        </w:rPr>
        <w:t xml:space="preserve"> patērēt</w:t>
      </w:r>
      <w:r>
        <w:rPr>
          <w:rFonts w:eastAsia="Times New Roman"/>
          <w:lang w:val="lv-LV"/>
        </w:rPr>
        <w:t>ā</w:t>
      </w:r>
      <w:r w:rsidRPr="000F1114">
        <w:rPr>
          <w:rFonts w:eastAsia="Times New Roman"/>
          <w:lang w:val="lv-LV"/>
        </w:rPr>
        <w:t xml:space="preserve"> siltumenerģija </w:t>
      </w:r>
      <w:r>
        <w:rPr>
          <w:rFonts w:eastAsia="Times New Roman"/>
          <w:lang w:val="lv-LV"/>
        </w:rPr>
        <w:t>ir</w:t>
      </w:r>
      <w:r w:rsidRPr="000F1114">
        <w:rPr>
          <w:rFonts w:eastAsia="Times New Roman"/>
          <w:lang w:val="lv-LV"/>
        </w:rPr>
        <w:t xml:space="preserve"> lietderīg</w:t>
      </w:r>
      <w:r>
        <w:rPr>
          <w:rFonts w:eastAsia="Times New Roman"/>
          <w:lang w:val="lv-LV"/>
        </w:rPr>
        <w:t>ā siltumenerģija, kas ir izmantota organisko vielu anaero</w:t>
      </w:r>
      <w:r>
        <w:rPr>
          <w:rFonts w:eastAsia="Times New Roman"/>
          <w:lang w:val="lv-LV"/>
        </w:rPr>
        <w:t>bās fermentācijas procesa temperatūras nodrošināšanai</w:t>
      </w:r>
      <w:r w:rsidRPr="000F1114">
        <w:rPr>
          <w:rFonts w:eastAsia="Times New Roman"/>
          <w:lang w:val="lv-LV"/>
        </w:rPr>
        <w:t>. Nepieciešams nodalīt ar definīcijām, kas ir koģenerācijas stacija un k</w:t>
      </w:r>
      <w:r>
        <w:rPr>
          <w:rFonts w:eastAsia="Times New Roman"/>
          <w:lang w:val="lv-LV"/>
        </w:rPr>
        <w:t>as</w:t>
      </w:r>
      <w:r w:rsidR="007E7C88">
        <w:rPr>
          <w:rFonts w:eastAsia="Times New Roman"/>
          <w:lang w:val="lv-LV"/>
        </w:rPr>
        <w:t xml:space="preserve"> </w:t>
      </w:r>
      <w:r>
        <w:rPr>
          <w:rFonts w:eastAsia="Times New Roman"/>
          <w:lang w:val="lv-LV"/>
        </w:rPr>
        <w:t>ir biogāzes ražošanas iekārta</w:t>
      </w:r>
      <w:r w:rsidRPr="000F1114">
        <w:rPr>
          <w:rFonts w:eastAsia="Times New Roman"/>
          <w:lang w:val="lv-LV"/>
        </w:rPr>
        <w:t xml:space="preserve">, kas nodrošina biogāzes ražošanu – lai viss saražotais siltums, kas nav pašpatēriņš </w:t>
      </w:r>
      <w:r>
        <w:rPr>
          <w:rFonts w:eastAsia="Times New Roman"/>
          <w:lang w:val="lv-LV"/>
        </w:rPr>
        <w:t xml:space="preserve">pašā </w:t>
      </w:r>
      <w:r w:rsidRPr="000F1114">
        <w:rPr>
          <w:rFonts w:eastAsia="Times New Roman"/>
          <w:lang w:val="lv-LV"/>
        </w:rPr>
        <w:t>koģenerāc</w:t>
      </w:r>
      <w:r w:rsidRPr="000F1114">
        <w:rPr>
          <w:rFonts w:eastAsia="Times New Roman"/>
          <w:lang w:val="lv-LV"/>
        </w:rPr>
        <w:t>ijas stacijā</w:t>
      </w:r>
      <w:r w:rsidRPr="00BC6C38">
        <w:rPr>
          <w:rFonts w:eastAsia="Times New Roman"/>
          <w:lang w:val="lv-LV"/>
        </w:rPr>
        <w:t xml:space="preserve"> (kas sastāv no 1 vai vairākām koģenerācijas iekārtām (bez </w:t>
      </w:r>
      <w:proofErr w:type="spellStart"/>
      <w:r w:rsidRPr="00BC6C38">
        <w:rPr>
          <w:rFonts w:eastAsia="Times New Roman"/>
          <w:lang w:val="lv-LV"/>
        </w:rPr>
        <w:t>fermenteriem</w:t>
      </w:r>
      <w:proofErr w:type="spellEnd"/>
      <w:r w:rsidRPr="00BC6C38">
        <w:rPr>
          <w:rFonts w:eastAsia="Times New Roman"/>
          <w:lang w:val="lv-LV"/>
        </w:rPr>
        <w:t xml:space="preserve"> vai gāzes vadiem), tiek uzskatīts par lietderīgu, j</w:t>
      </w:r>
      <w:r w:rsidR="00A5618E">
        <w:rPr>
          <w:rFonts w:eastAsia="Times New Roman"/>
          <w:lang w:val="lv-LV"/>
        </w:rPr>
        <w:t>a</w:t>
      </w:r>
      <w:r w:rsidRPr="00BC6C38">
        <w:rPr>
          <w:rFonts w:eastAsia="Times New Roman"/>
          <w:lang w:val="lv-LV"/>
        </w:rPr>
        <w:t xml:space="preserve"> to nodod fermentācijas procesam vai klientiem -</w:t>
      </w:r>
      <w:r>
        <w:rPr>
          <w:rFonts w:eastAsia="Times New Roman"/>
          <w:lang w:val="lv-LV"/>
        </w:rPr>
        <w:t xml:space="preserve"> </w:t>
      </w:r>
      <w:r w:rsidRPr="00BC6C38">
        <w:rPr>
          <w:rFonts w:eastAsia="Times New Roman"/>
          <w:lang w:val="lv-LV"/>
        </w:rPr>
        <w:t>apkures, karstā ūdens, ventilācijas vai tehnoloģisku procesu nodrošināš</w:t>
      </w:r>
      <w:r w:rsidRPr="00BC6C38">
        <w:rPr>
          <w:rFonts w:eastAsia="Times New Roman"/>
          <w:lang w:val="lv-LV"/>
        </w:rPr>
        <w:t>anai.</w:t>
      </w:r>
    </w:p>
    <w:p w:rsidR="0014232D" w:rsidRDefault="00B347F3" w:rsidP="0014232D">
      <w:pPr>
        <w:pStyle w:val="ListParagraph"/>
        <w:ind w:left="0"/>
        <w:rPr>
          <w:rFonts w:eastAsia="Times New Roman"/>
          <w:lang w:val="lv-LV"/>
        </w:rPr>
      </w:pPr>
      <w:r>
        <w:rPr>
          <w:rFonts w:eastAsia="Times New Roman"/>
          <w:lang w:val="lv-LV"/>
        </w:rPr>
        <w:t>8</w:t>
      </w:r>
      <w:r w:rsidR="00743D12">
        <w:rPr>
          <w:rFonts w:eastAsia="Times New Roman"/>
          <w:lang w:val="lv-LV"/>
        </w:rPr>
        <w:t xml:space="preserve">.5. </w:t>
      </w:r>
      <w:r>
        <w:rPr>
          <w:rFonts w:eastAsia="Times New Roman"/>
          <w:lang w:val="lv-LV"/>
        </w:rPr>
        <w:t xml:space="preserve">Atbilstoši </w:t>
      </w:r>
      <w:r w:rsidRPr="00597BE5">
        <w:rPr>
          <w:rFonts w:eastAsia="Times New Roman"/>
          <w:lang w:val="lv-LV"/>
        </w:rPr>
        <w:t>2012.gada 25. oktobra direktīvas 2012/27/ES par energoefektivitāti  prasībām</w:t>
      </w:r>
      <w:r>
        <w:rPr>
          <w:rFonts w:eastAsia="Times New Roman"/>
          <w:lang w:val="lv-LV"/>
        </w:rPr>
        <w:t xml:space="preserve"> definīcijām: </w:t>
      </w:r>
      <w:r w:rsidRPr="00D27477">
        <w:rPr>
          <w:rFonts w:eastAsia="Times New Roman"/>
          <w:lang w:val="lv-LV"/>
        </w:rPr>
        <w:t>38)</w:t>
      </w:r>
      <w:r>
        <w:rPr>
          <w:rFonts w:eastAsia="Times New Roman"/>
          <w:lang w:val="lv-LV"/>
        </w:rPr>
        <w:t xml:space="preserve"> </w:t>
      </w:r>
      <w:r w:rsidRPr="00D27477">
        <w:rPr>
          <w:rFonts w:eastAsia="Times New Roman"/>
          <w:lang w:val="lv-LV"/>
        </w:rPr>
        <w:t xml:space="preserve">“maza apjoma koģenerācijas iekārta” ir koģenerācijas iekārta ar uzstādīto jaudu, kas nesasniedz 1 </w:t>
      </w:r>
      <w:proofErr w:type="spellStart"/>
      <w:r w:rsidRPr="00D27477">
        <w:rPr>
          <w:rFonts w:eastAsia="Times New Roman"/>
          <w:lang w:val="lv-LV"/>
        </w:rPr>
        <w:t>MWe</w:t>
      </w:r>
      <w:proofErr w:type="spellEnd"/>
      <w:r>
        <w:rPr>
          <w:rFonts w:eastAsia="Times New Roman"/>
          <w:lang w:val="lv-LV"/>
        </w:rPr>
        <w:t xml:space="preserve">. Savukārt šīs Direktīvas II </w:t>
      </w:r>
      <w:r>
        <w:rPr>
          <w:rFonts w:eastAsia="Times New Roman"/>
          <w:lang w:val="lv-LV"/>
        </w:rPr>
        <w:t>pielikumā ir minēts, ka “</w:t>
      </w:r>
      <w:r w:rsidRPr="00D27477">
        <w:rPr>
          <w:rFonts w:eastAsia="Times New Roman"/>
          <w:lang w:val="lv-LV"/>
        </w:rPr>
        <w:t xml:space="preserve">ražošanu maza apjoma koģenerācijas iekārtās un </w:t>
      </w:r>
      <w:proofErr w:type="spellStart"/>
      <w:r w:rsidRPr="00D27477">
        <w:rPr>
          <w:rFonts w:eastAsia="Times New Roman"/>
          <w:lang w:val="lv-LV"/>
        </w:rPr>
        <w:t>mikrokoģenerācijas</w:t>
      </w:r>
      <w:proofErr w:type="spellEnd"/>
      <w:r w:rsidRPr="00D27477">
        <w:rPr>
          <w:rFonts w:eastAsia="Times New Roman"/>
          <w:lang w:val="lv-LV"/>
        </w:rPr>
        <w:t xml:space="preserve"> iekārtās, kas ļauj sasniegt primārās enerģijas ietaupījumu, var uzskatīt par augstas efektivitātes koģenerāciju</w:t>
      </w:r>
      <w:r>
        <w:rPr>
          <w:rFonts w:eastAsia="Times New Roman"/>
          <w:lang w:val="lv-LV"/>
        </w:rPr>
        <w:t>”</w:t>
      </w:r>
      <w:r w:rsidRPr="00D27477">
        <w:rPr>
          <w:rFonts w:eastAsia="Times New Roman"/>
          <w:lang w:val="lv-LV"/>
        </w:rPr>
        <w:t xml:space="preserve">. </w:t>
      </w:r>
      <w:r>
        <w:rPr>
          <w:rFonts w:eastAsia="Times New Roman"/>
          <w:lang w:val="lv-LV"/>
        </w:rPr>
        <w:t>Tāpēc aicinām:</w:t>
      </w:r>
    </w:p>
    <w:p w:rsidR="0014232D" w:rsidRDefault="00B347F3" w:rsidP="00221581">
      <w:pPr>
        <w:pStyle w:val="ListParagraph"/>
        <w:numPr>
          <w:ilvl w:val="0"/>
          <w:numId w:val="20"/>
        </w:numPr>
        <w:ind w:left="426"/>
        <w:rPr>
          <w:rFonts w:eastAsia="Times New Roman"/>
          <w:lang w:val="lv-LV"/>
        </w:rPr>
      </w:pPr>
      <w:r>
        <w:rPr>
          <w:rFonts w:eastAsia="Times New Roman"/>
          <w:lang w:val="lv-LV"/>
        </w:rPr>
        <w:t>b</w:t>
      </w:r>
      <w:r w:rsidRPr="0090288D">
        <w:rPr>
          <w:rFonts w:eastAsia="Times New Roman"/>
          <w:lang w:val="lv-LV"/>
        </w:rPr>
        <w:t>iogāzes stacijām</w:t>
      </w:r>
      <w:r>
        <w:rPr>
          <w:rFonts w:eastAsia="Times New Roman"/>
          <w:lang w:val="lv-LV"/>
        </w:rPr>
        <w:t xml:space="preserve"> ar jaudu līdz 1 </w:t>
      </w:r>
      <w:proofErr w:type="spellStart"/>
      <w:r>
        <w:rPr>
          <w:rFonts w:eastAsia="Times New Roman"/>
          <w:lang w:val="lv-LV"/>
        </w:rPr>
        <w:t>MW</w:t>
      </w:r>
      <w:r w:rsidR="003829B3">
        <w:rPr>
          <w:rFonts w:eastAsia="Times New Roman"/>
          <w:lang w:val="lv-LV"/>
        </w:rPr>
        <w:t>e</w:t>
      </w:r>
      <w:proofErr w:type="spellEnd"/>
      <w:r>
        <w:rPr>
          <w:rFonts w:eastAsia="Times New Roman"/>
          <w:lang w:val="lv-LV"/>
        </w:rPr>
        <w:t>,</w:t>
      </w:r>
      <w:r w:rsidR="00061440">
        <w:rPr>
          <w:rFonts w:eastAsia="Times New Roman"/>
          <w:lang w:val="lv-LV"/>
        </w:rPr>
        <w:t xml:space="preserve"> veikt izmaiņas </w:t>
      </w:r>
      <w:r w:rsidR="003829B3">
        <w:rPr>
          <w:rFonts w:eastAsia="Times New Roman"/>
          <w:lang w:val="lv-LV"/>
        </w:rPr>
        <w:t xml:space="preserve">noteikumu </w:t>
      </w:r>
      <w:r w:rsidR="00061440">
        <w:rPr>
          <w:rFonts w:eastAsia="Times New Roman"/>
          <w:lang w:val="lv-LV"/>
        </w:rPr>
        <w:t>Nr.</w:t>
      </w:r>
      <w:r w:rsidR="003829B3">
        <w:rPr>
          <w:rFonts w:eastAsia="Times New Roman"/>
          <w:lang w:val="lv-LV"/>
        </w:rPr>
        <w:t xml:space="preserve">560 31.punktā </w:t>
      </w:r>
      <w:r w:rsidR="00061440">
        <w:rPr>
          <w:rFonts w:eastAsia="Times New Roman"/>
          <w:lang w:val="lv-LV"/>
        </w:rPr>
        <w:t xml:space="preserve">un papildināt noteikumu projektu ar regulējumu – nosakot, </w:t>
      </w:r>
      <w:r w:rsidR="003829B3">
        <w:rPr>
          <w:rFonts w:eastAsia="Times New Roman"/>
          <w:lang w:val="lv-LV"/>
        </w:rPr>
        <w:t>ka šīm biogāzes stacijām jānodrošina 1% primārās enerģijas ietaupījums norēķinu periodā</w:t>
      </w:r>
      <w:r>
        <w:rPr>
          <w:rFonts w:eastAsia="Times New Roman"/>
          <w:lang w:val="lv-LV"/>
        </w:rPr>
        <w:t>;</w:t>
      </w:r>
    </w:p>
    <w:p w:rsidR="0014232D" w:rsidRDefault="00B347F3" w:rsidP="00221581">
      <w:pPr>
        <w:pStyle w:val="ListParagraph"/>
        <w:numPr>
          <w:ilvl w:val="0"/>
          <w:numId w:val="20"/>
        </w:numPr>
        <w:ind w:left="426"/>
        <w:rPr>
          <w:rFonts w:eastAsia="Times New Roman"/>
          <w:lang w:val="lv-LV"/>
        </w:rPr>
      </w:pPr>
      <w:r>
        <w:rPr>
          <w:rFonts w:eastAsia="Times New Roman"/>
          <w:lang w:val="lv-LV"/>
        </w:rPr>
        <w:t>biogāzes stacijām ar jaudu lielāku par 1 MW,</w:t>
      </w:r>
      <w:r w:rsidRPr="0090288D">
        <w:rPr>
          <w:rFonts w:eastAsia="Times New Roman"/>
          <w:lang w:val="lv-LV"/>
        </w:rPr>
        <w:t xml:space="preserve"> IRR aprēķinā </w:t>
      </w:r>
      <w:r>
        <w:rPr>
          <w:rFonts w:eastAsia="Times New Roman"/>
          <w:lang w:val="lv-LV"/>
        </w:rPr>
        <w:t>pielie</w:t>
      </w:r>
      <w:r>
        <w:rPr>
          <w:rFonts w:eastAsia="Times New Roman"/>
          <w:lang w:val="lv-LV"/>
        </w:rPr>
        <w:t>tojamai</w:t>
      </w:r>
      <w:r w:rsidRPr="0090288D">
        <w:rPr>
          <w:rFonts w:eastAsia="Times New Roman"/>
          <w:lang w:val="lv-LV"/>
        </w:rPr>
        <w:t xml:space="preserve"> </w:t>
      </w:r>
      <w:r>
        <w:rPr>
          <w:rFonts w:eastAsia="Times New Roman"/>
          <w:lang w:val="lv-LV"/>
        </w:rPr>
        <w:t xml:space="preserve">koģenerācijas iekārtas </w:t>
      </w:r>
      <w:r w:rsidRPr="0090288D">
        <w:rPr>
          <w:rFonts w:eastAsia="Times New Roman"/>
          <w:lang w:val="lv-LV"/>
        </w:rPr>
        <w:t xml:space="preserve"> efektivitātei izmantot faktiskos tehniskās pases datus vai </w:t>
      </w:r>
      <w:proofErr w:type="spellStart"/>
      <w:r w:rsidRPr="0090288D">
        <w:rPr>
          <w:rFonts w:eastAsia="Times New Roman"/>
          <w:lang w:val="lv-LV"/>
        </w:rPr>
        <w:t>līmeņatzīmi</w:t>
      </w:r>
      <w:proofErr w:type="spellEnd"/>
      <w:r w:rsidRPr="0090288D">
        <w:rPr>
          <w:rFonts w:eastAsia="Times New Roman"/>
          <w:lang w:val="lv-LV"/>
        </w:rPr>
        <w:t xml:space="preserve">  - 7</w:t>
      </w:r>
      <w:r>
        <w:rPr>
          <w:rFonts w:eastAsia="Times New Roman"/>
          <w:lang w:val="lv-LV"/>
        </w:rPr>
        <w:t>5</w:t>
      </w:r>
      <w:r w:rsidRPr="0090288D">
        <w:rPr>
          <w:rFonts w:eastAsia="Times New Roman"/>
          <w:lang w:val="lv-LV"/>
        </w:rPr>
        <w:t>%.</w:t>
      </w:r>
      <w:r>
        <w:rPr>
          <w:rFonts w:eastAsia="Times New Roman"/>
          <w:lang w:val="lv-LV"/>
        </w:rPr>
        <w:t xml:space="preserve"> saskaņā ar </w:t>
      </w:r>
      <w:r w:rsidRPr="00407F3A">
        <w:rPr>
          <w:rFonts w:eastAsia="Times New Roman"/>
          <w:lang w:val="lv-LV"/>
        </w:rPr>
        <w:t xml:space="preserve">2012.gada 25. oktobra </w:t>
      </w:r>
      <w:r>
        <w:rPr>
          <w:rFonts w:eastAsia="Times New Roman"/>
          <w:lang w:val="lv-LV"/>
        </w:rPr>
        <w:t xml:space="preserve">direktīvas </w:t>
      </w:r>
      <w:r w:rsidRPr="00407F3A">
        <w:rPr>
          <w:rFonts w:eastAsia="Times New Roman"/>
          <w:lang w:val="lv-LV"/>
        </w:rPr>
        <w:t xml:space="preserve">2012/27/ES par energoefektivitāti </w:t>
      </w:r>
      <w:r>
        <w:rPr>
          <w:rFonts w:eastAsia="Times New Roman"/>
          <w:lang w:val="lv-LV"/>
        </w:rPr>
        <w:t xml:space="preserve"> prasībām (I pielikums). Vienlaikus vēlamies uzsvērt, ka iepriekšmi</w:t>
      </w:r>
      <w:r>
        <w:rPr>
          <w:rFonts w:eastAsia="Times New Roman"/>
          <w:lang w:val="lv-LV"/>
        </w:rPr>
        <w:t>nēt</w:t>
      </w:r>
      <w:r w:rsidR="00A5618E">
        <w:rPr>
          <w:rFonts w:eastAsia="Times New Roman"/>
          <w:lang w:val="lv-LV"/>
        </w:rPr>
        <w:t>ā</w:t>
      </w:r>
      <w:r>
        <w:rPr>
          <w:rFonts w:eastAsia="Times New Roman"/>
          <w:lang w:val="lv-LV"/>
        </w:rPr>
        <w:t xml:space="preserve"> Direktīva nosaka, ka tā ir  </w:t>
      </w:r>
      <w:r w:rsidRPr="00852D8A">
        <w:rPr>
          <w:rFonts w:eastAsia="Times New Roman"/>
          <w:lang w:val="lv-LV"/>
        </w:rPr>
        <w:t>gada kopējā efektivitāte</w:t>
      </w:r>
      <w:r>
        <w:rPr>
          <w:rFonts w:eastAsia="Times New Roman"/>
          <w:lang w:val="lv-LV"/>
        </w:rPr>
        <w:t xml:space="preserve">. </w:t>
      </w:r>
    </w:p>
    <w:p w:rsidR="00212433" w:rsidRDefault="00B347F3" w:rsidP="00212433">
      <w:pPr>
        <w:pStyle w:val="ListParagraph"/>
        <w:ind w:left="0"/>
        <w:rPr>
          <w:rFonts w:eastAsia="Times New Roman"/>
          <w:lang w:val="lv-LV"/>
        </w:rPr>
      </w:pPr>
      <w:r>
        <w:rPr>
          <w:rFonts w:eastAsia="Times New Roman"/>
          <w:lang w:val="lv-LV"/>
        </w:rPr>
        <w:t>8.6. siltumenerģijas ienākumiem pagātnē izmantot faktiskus ieņēmumu datus, kas attiecināts pret faktisko pārdoto siltumenerģijas daudzumu, nākotnei pēdējo pāris gadu vidēji svērto pārdošanas cenu.</w:t>
      </w:r>
      <w:r>
        <w:rPr>
          <w:rFonts w:eastAsia="Times New Roman"/>
          <w:lang w:val="lv-LV"/>
        </w:rPr>
        <w:t xml:space="preserve"> </w:t>
      </w:r>
    </w:p>
    <w:p w:rsidR="00A5618E" w:rsidRPr="0090288D" w:rsidRDefault="00B347F3" w:rsidP="00A5618E">
      <w:pPr>
        <w:pStyle w:val="ListParagraph"/>
        <w:ind w:left="0"/>
        <w:rPr>
          <w:rFonts w:eastAsia="Times New Roman"/>
          <w:lang w:val="lv-LV"/>
        </w:rPr>
      </w:pPr>
      <w:r>
        <w:rPr>
          <w:rFonts w:eastAsia="Times New Roman"/>
          <w:lang w:val="lv-LV"/>
        </w:rPr>
        <w:t>8</w:t>
      </w:r>
      <w:r w:rsidR="00407F3A">
        <w:rPr>
          <w:rFonts w:eastAsia="Times New Roman"/>
          <w:lang w:val="lv-LV"/>
        </w:rPr>
        <w:t>.</w:t>
      </w:r>
      <w:r>
        <w:rPr>
          <w:rFonts w:eastAsia="Times New Roman"/>
          <w:lang w:val="lv-LV"/>
        </w:rPr>
        <w:t>7</w:t>
      </w:r>
      <w:bookmarkStart w:id="10" w:name="_Hlk62558358"/>
      <w:r>
        <w:rPr>
          <w:rFonts w:eastAsia="Times New Roman"/>
          <w:lang w:val="lv-LV"/>
        </w:rPr>
        <w:t>.</w:t>
      </w:r>
      <w:r w:rsidRPr="00A5618E">
        <w:rPr>
          <w:rFonts w:eastAsia="Times New Roman"/>
          <w:lang w:val="lv-LV"/>
        </w:rPr>
        <w:t xml:space="preserve"> </w:t>
      </w:r>
      <w:r>
        <w:rPr>
          <w:rFonts w:eastAsia="Times New Roman"/>
          <w:lang w:val="lv-LV"/>
        </w:rPr>
        <w:t>elektroenerģijas ieņēmumus IRR aprēķinā nosaka tikai  no realizētā elektroenerģijas daudzuma.</w:t>
      </w:r>
    </w:p>
    <w:bookmarkEnd w:id="10"/>
    <w:p w:rsidR="001B7254" w:rsidRDefault="00B347F3" w:rsidP="005B2192">
      <w:pPr>
        <w:rPr>
          <w:szCs w:val="24"/>
          <w:lang w:val="lv-LV"/>
        </w:rPr>
      </w:pPr>
      <w:r>
        <w:rPr>
          <w:lang w:val="lv-LV"/>
        </w:rPr>
        <w:t>8</w:t>
      </w:r>
      <w:r w:rsidR="009713F2" w:rsidRPr="005B2192">
        <w:rPr>
          <w:lang w:val="lv-LV"/>
        </w:rPr>
        <w:t>.</w:t>
      </w:r>
      <w:r w:rsidR="00A5618E">
        <w:rPr>
          <w:lang w:val="lv-LV"/>
        </w:rPr>
        <w:t>8</w:t>
      </w:r>
      <w:r w:rsidR="009713F2" w:rsidRPr="005B2192">
        <w:rPr>
          <w:lang w:val="lv-LV"/>
        </w:rPr>
        <w:t xml:space="preserve">. </w:t>
      </w:r>
      <w:r w:rsidR="00526633" w:rsidRPr="005B2192">
        <w:rPr>
          <w:lang w:val="lv-LV"/>
        </w:rPr>
        <w:t xml:space="preserve">Par kurināmā cenu </w:t>
      </w:r>
      <w:proofErr w:type="spellStart"/>
      <w:r w:rsidR="00526633" w:rsidRPr="005B2192">
        <w:rPr>
          <w:lang w:val="lv-LV"/>
        </w:rPr>
        <w:t>līmeņatzīmēm</w:t>
      </w:r>
      <w:proofErr w:type="spellEnd"/>
      <w:r w:rsidR="00526633" w:rsidRPr="005B2192">
        <w:rPr>
          <w:lang w:val="lv-LV"/>
        </w:rPr>
        <w:t>: v</w:t>
      </w:r>
      <w:r w:rsidR="00FA242D" w:rsidRPr="005B2192">
        <w:rPr>
          <w:lang w:val="lv-LV"/>
        </w:rPr>
        <w:t>ērša</w:t>
      </w:r>
      <w:r w:rsidR="00526633" w:rsidRPr="005B2192">
        <w:rPr>
          <w:lang w:val="lv-LV"/>
        </w:rPr>
        <w:t xml:space="preserve">m uzmanību, KPMG veiktajā pētījumā ir </w:t>
      </w:r>
      <w:r w:rsidR="005B2192">
        <w:rPr>
          <w:lang w:val="lv-LV"/>
        </w:rPr>
        <w:t xml:space="preserve">norādīts, ka </w:t>
      </w:r>
      <w:r w:rsidR="00526633" w:rsidRPr="005B2192">
        <w:rPr>
          <w:lang w:val="lv-LV"/>
        </w:rPr>
        <w:t xml:space="preserve">kurināmā cenu izmaksu </w:t>
      </w:r>
      <w:proofErr w:type="spellStart"/>
      <w:r w:rsidR="00526633" w:rsidRPr="005B2192">
        <w:rPr>
          <w:lang w:val="lv-LV"/>
        </w:rPr>
        <w:t>līmeņatzīmes</w:t>
      </w:r>
      <w:proofErr w:type="spellEnd"/>
      <w:r w:rsidR="00526633" w:rsidRPr="005B2192">
        <w:rPr>
          <w:lang w:val="lv-LV"/>
        </w:rPr>
        <w:t xml:space="preserve"> (biogāzes stacijām), piemēram, šķidrajiem mēsliem un citiem fermas atlikuma produktiem pašizmaksa </w:t>
      </w:r>
      <w:r w:rsidR="005B2192">
        <w:rPr>
          <w:lang w:val="lv-LV"/>
        </w:rPr>
        <w:t xml:space="preserve">nevar sastādīt </w:t>
      </w:r>
      <w:r w:rsidR="00526633" w:rsidRPr="005B2192">
        <w:rPr>
          <w:lang w:val="lv-LV"/>
        </w:rPr>
        <w:t xml:space="preserve">0 </w:t>
      </w:r>
      <w:proofErr w:type="spellStart"/>
      <w:r w:rsidR="00526633" w:rsidRPr="005B2192">
        <w:rPr>
          <w:lang w:val="lv-LV"/>
        </w:rPr>
        <w:t>euro</w:t>
      </w:r>
      <w:proofErr w:type="spellEnd"/>
      <w:r w:rsidR="00526633" w:rsidRPr="005B2192">
        <w:rPr>
          <w:lang w:val="lv-LV"/>
        </w:rPr>
        <w:t>/</w:t>
      </w:r>
      <w:proofErr w:type="spellStart"/>
      <w:r w:rsidRPr="005B2192">
        <w:rPr>
          <w:lang w:val="lv-LV"/>
        </w:rPr>
        <w:t>Mwh</w:t>
      </w:r>
      <w:proofErr w:type="spellEnd"/>
      <w:r w:rsidRPr="005B2192">
        <w:rPr>
          <w:lang w:val="lv-LV"/>
        </w:rPr>
        <w:t xml:space="preserve">. </w:t>
      </w:r>
      <w:r w:rsidR="00F13D69">
        <w:rPr>
          <w:lang w:val="lv-LV"/>
        </w:rPr>
        <w:t>A</w:t>
      </w:r>
      <w:r w:rsidRPr="005B2192">
        <w:rPr>
          <w:lang w:val="lv-LV"/>
        </w:rPr>
        <w:t>pgalvojumam, k</w:t>
      </w:r>
      <w:r w:rsidR="00F13D69">
        <w:rPr>
          <w:lang w:val="lv-LV"/>
        </w:rPr>
        <w:t>ā</w:t>
      </w:r>
      <w:r w:rsidRPr="005B2192">
        <w:rPr>
          <w:lang w:val="lv-LV"/>
        </w:rPr>
        <w:t xml:space="preserve"> </w:t>
      </w:r>
      <w:proofErr w:type="spellStart"/>
      <w:r w:rsidRPr="005B2192">
        <w:rPr>
          <w:lang w:val="lv-LV"/>
        </w:rPr>
        <w:t>šķidrmēslu</w:t>
      </w:r>
      <w:proofErr w:type="spellEnd"/>
      <w:r w:rsidRPr="005B2192">
        <w:rPr>
          <w:lang w:val="lv-LV"/>
        </w:rPr>
        <w:t xml:space="preserve"> pašizmaksa </w:t>
      </w:r>
      <w:r w:rsidR="00F13D69">
        <w:rPr>
          <w:lang w:val="lv-LV"/>
        </w:rPr>
        <w:t xml:space="preserve">sastāda </w:t>
      </w:r>
      <w:r w:rsidRPr="005B2192">
        <w:rPr>
          <w:lang w:val="lv-LV"/>
        </w:rPr>
        <w:t xml:space="preserve">0 </w:t>
      </w:r>
      <w:proofErr w:type="spellStart"/>
      <w:r w:rsidRPr="005B2192">
        <w:rPr>
          <w:lang w:val="lv-LV"/>
        </w:rPr>
        <w:t>euro</w:t>
      </w:r>
      <w:proofErr w:type="spellEnd"/>
      <w:r w:rsidRPr="005B2192">
        <w:rPr>
          <w:lang w:val="lv-LV"/>
        </w:rPr>
        <w:t>/</w:t>
      </w:r>
      <w:proofErr w:type="spellStart"/>
      <w:r w:rsidRPr="005B2192">
        <w:rPr>
          <w:lang w:val="lv-LV"/>
        </w:rPr>
        <w:t>M</w:t>
      </w:r>
      <w:r w:rsidR="00297145">
        <w:rPr>
          <w:lang w:val="lv-LV"/>
        </w:rPr>
        <w:t>W</w:t>
      </w:r>
      <w:r w:rsidRPr="005B2192">
        <w:rPr>
          <w:lang w:val="lv-LV"/>
        </w:rPr>
        <w:t>h</w:t>
      </w:r>
      <w:proofErr w:type="spellEnd"/>
      <w:r w:rsidRPr="005B2192">
        <w:rPr>
          <w:lang w:val="lv-LV"/>
        </w:rPr>
        <w:t xml:space="preserve"> kategoriski nevar piekrist. </w:t>
      </w:r>
      <w:r w:rsidR="00526633" w:rsidRPr="005B2192">
        <w:rPr>
          <w:lang w:val="lv-LV"/>
        </w:rPr>
        <w:t>Kurināmā izmaksām</w:t>
      </w:r>
      <w:r w:rsidR="00FA242D" w:rsidRPr="005B2192">
        <w:rPr>
          <w:lang w:val="lv-LV"/>
        </w:rPr>
        <w:t xml:space="preserve"> ir ļoti būtiska loma IRR aprēķinu rezultātā, jo tas uzreiz skars arī staciju pirmo gadu rādītājus, kam ir izšķiroša loma IRR rezultātā. </w:t>
      </w:r>
      <w:r w:rsidRPr="00F13D69">
        <w:rPr>
          <w:lang w:val="lv-LV"/>
        </w:rPr>
        <w:t xml:space="preserve">Tāpēc aicinām </w:t>
      </w:r>
      <w:r w:rsidR="005B2192">
        <w:rPr>
          <w:lang w:val="lv-LV"/>
        </w:rPr>
        <w:t xml:space="preserve">precizēt </w:t>
      </w:r>
      <w:r w:rsidR="00F13D69">
        <w:rPr>
          <w:lang w:val="lv-LV"/>
        </w:rPr>
        <w:t>n</w:t>
      </w:r>
      <w:r w:rsidRPr="00F13D69">
        <w:rPr>
          <w:lang w:val="lv-LV"/>
        </w:rPr>
        <w:t xml:space="preserve">oteikumu </w:t>
      </w:r>
      <w:r w:rsidR="00F13D69">
        <w:rPr>
          <w:lang w:val="lv-LV"/>
        </w:rPr>
        <w:t xml:space="preserve">projekta </w:t>
      </w:r>
      <w:r w:rsidRPr="00F13D69">
        <w:rPr>
          <w:lang w:val="lv-LV"/>
        </w:rPr>
        <w:t>pielikum</w:t>
      </w:r>
      <w:r w:rsidR="00F13D69">
        <w:rPr>
          <w:lang w:val="lv-LV"/>
        </w:rPr>
        <w:t>a</w:t>
      </w:r>
      <w:r w:rsidRPr="00F13D69">
        <w:rPr>
          <w:lang w:val="lv-LV"/>
        </w:rPr>
        <w:t xml:space="preserve"> </w:t>
      </w:r>
      <w:r w:rsidR="00F13D69">
        <w:rPr>
          <w:lang w:val="lv-LV"/>
        </w:rPr>
        <w:t>(</w:t>
      </w:r>
      <w:r w:rsidR="001C5D76">
        <w:rPr>
          <w:lang w:val="lv-LV"/>
        </w:rPr>
        <w:t>8</w:t>
      </w:r>
      <w:r w:rsidR="00F13D69">
        <w:rPr>
          <w:lang w:val="lv-LV"/>
        </w:rPr>
        <w:t>.pielikums)</w:t>
      </w:r>
      <w:r w:rsidRPr="00F13D69">
        <w:rPr>
          <w:lang w:val="lv-LV"/>
        </w:rPr>
        <w:t xml:space="preserve"> </w:t>
      </w:r>
      <w:r w:rsidR="00F13D69">
        <w:rPr>
          <w:lang w:val="lv-LV"/>
        </w:rPr>
        <w:t xml:space="preserve">II. </w:t>
      </w:r>
      <w:r w:rsidRPr="00F13D69">
        <w:rPr>
          <w:lang w:val="lv-LV"/>
        </w:rPr>
        <w:t>sadaļ</w:t>
      </w:r>
      <w:r w:rsidR="00F13D69">
        <w:rPr>
          <w:lang w:val="lv-LV"/>
        </w:rPr>
        <w:t>as</w:t>
      </w:r>
      <w:r w:rsidRPr="00F13D69">
        <w:rPr>
          <w:lang w:val="lv-LV"/>
        </w:rPr>
        <w:t xml:space="preserve"> </w:t>
      </w:r>
      <w:r w:rsidR="00F13D69">
        <w:rPr>
          <w:lang w:val="lv-LV"/>
        </w:rPr>
        <w:t>“</w:t>
      </w:r>
      <w:proofErr w:type="spellStart"/>
      <w:r w:rsidRPr="00F13D69">
        <w:rPr>
          <w:bCs/>
          <w:lang w:val="lv-LV"/>
        </w:rPr>
        <w:t>Līmeņatzīmes</w:t>
      </w:r>
      <w:proofErr w:type="spellEnd"/>
      <w:r w:rsidRPr="00F13D69">
        <w:rPr>
          <w:bCs/>
          <w:lang w:val="lv-LV"/>
        </w:rPr>
        <w:t xml:space="preserve"> elektrostacijas kopē</w:t>
      </w:r>
      <w:r w:rsidRPr="00F13D69">
        <w:rPr>
          <w:bCs/>
          <w:lang w:val="lv-LV"/>
        </w:rPr>
        <w:t>jo</w:t>
      </w:r>
      <w:r w:rsidR="005220F5">
        <w:rPr>
          <w:bCs/>
          <w:lang w:val="lv-LV"/>
        </w:rPr>
        <w:t xml:space="preserve"> </w:t>
      </w:r>
      <w:r w:rsidRPr="00F13D69">
        <w:rPr>
          <w:bCs/>
          <w:lang w:val="lv-LV"/>
        </w:rPr>
        <w:t>kapitālieguldījumu iekšējās peļņas normas aprēķinam</w:t>
      </w:r>
      <w:r w:rsidR="00F13D69">
        <w:rPr>
          <w:bCs/>
          <w:lang w:val="lv-LV"/>
        </w:rPr>
        <w:t>”</w:t>
      </w:r>
      <w:r w:rsidRPr="00F13D69">
        <w:rPr>
          <w:lang w:val="lv-LV"/>
        </w:rPr>
        <w:t xml:space="preserve">, tabulu Nr.2 </w:t>
      </w:r>
      <w:r w:rsidR="00F13D69">
        <w:rPr>
          <w:lang w:val="lv-LV"/>
        </w:rPr>
        <w:t>“</w:t>
      </w:r>
      <w:r w:rsidRPr="00F13D69">
        <w:rPr>
          <w:lang w:val="lv-LV"/>
        </w:rPr>
        <w:t xml:space="preserve">Biogāzes stacijām (izņemot stacijas, kurās izmanto biomasas gazifikāciju vai </w:t>
      </w:r>
      <w:proofErr w:type="spellStart"/>
      <w:r w:rsidRPr="00F13D69">
        <w:rPr>
          <w:lang w:val="lv-LV"/>
        </w:rPr>
        <w:t>poligongāzes</w:t>
      </w:r>
      <w:proofErr w:type="spellEnd"/>
      <w:r w:rsidRPr="00F13D69">
        <w:rPr>
          <w:lang w:val="lv-LV"/>
        </w:rPr>
        <w:t xml:space="preserve">) piemērojamās kurināmā cenas </w:t>
      </w:r>
      <w:proofErr w:type="spellStart"/>
      <w:r w:rsidRPr="00F13D69">
        <w:rPr>
          <w:lang w:val="lv-LV"/>
        </w:rPr>
        <w:t>līmeņatzīmes</w:t>
      </w:r>
      <w:proofErr w:type="spellEnd"/>
      <w:r w:rsidR="00F13D69" w:rsidRPr="00F13D69">
        <w:rPr>
          <w:lang w:val="lv-LV"/>
        </w:rPr>
        <w:t xml:space="preserve">”, </w:t>
      </w:r>
      <w:r w:rsidR="00F13D69" w:rsidRPr="00F13D69">
        <w:rPr>
          <w:lang w:val="lv-LV"/>
        </w:rPr>
        <w:lastRenderedPageBreak/>
        <w:t xml:space="preserve">iekļaujot tajā </w:t>
      </w:r>
      <w:r w:rsidR="00090A77" w:rsidRPr="00F13D69">
        <w:rPr>
          <w:lang w:val="lv-LV"/>
        </w:rPr>
        <w:t xml:space="preserve">šādas </w:t>
      </w:r>
      <w:r w:rsidRPr="00221581">
        <w:rPr>
          <w:szCs w:val="24"/>
          <w:lang w:val="lv-LV"/>
        </w:rPr>
        <w:t xml:space="preserve">kurināmā cenu </w:t>
      </w:r>
      <w:proofErr w:type="spellStart"/>
      <w:r w:rsidRPr="00221581">
        <w:rPr>
          <w:szCs w:val="24"/>
          <w:lang w:val="lv-LV"/>
        </w:rPr>
        <w:t>līmeņatzīmes</w:t>
      </w:r>
      <w:proofErr w:type="spellEnd"/>
      <w:r w:rsidR="00672FF8" w:rsidRPr="00221581">
        <w:rPr>
          <w:szCs w:val="24"/>
          <w:lang w:val="lv-LV"/>
        </w:rPr>
        <w:t xml:space="preserve"> (balstoties uz KPNG pētījumu)</w:t>
      </w:r>
      <w:r w:rsidRPr="00221581">
        <w:rPr>
          <w:szCs w:val="24"/>
          <w:lang w:val="lv-LV"/>
        </w:rPr>
        <w:t xml:space="preserve">: </w:t>
      </w:r>
      <w:r w:rsidR="00DB435F">
        <w:rPr>
          <w:szCs w:val="24"/>
          <w:lang w:val="lv-LV"/>
        </w:rPr>
        <w:t xml:space="preserve">periodam līdz 2020.gadam izmantot kurināmā </w:t>
      </w:r>
      <w:proofErr w:type="spellStart"/>
      <w:r w:rsidR="00DB435F">
        <w:rPr>
          <w:szCs w:val="24"/>
          <w:lang w:val="lv-LV"/>
        </w:rPr>
        <w:t>līmeņatzīmes</w:t>
      </w:r>
      <w:proofErr w:type="spellEnd"/>
      <w:r w:rsidR="00DB435F">
        <w:rPr>
          <w:szCs w:val="24"/>
          <w:lang w:val="lv-LV"/>
        </w:rPr>
        <w:t xml:space="preserve">, kas attiecīgi </w:t>
      </w:r>
      <w:r w:rsidR="00DB435F" w:rsidRPr="00631A5E">
        <w:rPr>
          <w:szCs w:val="24"/>
          <w:lang w:val="lv-LV"/>
        </w:rPr>
        <w:t xml:space="preserve">šim periodam tika pielietotas saskaņā ar </w:t>
      </w:r>
      <w:r w:rsidR="00177EA2" w:rsidRPr="00631A5E">
        <w:rPr>
          <w:szCs w:val="24"/>
          <w:lang w:val="lv-LV"/>
        </w:rPr>
        <w:t xml:space="preserve">2010.gada 16.marta </w:t>
      </w:r>
      <w:r w:rsidR="00DB435F" w:rsidRPr="00631A5E">
        <w:rPr>
          <w:szCs w:val="24"/>
          <w:lang w:val="lv-LV"/>
        </w:rPr>
        <w:t>M</w:t>
      </w:r>
      <w:r w:rsidR="00177EA2" w:rsidRPr="00631A5E">
        <w:rPr>
          <w:szCs w:val="24"/>
          <w:lang w:val="lv-LV"/>
        </w:rPr>
        <w:t>inistru kabineta noteikum</w:t>
      </w:r>
      <w:r w:rsidR="00221581" w:rsidRPr="00631A5E">
        <w:rPr>
          <w:szCs w:val="24"/>
          <w:lang w:val="lv-LV"/>
        </w:rPr>
        <w:t>u</w:t>
      </w:r>
      <w:r w:rsidR="00177EA2" w:rsidRPr="00631A5E">
        <w:rPr>
          <w:szCs w:val="24"/>
          <w:lang w:val="lv-LV"/>
        </w:rPr>
        <w:t xml:space="preserve"> </w:t>
      </w:r>
      <w:r w:rsidR="00221581" w:rsidRPr="00631A5E">
        <w:rPr>
          <w:szCs w:val="24"/>
          <w:lang w:val="lv-LV"/>
        </w:rPr>
        <w:t>Nr.</w:t>
      </w:r>
      <w:r w:rsidR="00DB435F" w:rsidRPr="00631A5E">
        <w:rPr>
          <w:szCs w:val="24"/>
          <w:lang w:val="lv-LV"/>
        </w:rPr>
        <w:t xml:space="preserve">262 “Noteikumi par elektroenerģijas ražošanu, izmantojot atjaunojamos energoresursus, un cenu noteikšanas kārtību” </w:t>
      </w:r>
      <w:r w:rsidR="009F3849" w:rsidRPr="00631A5E">
        <w:rPr>
          <w:szCs w:val="24"/>
          <w:lang w:val="lv-LV"/>
        </w:rPr>
        <w:t xml:space="preserve">10. pielikuma </w:t>
      </w:r>
      <w:r w:rsidR="00DB435F" w:rsidRPr="00631A5E">
        <w:rPr>
          <w:szCs w:val="24"/>
          <w:lang w:val="lv-LV"/>
        </w:rPr>
        <w:t xml:space="preserve">4.tabulu, bet no 2020.gada nākotnes periodiem izmantot pēdējo trīs gadu vidējo kurināmā izmaksas </w:t>
      </w:r>
      <w:proofErr w:type="spellStart"/>
      <w:r w:rsidR="00DB435F" w:rsidRPr="00631A5E">
        <w:rPr>
          <w:szCs w:val="24"/>
          <w:lang w:val="lv-LV"/>
        </w:rPr>
        <w:t>līmeņatzīmi</w:t>
      </w:r>
      <w:proofErr w:type="spellEnd"/>
      <w:r w:rsidR="00DB435F" w:rsidRPr="00631A5E">
        <w:rPr>
          <w:szCs w:val="24"/>
          <w:lang w:val="lv-LV"/>
        </w:rPr>
        <w:t xml:space="preserve"> (KPMG pētījuma Tabula 16), attiecīgi to indeksējot ar inflācijas prognozi nākotnes periodiem.</w:t>
      </w:r>
      <w:r w:rsidR="009F3849" w:rsidRPr="00631A5E">
        <w:rPr>
          <w:szCs w:val="24"/>
          <w:lang w:val="lv-LV"/>
        </w:rPr>
        <w:t xml:space="preserve"> Aicinām arī saglabāt iespēju ražotājiem iesniegt faktiskā</w:t>
      </w:r>
      <w:r w:rsidR="00431851" w:rsidRPr="00631A5E">
        <w:rPr>
          <w:szCs w:val="24"/>
          <w:lang w:val="lv-LV"/>
        </w:rPr>
        <w:t>s</w:t>
      </w:r>
      <w:r w:rsidR="009F3849" w:rsidRPr="00631A5E">
        <w:rPr>
          <w:szCs w:val="24"/>
          <w:lang w:val="lv-LV"/>
        </w:rPr>
        <w:t xml:space="preserve"> kurināmā ražošanas izmaksas par pagātnes periodiem.</w:t>
      </w:r>
    </w:p>
    <w:p w:rsidR="009713F2" w:rsidRDefault="009713F2" w:rsidP="00407F3A">
      <w:pPr>
        <w:pStyle w:val="ListParagraph"/>
        <w:ind w:left="0"/>
        <w:rPr>
          <w:rFonts w:eastAsia="Times New Roman"/>
          <w:lang w:val="lv-LV"/>
        </w:rPr>
      </w:pPr>
    </w:p>
    <w:p w:rsidR="00EE6CF0" w:rsidRDefault="00EE6CF0" w:rsidP="00407F3A">
      <w:pPr>
        <w:pStyle w:val="ListParagraph"/>
        <w:ind w:left="0"/>
        <w:rPr>
          <w:rFonts w:eastAsia="Times New Roman"/>
          <w:lang w:val="lv-LV"/>
        </w:rPr>
      </w:pPr>
    </w:p>
    <w:p w:rsidR="00EE6CF0" w:rsidRPr="0090288D" w:rsidRDefault="00EE6CF0" w:rsidP="00407F3A">
      <w:pPr>
        <w:pStyle w:val="ListParagraph"/>
        <w:ind w:left="0"/>
        <w:rPr>
          <w:rFonts w:eastAsia="Times New Roman"/>
          <w:lang w:val="lv-LV"/>
        </w:rPr>
      </w:pPr>
    </w:p>
    <w:bookmarkEnd w:id="3"/>
    <w:p w:rsidR="00E24ADA" w:rsidRDefault="00B347F3" w:rsidP="00E24ADA">
      <w:pPr>
        <w:ind w:firstLine="0"/>
        <w:rPr>
          <w:szCs w:val="24"/>
          <w:lang w:val="lv-LV"/>
        </w:rPr>
      </w:pPr>
      <w:r>
        <w:rPr>
          <w:szCs w:val="24"/>
          <w:lang w:val="lv-LV"/>
        </w:rPr>
        <w:t>Valsts sekretāre</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D. </w:t>
      </w:r>
      <w:proofErr w:type="spellStart"/>
      <w:r>
        <w:rPr>
          <w:szCs w:val="24"/>
          <w:lang w:val="lv-LV"/>
        </w:rPr>
        <w:t>Lucaua</w:t>
      </w:r>
      <w:proofErr w:type="spellEnd"/>
    </w:p>
    <w:p w:rsidR="00E24ADA" w:rsidRDefault="00E24ADA" w:rsidP="00E24ADA">
      <w:pPr>
        <w:rPr>
          <w:szCs w:val="24"/>
          <w:lang w:val="lv-LV"/>
        </w:rPr>
      </w:pPr>
    </w:p>
    <w:p w:rsidR="00EE6CF0" w:rsidRDefault="00EE6CF0" w:rsidP="00E24ADA">
      <w:pPr>
        <w:rPr>
          <w:szCs w:val="24"/>
          <w:lang w:val="lv-LV"/>
        </w:rPr>
      </w:pPr>
    </w:p>
    <w:p w:rsidR="00EE6CF0" w:rsidRDefault="00EE6CF0" w:rsidP="00E24ADA">
      <w:pPr>
        <w:rPr>
          <w:szCs w:val="24"/>
          <w:lang w:val="lv-LV"/>
        </w:rPr>
      </w:pPr>
    </w:p>
    <w:p w:rsidR="00EE6CF0" w:rsidRDefault="00EE6CF0"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036CA7" w:rsidRDefault="00036CA7" w:rsidP="00E24ADA">
      <w:pPr>
        <w:rPr>
          <w:szCs w:val="24"/>
          <w:lang w:val="lv-LV"/>
        </w:rPr>
      </w:pPr>
    </w:p>
    <w:p w:rsidR="00EE6CF0" w:rsidRDefault="00EE6CF0" w:rsidP="00E24ADA">
      <w:pPr>
        <w:rPr>
          <w:szCs w:val="24"/>
          <w:lang w:val="lv-LV"/>
        </w:rPr>
      </w:pPr>
    </w:p>
    <w:p w:rsidR="002925AE" w:rsidRPr="00E038FC" w:rsidRDefault="00B347F3" w:rsidP="002925AE">
      <w:pPr>
        <w:tabs>
          <w:tab w:val="left" w:pos="4215"/>
        </w:tabs>
        <w:ind w:right="-2" w:firstLine="0"/>
        <w:contextualSpacing/>
        <w:jc w:val="left"/>
        <w:rPr>
          <w:sz w:val="20"/>
          <w:szCs w:val="20"/>
          <w:lang w:val="lv-LV"/>
        </w:rPr>
      </w:pPr>
      <w:proofErr w:type="spellStart"/>
      <w:r w:rsidRPr="00E038FC">
        <w:rPr>
          <w:sz w:val="20"/>
          <w:szCs w:val="20"/>
          <w:lang w:val="lv-LV"/>
        </w:rPr>
        <w:t>Silicka</w:t>
      </w:r>
      <w:proofErr w:type="spellEnd"/>
      <w:r w:rsidRPr="00E038FC">
        <w:rPr>
          <w:sz w:val="20"/>
          <w:szCs w:val="20"/>
          <w:lang w:val="lv-LV"/>
        </w:rPr>
        <w:t xml:space="preserve"> </w:t>
      </w:r>
      <w:r w:rsidR="00AD637C" w:rsidRPr="00E038FC">
        <w:rPr>
          <w:sz w:val="20"/>
          <w:szCs w:val="20"/>
          <w:lang w:val="lv-LV"/>
        </w:rPr>
        <w:t>67027393</w:t>
      </w:r>
    </w:p>
    <w:p w:rsidR="00E24ADA" w:rsidRPr="00036CA7" w:rsidRDefault="00B347F3" w:rsidP="002925AE">
      <w:pPr>
        <w:tabs>
          <w:tab w:val="left" w:pos="4215"/>
        </w:tabs>
        <w:ind w:right="-2" w:firstLine="0"/>
        <w:contextualSpacing/>
        <w:jc w:val="left"/>
        <w:rPr>
          <w:rStyle w:val="Hyperlink"/>
          <w:sz w:val="20"/>
          <w:szCs w:val="20"/>
          <w:lang w:val="lv-LV"/>
        </w:rPr>
      </w:pPr>
      <w:hyperlink r:id="rId8" w:history="1">
        <w:r w:rsidR="000B265D" w:rsidRPr="00036CA7">
          <w:rPr>
            <w:rStyle w:val="Hyperlink"/>
            <w:sz w:val="20"/>
            <w:szCs w:val="20"/>
            <w:lang w:val="lv-LV"/>
          </w:rPr>
          <w:t>natalja.silicka@zm.gov.lv</w:t>
        </w:r>
      </w:hyperlink>
    </w:p>
    <w:p w:rsidR="00EE6CF0" w:rsidRDefault="00EE6CF0" w:rsidP="002925AE">
      <w:pPr>
        <w:tabs>
          <w:tab w:val="left" w:pos="4215"/>
        </w:tabs>
        <w:ind w:right="-2" w:firstLine="0"/>
        <w:contextualSpacing/>
        <w:jc w:val="left"/>
        <w:rPr>
          <w:rStyle w:val="Hyperlink"/>
          <w:sz w:val="20"/>
          <w:szCs w:val="20"/>
          <w:lang w:val="lv-LV"/>
        </w:rPr>
      </w:pPr>
    </w:p>
    <w:p w:rsidR="00EE6CF0" w:rsidRDefault="00EE6CF0" w:rsidP="002925AE">
      <w:pPr>
        <w:tabs>
          <w:tab w:val="left" w:pos="4215"/>
        </w:tabs>
        <w:ind w:right="-2" w:firstLine="0"/>
        <w:contextualSpacing/>
        <w:jc w:val="left"/>
        <w:rPr>
          <w:rStyle w:val="Hyperlink"/>
          <w:sz w:val="20"/>
          <w:szCs w:val="20"/>
          <w:lang w:val="lv-LV"/>
        </w:rPr>
      </w:pPr>
    </w:p>
    <w:p w:rsidR="00EE6CF0" w:rsidRDefault="00EE6CF0" w:rsidP="002925AE">
      <w:pPr>
        <w:tabs>
          <w:tab w:val="left" w:pos="4215"/>
        </w:tabs>
        <w:ind w:right="-2" w:firstLine="0"/>
        <w:contextualSpacing/>
        <w:jc w:val="left"/>
        <w:rPr>
          <w:rStyle w:val="Hyperlink"/>
          <w:sz w:val="20"/>
          <w:szCs w:val="20"/>
          <w:lang w:val="lv-LV"/>
        </w:rPr>
      </w:pPr>
    </w:p>
    <w:p w:rsidR="00EE6CF0" w:rsidRDefault="00EE6CF0" w:rsidP="002925AE">
      <w:pPr>
        <w:tabs>
          <w:tab w:val="left" w:pos="4215"/>
        </w:tabs>
        <w:ind w:right="-2" w:firstLine="0"/>
        <w:contextualSpacing/>
        <w:jc w:val="left"/>
        <w:rPr>
          <w:rStyle w:val="Hyperlink"/>
          <w:sz w:val="20"/>
          <w:szCs w:val="20"/>
          <w:lang w:val="lv-LV"/>
        </w:rPr>
      </w:pPr>
    </w:p>
    <w:p w:rsidR="00EE6CF0" w:rsidRDefault="00EE6CF0" w:rsidP="002925AE">
      <w:pPr>
        <w:tabs>
          <w:tab w:val="left" w:pos="4215"/>
        </w:tabs>
        <w:ind w:right="-2" w:firstLine="0"/>
        <w:contextualSpacing/>
        <w:jc w:val="left"/>
        <w:rPr>
          <w:rStyle w:val="Hyperlink"/>
          <w:sz w:val="20"/>
          <w:szCs w:val="20"/>
          <w:lang w:val="lv-LV"/>
        </w:rPr>
      </w:pPr>
    </w:p>
    <w:p w:rsidR="00EE6CF0" w:rsidRDefault="00EE6CF0" w:rsidP="002925AE">
      <w:pPr>
        <w:tabs>
          <w:tab w:val="left" w:pos="4215"/>
        </w:tabs>
        <w:ind w:right="-2" w:firstLine="0"/>
        <w:contextualSpacing/>
        <w:jc w:val="left"/>
        <w:rPr>
          <w:rStyle w:val="Hyperlink"/>
          <w:sz w:val="20"/>
          <w:szCs w:val="20"/>
          <w:lang w:val="lv-LV"/>
        </w:rPr>
      </w:pPr>
    </w:p>
    <w:p w:rsidR="00EE6CF0" w:rsidRDefault="00EE6CF0" w:rsidP="002925AE">
      <w:pPr>
        <w:tabs>
          <w:tab w:val="left" w:pos="4215"/>
        </w:tabs>
        <w:ind w:right="-2" w:firstLine="0"/>
        <w:contextualSpacing/>
        <w:jc w:val="left"/>
        <w:rPr>
          <w:rStyle w:val="Hyperlink"/>
          <w:sz w:val="20"/>
          <w:szCs w:val="20"/>
          <w:lang w:val="lv-LV"/>
        </w:rPr>
      </w:pPr>
    </w:p>
    <w:p w:rsidR="00EE6CF0" w:rsidRDefault="00EE6CF0" w:rsidP="002925AE">
      <w:pPr>
        <w:tabs>
          <w:tab w:val="left" w:pos="4215"/>
        </w:tabs>
        <w:ind w:right="-2" w:firstLine="0"/>
        <w:contextualSpacing/>
        <w:jc w:val="left"/>
        <w:rPr>
          <w:rStyle w:val="Hyperlink"/>
          <w:sz w:val="20"/>
          <w:szCs w:val="20"/>
          <w:lang w:val="lv-LV"/>
        </w:rPr>
      </w:pPr>
    </w:p>
    <w:p w:rsidR="00EE6CF0" w:rsidRDefault="00EE6CF0" w:rsidP="002925AE">
      <w:pPr>
        <w:tabs>
          <w:tab w:val="left" w:pos="4215"/>
        </w:tabs>
        <w:ind w:right="-2" w:firstLine="0"/>
        <w:contextualSpacing/>
        <w:jc w:val="left"/>
        <w:rPr>
          <w:sz w:val="20"/>
          <w:szCs w:val="20"/>
          <w:lang w:val="lv-LV"/>
        </w:rPr>
      </w:pPr>
    </w:p>
    <w:p w:rsidR="002925AE" w:rsidRDefault="002925AE" w:rsidP="002925AE">
      <w:pPr>
        <w:tabs>
          <w:tab w:val="left" w:pos="4215"/>
        </w:tabs>
        <w:ind w:right="-2" w:firstLine="0"/>
        <w:contextualSpacing/>
        <w:jc w:val="left"/>
        <w:rPr>
          <w:sz w:val="20"/>
          <w:szCs w:val="20"/>
          <w:lang w:val="lv-LV"/>
        </w:rPr>
      </w:pPr>
    </w:p>
    <w:p w:rsidR="002925AE" w:rsidRDefault="00B347F3" w:rsidP="002925AE">
      <w:pPr>
        <w:framePr w:w="7621" w:h="631" w:hRule="exact" w:hSpace="180" w:wrap="around" w:vAnchor="text" w:hAnchor="page" w:x="2176" w:y="1"/>
        <w:tabs>
          <w:tab w:val="left" w:pos="8789"/>
        </w:tabs>
        <w:ind w:left="142" w:right="579"/>
        <w:jc w:val="center"/>
        <w:rPr>
          <w:sz w:val="20"/>
          <w:lang w:val="lv-LV"/>
        </w:rPr>
      </w:pPr>
      <w:r>
        <w:rPr>
          <w:sz w:val="20"/>
          <w:lang w:val="lv-LV"/>
        </w:rPr>
        <w:t>ŠIS DOKUMENTS IR PARAKSTĪTS AR DROŠU</w:t>
      </w:r>
    </w:p>
    <w:p w:rsidR="002925AE" w:rsidRDefault="00B347F3" w:rsidP="002925AE">
      <w:pPr>
        <w:framePr w:w="7621" w:h="631" w:hRule="exact" w:hSpace="180" w:wrap="around" w:vAnchor="text" w:hAnchor="page" w:x="2176" w:y="1"/>
        <w:tabs>
          <w:tab w:val="left" w:pos="8789"/>
        </w:tabs>
        <w:ind w:left="142" w:right="579"/>
        <w:jc w:val="center"/>
        <w:rPr>
          <w:sz w:val="20"/>
          <w:lang w:val="lv-LV"/>
        </w:rPr>
      </w:pPr>
      <w:r>
        <w:rPr>
          <w:sz w:val="20"/>
          <w:lang w:val="lv-LV"/>
        </w:rPr>
        <w:t>ELEKTRONISKO PARAKSTU UN SATUR LAIKA ZĪMOGU</w:t>
      </w:r>
    </w:p>
    <w:p w:rsidR="002925AE" w:rsidRPr="002925AE" w:rsidRDefault="002925AE" w:rsidP="002925AE">
      <w:pPr>
        <w:tabs>
          <w:tab w:val="left" w:pos="4215"/>
        </w:tabs>
        <w:ind w:right="-2" w:firstLine="0"/>
        <w:contextualSpacing/>
        <w:jc w:val="left"/>
        <w:rPr>
          <w:sz w:val="20"/>
          <w:szCs w:val="20"/>
          <w:lang w:val="lv-LV"/>
        </w:rPr>
      </w:pPr>
    </w:p>
    <w:sectPr w:rsidR="002925AE" w:rsidRPr="002925AE" w:rsidSect="00E24ADA">
      <w:headerReference w:type="first" r:id="rId9"/>
      <w:type w:val="continuous"/>
      <w:pgSz w:w="11920" w:h="16840"/>
      <w:pgMar w:top="1134" w:right="851" w:bottom="1134" w:left="1701" w:header="368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F3" w:rsidRDefault="00B347F3">
      <w:r>
        <w:separator/>
      </w:r>
    </w:p>
  </w:endnote>
  <w:endnote w:type="continuationSeparator" w:id="0">
    <w:p w:rsidR="00B347F3" w:rsidRDefault="00B3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etterica Baltic">
    <w:altName w:val="Arial"/>
    <w:charset w:val="BA"/>
    <w:family w:val="swiss"/>
    <w:pitch w:val="variable"/>
    <w:sig w:usb0="00000001" w:usb1="00000048" w:usb2="00000000" w:usb3="00000000" w:csb0="00000197"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F3" w:rsidRDefault="00B347F3">
      <w:r>
        <w:separator/>
      </w:r>
    </w:p>
  </w:footnote>
  <w:footnote w:type="continuationSeparator" w:id="0">
    <w:p w:rsidR="00B347F3" w:rsidRDefault="00B3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DA" w:rsidRPr="00FF0532" w:rsidRDefault="00B347F3" w:rsidP="00E24ADA">
    <w:pPr>
      <w:pStyle w:val="Header"/>
      <w:ind w:firstLine="0"/>
      <w:jc w:val="center"/>
      <w:rPr>
        <w:lang w:val="lv-LV"/>
      </w:rPr>
    </w:pPr>
    <w:r w:rsidRPr="00FF0532">
      <w:rPr>
        <w:rFonts w:ascii="Letterica Baltic" w:hAnsi="Letterica Baltic"/>
        <w:sz w:val="18"/>
        <w:lang w:val="lv-LV"/>
      </w:rPr>
      <w:t>Rīgā</w:t>
    </w:r>
    <w:r w:rsidRPr="00FF0532">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0"/>
                  <pic:cNvPicPr>
                    <a:picLocks noChangeAspect="1" noChangeArrowheads="1"/>
                  </pic:cNvPicPr>
                </pic:nvPicPr>
                <pic:blipFill>
                  <a:blip r:embed="rId1">
                    <a:extLst>
                      <a:ext uri="{BEBA8EAE-BF5A-486C-A8C5-ECC9F3942E4B}">
                        <a14:imgProps xmlns:a14="http://schemas.microsoft.com/office/drawing/2010/main">
                          <a14:imgLayer>
                            <a14:imgEffect>
                              <a14:colorTemperature colorTemp="6400"/>
                            </a14:imgEffect>
                          </a14:imgLayer>
                        </a14:imgProps>
                      </a:ex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F0532">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ADA" w:rsidRPr="00FF0532" w:rsidRDefault="00B347F3" w:rsidP="00E24ADA">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w:t>
                          </w:r>
                          <w:r>
                            <w:rPr>
                              <w:rFonts w:eastAsia="Times New Roman"/>
                              <w:color w:val="231F20"/>
                              <w:sz w:val="17"/>
                              <w:szCs w:val="17"/>
                              <w:lang w:val="lv-LV"/>
                            </w:rPr>
                            <w:t>1981</w:t>
                          </w:r>
                          <w:r w:rsidRPr="00FF0532">
                            <w:rPr>
                              <w:rFonts w:eastAsia="Times New Roman"/>
                              <w:color w:val="231F20"/>
                              <w:sz w:val="17"/>
                              <w:szCs w:val="17"/>
                              <w:lang w:val="lv-LV"/>
                            </w:rPr>
                            <w:t xml:space="preserve">, tālr. 67027010, fakss 67027512, e-pasts </w:t>
                          </w:r>
                          <w:r w:rsidR="002925AE">
                            <w:rPr>
                              <w:rFonts w:eastAsia="Times New Roman"/>
                              <w:color w:val="231F20"/>
                              <w:sz w:val="17"/>
                              <w:szCs w:val="17"/>
                              <w:lang w:val="lv-LV"/>
                            </w:rPr>
                            <w:t>pasts</w:t>
                          </w:r>
                          <w:r w:rsidRPr="00FF0532">
                            <w:rPr>
                              <w:rFonts w:eastAsia="Times New Roman"/>
                              <w:color w:val="231F20"/>
                              <w:sz w:val="17"/>
                              <w:szCs w:val="17"/>
                              <w:lang w:val="lv-LV"/>
                            </w:rPr>
                            <w:t>@zm.gov.lv,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E24ADA" w:rsidRPr="00FF0532" w:rsidP="00E24ADA" w14:paraId="35587D1C" w14:textId="77777777">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w:t>
                    </w:r>
                    <w:r>
                      <w:rPr>
                        <w:rFonts w:eastAsia="Times New Roman"/>
                        <w:color w:val="231F20"/>
                        <w:sz w:val="17"/>
                        <w:szCs w:val="17"/>
                        <w:lang w:val="lv-LV"/>
                      </w:rPr>
                      <w:t>1981</w:t>
                    </w:r>
                    <w:r w:rsidRPr="00FF0532">
                      <w:rPr>
                        <w:rFonts w:eastAsia="Times New Roman"/>
                        <w:color w:val="231F20"/>
                        <w:sz w:val="17"/>
                        <w:szCs w:val="17"/>
                        <w:lang w:val="lv-LV"/>
                      </w:rPr>
                      <w:t xml:space="preserve">, tālr. 67027010, fakss 67027512, e-pasts </w:t>
                    </w:r>
                    <w:r w:rsidR="002925AE">
                      <w:rPr>
                        <w:rFonts w:eastAsia="Times New Roman"/>
                        <w:color w:val="231F20"/>
                        <w:sz w:val="17"/>
                        <w:szCs w:val="17"/>
                        <w:lang w:val="lv-LV"/>
                      </w:rPr>
                      <w:t>pasts</w:t>
                    </w:r>
                    <w:r w:rsidRPr="00FF0532">
                      <w:rPr>
                        <w:rFonts w:eastAsia="Times New Roman"/>
                        <w:color w:val="231F20"/>
                        <w:sz w:val="17"/>
                        <w:szCs w:val="17"/>
                        <w:lang w:val="lv-LV"/>
                      </w:rPr>
                      <w:t>@zm.gov.lv, www.zm.gov.lv</w:t>
                    </w:r>
                  </w:p>
                </w:txbxContent>
              </v:textbox>
            </v:shape>
          </w:pict>
        </mc:Fallback>
      </mc:AlternateContent>
    </w:r>
    <w:r w:rsidRPr="00FF0532">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7" name="Freeform 42"/>
                      <wps:cNvSpPr/>
                      <wps:spPr bwMode="auto">
                        <a:xfrm>
                          <a:off x="2915" y="2998"/>
                          <a:ext cx="6926" cy="2"/>
                        </a:xfrm>
                        <a:custGeom>
                          <a:avLst/>
                          <a:gdLst>
                            <a:gd name="T0" fmla="+- 0 2915 2915"/>
                            <a:gd name="T1" fmla="*/ T0 w 6926"/>
                            <a:gd name="T2" fmla="+- 0 9841 2915"/>
                            <a:gd name="T3" fmla="*/ T2 w 6926"/>
                          </a:gdLst>
                          <a:ahLst/>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D1F009E"/>
    <w:multiLevelType w:val="hybridMultilevel"/>
    <w:tmpl w:val="1736F540"/>
    <w:lvl w:ilvl="0" w:tplc="014AEA4C">
      <w:start w:val="1"/>
      <w:numFmt w:val="decimal"/>
      <w:lvlText w:val="%1."/>
      <w:lvlJc w:val="left"/>
      <w:pPr>
        <w:ind w:left="1440" w:hanging="360"/>
      </w:pPr>
      <w:rPr>
        <w:rFonts w:hint="default"/>
      </w:rPr>
    </w:lvl>
    <w:lvl w:ilvl="1" w:tplc="2BBC42F4" w:tentative="1">
      <w:start w:val="1"/>
      <w:numFmt w:val="lowerLetter"/>
      <w:lvlText w:val="%2."/>
      <w:lvlJc w:val="left"/>
      <w:pPr>
        <w:ind w:left="2160" w:hanging="360"/>
      </w:pPr>
    </w:lvl>
    <w:lvl w:ilvl="2" w:tplc="E40402E2" w:tentative="1">
      <w:start w:val="1"/>
      <w:numFmt w:val="lowerRoman"/>
      <w:lvlText w:val="%3."/>
      <w:lvlJc w:val="right"/>
      <w:pPr>
        <w:ind w:left="2880" w:hanging="180"/>
      </w:pPr>
    </w:lvl>
    <w:lvl w:ilvl="3" w:tplc="F29A9010" w:tentative="1">
      <w:start w:val="1"/>
      <w:numFmt w:val="decimal"/>
      <w:lvlText w:val="%4."/>
      <w:lvlJc w:val="left"/>
      <w:pPr>
        <w:ind w:left="3600" w:hanging="360"/>
      </w:pPr>
    </w:lvl>
    <w:lvl w:ilvl="4" w:tplc="1C4C0C6A" w:tentative="1">
      <w:start w:val="1"/>
      <w:numFmt w:val="lowerLetter"/>
      <w:lvlText w:val="%5."/>
      <w:lvlJc w:val="left"/>
      <w:pPr>
        <w:ind w:left="4320" w:hanging="360"/>
      </w:pPr>
    </w:lvl>
    <w:lvl w:ilvl="5" w:tplc="BC34B610" w:tentative="1">
      <w:start w:val="1"/>
      <w:numFmt w:val="lowerRoman"/>
      <w:lvlText w:val="%6."/>
      <w:lvlJc w:val="right"/>
      <w:pPr>
        <w:ind w:left="5040" w:hanging="180"/>
      </w:pPr>
    </w:lvl>
    <w:lvl w:ilvl="6" w:tplc="04F45890" w:tentative="1">
      <w:start w:val="1"/>
      <w:numFmt w:val="decimal"/>
      <w:lvlText w:val="%7."/>
      <w:lvlJc w:val="left"/>
      <w:pPr>
        <w:ind w:left="5760" w:hanging="360"/>
      </w:pPr>
    </w:lvl>
    <w:lvl w:ilvl="7" w:tplc="22D810AC" w:tentative="1">
      <w:start w:val="1"/>
      <w:numFmt w:val="lowerLetter"/>
      <w:lvlText w:val="%8."/>
      <w:lvlJc w:val="left"/>
      <w:pPr>
        <w:ind w:left="6480" w:hanging="360"/>
      </w:pPr>
    </w:lvl>
    <w:lvl w:ilvl="8" w:tplc="DDDE4A58" w:tentative="1">
      <w:start w:val="1"/>
      <w:numFmt w:val="lowerRoman"/>
      <w:lvlText w:val="%9."/>
      <w:lvlJc w:val="right"/>
      <w:pPr>
        <w:ind w:left="7200" w:hanging="180"/>
      </w:pPr>
    </w:lvl>
  </w:abstractNum>
  <w:abstractNum w:abstractNumId="12" w15:restartNumberingAfterBreak="1">
    <w:nsid w:val="2C961F8C"/>
    <w:multiLevelType w:val="multilevel"/>
    <w:tmpl w:val="C6C6225E"/>
    <w:lvl w:ilvl="0">
      <w:start w:val="18"/>
      <w:numFmt w:val="decimal"/>
      <w:lvlText w:val="%1."/>
      <w:lvlJc w:val="left"/>
      <w:pPr>
        <w:ind w:left="480" w:hanging="480"/>
      </w:pPr>
      <w:rPr>
        <w:rFonts w:eastAsia="Times New Roman" w:hint="default"/>
      </w:rPr>
    </w:lvl>
    <w:lvl w:ilvl="1">
      <w:start w:val="4"/>
      <w:numFmt w:val="decimal"/>
      <w:lvlText w:val="%1.%2."/>
      <w:lvlJc w:val="left"/>
      <w:pPr>
        <w:ind w:left="1560" w:hanging="48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3" w15:restartNumberingAfterBreak="1">
    <w:nsid w:val="396E66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F067234"/>
    <w:multiLevelType w:val="hybridMultilevel"/>
    <w:tmpl w:val="23B40388"/>
    <w:lvl w:ilvl="0" w:tplc="579A242A">
      <w:start w:val="1"/>
      <w:numFmt w:val="decimal"/>
      <w:lvlText w:val="%1."/>
      <w:lvlJc w:val="left"/>
      <w:pPr>
        <w:ind w:left="720" w:hanging="360"/>
      </w:pPr>
      <w:rPr>
        <w:rFonts w:hint="default"/>
      </w:rPr>
    </w:lvl>
    <w:lvl w:ilvl="1" w:tplc="BC92BC7A" w:tentative="1">
      <w:start w:val="1"/>
      <w:numFmt w:val="lowerLetter"/>
      <w:lvlText w:val="%2."/>
      <w:lvlJc w:val="left"/>
      <w:pPr>
        <w:ind w:left="1440" w:hanging="360"/>
      </w:pPr>
    </w:lvl>
    <w:lvl w:ilvl="2" w:tplc="27122886" w:tentative="1">
      <w:start w:val="1"/>
      <w:numFmt w:val="lowerRoman"/>
      <w:lvlText w:val="%3."/>
      <w:lvlJc w:val="right"/>
      <w:pPr>
        <w:ind w:left="2160" w:hanging="180"/>
      </w:pPr>
    </w:lvl>
    <w:lvl w:ilvl="3" w:tplc="07B027BA" w:tentative="1">
      <w:start w:val="1"/>
      <w:numFmt w:val="decimal"/>
      <w:lvlText w:val="%4."/>
      <w:lvlJc w:val="left"/>
      <w:pPr>
        <w:ind w:left="2880" w:hanging="360"/>
      </w:pPr>
    </w:lvl>
    <w:lvl w:ilvl="4" w:tplc="857E97E0" w:tentative="1">
      <w:start w:val="1"/>
      <w:numFmt w:val="lowerLetter"/>
      <w:lvlText w:val="%5."/>
      <w:lvlJc w:val="left"/>
      <w:pPr>
        <w:ind w:left="3600" w:hanging="360"/>
      </w:pPr>
    </w:lvl>
    <w:lvl w:ilvl="5" w:tplc="E694513A" w:tentative="1">
      <w:start w:val="1"/>
      <w:numFmt w:val="lowerRoman"/>
      <w:lvlText w:val="%6."/>
      <w:lvlJc w:val="right"/>
      <w:pPr>
        <w:ind w:left="4320" w:hanging="180"/>
      </w:pPr>
    </w:lvl>
    <w:lvl w:ilvl="6" w:tplc="6E5E90E2" w:tentative="1">
      <w:start w:val="1"/>
      <w:numFmt w:val="decimal"/>
      <w:lvlText w:val="%7."/>
      <w:lvlJc w:val="left"/>
      <w:pPr>
        <w:ind w:left="5040" w:hanging="360"/>
      </w:pPr>
    </w:lvl>
    <w:lvl w:ilvl="7" w:tplc="90D2521A" w:tentative="1">
      <w:start w:val="1"/>
      <w:numFmt w:val="lowerLetter"/>
      <w:lvlText w:val="%8."/>
      <w:lvlJc w:val="left"/>
      <w:pPr>
        <w:ind w:left="5760" w:hanging="360"/>
      </w:pPr>
    </w:lvl>
    <w:lvl w:ilvl="8" w:tplc="4AD8A9EA" w:tentative="1">
      <w:start w:val="1"/>
      <w:numFmt w:val="lowerRoman"/>
      <w:lvlText w:val="%9."/>
      <w:lvlJc w:val="right"/>
      <w:pPr>
        <w:ind w:left="6480" w:hanging="180"/>
      </w:pPr>
    </w:lvl>
  </w:abstractNum>
  <w:abstractNum w:abstractNumId="15" w15:restartNumberingAfterBreak="1">
    <w:nsid w:val="54BC66DA"/>
    <w:multiLevelType w:val="hybridMultilevel"/>
    <w:tmpl w:val="C1F66E8E"/>
    <w:lvl w:ilvl="0" w:tplc="124A0CAA">
      <w:start w:val="7"/>
      <w:numFmt w:val="bullet"/>
      <w:lvlText w:val="-"/>
      <w:lvlJc w:val="left"/>
      <w:pPr>
        <w:ind w:left="1080" w:hanging="360"/>
      </w:pPr>
      <w:rPr>
        <w:rFonts w:ascii="Times New Roman" w:eastAsia="Times New Roman" w:hAnsi="Times New Roman" w:cs="Times New Roman" w:hint="default"/>
      </w:rPr>
    </w:lvl>
    <w:lvl w:ilvl="1" w:tplc="3EB63E10" w:tentative="1">
      <w:start w:val="1"/>
      <w:numFmt w:val="bullet"/>
      <w:lvlText w:val="o"/>
      <w:lvlJc w:val="left"/>
      <w:pPr>
        <w:ind w:left="1800" w:hanging="360"/>
      </w:pPr>
      <w:rPr>
        <w:rFonts w:ascii="Courier New" w:hAnsi="Courier New" w:cs="Courier New" w:hint="default"/>
      </w:rPr>
    </w:lvl>
    <w:lvl w:ilvl="2" w:tplc="49468394" w:tentative="1">
      <w:start w:val="1"/>
      <w:numFmt w:val="bullet"/>
      <w:lvlText w:val=""/>
      <w:lvlJc w:val="left"/>
      <w:pPr>
        <w:ind w:left="2520" w:hanging="360"/>
      </w:pPr>
      <w:rPr>
        <w:rFonts w:ascii="Wingdings" w:hAnsi="Wingdings" w:hint="default"/>
      </w:rPr>
    </w:lvl>
    <w:lvl w:ilvl="3" w:tplc="3CDC1448" w:tentative="1">
      <w:start w:val="1"/>
      <w:numFmt w:val="bullet"/>
      <w:lvlText w:val=""/>
      <w:lvlJc w:val="left"/>
      <w:pPr>
        <w:ind w:left="3240" w:hanging="360"/>
      </w:pPr>
      <w:rPr>
        <w:rFonts w:ascii="Symbol" w:hAnsi="Symbol" w:hint="default"/>
      </w:rPr>
    </w:lvl>
    <w:lvl w:ilvl="4" w:tplc="80D618C4" w:tentative="1">
      <w:start w:val="1"/>
      <w:numFmt w:val="bullet"/>
      <w:lvlText w:val="o"/>
      <w:lvlJc w:val="left"/>
      <w:pPr>
        <w:ind w:left="3960" w:hanging="360"/>
      </w:pPr>
      <w:rPr>
        <w:rFonts w:ascii="Courier New" w:hAnsi="Courier New" w:cs="Courier New" w:hint="default"/>
      </w:rPr>
    </w:lvl>
    <w:lvl w:ilvl="5" w:tplc="6DE42B6E" w:tentative="1">
      <w:start w:val="1"/>
      <w:numFmt w:val="bullet"/>
      <w:lvlText w:val=""/>
      <w:lvlJc w:val="left"/>
      <w:pPr>
        <w:ind w:left="4680" w:hanging="360"/>
      </w:pPr>
      <w:rPr>
        <w:rFonts w:ascii="Wingdings" w:hAnsi="Wingdings" w:hint="default"/>
      </w:rPr>
    </w:lvl>
    <w:lvl w:ilvl="6" w:tplc="A732B704" w:tentative="1">
      <w:start w:val="1"/>
      <w:numFmt w:val="bullet"/>
      <w:lvlText w:val=""/>
      <w:lvlJc w:val="left"/>
      <w:pPr>
        <w:ind w:left="5400" w:hanging="360"/>
      </w:pPr>
      <w:rPr>
        <w:rFonts w:ascii="Symbol" w:hAnsi="Symbol" w:hint="default"/>
      </w:rPr>
    </w:lvl>
    <w:lvl w:ilvl="7" w:tplc="9A5EB626" w:tentative="1">
      <w:start w:val="1"/>
      <w:numFmt w:val="bullet"/>
      <w:lvlText w:val="o"/>
      <w:lvlJc w:val="left"/>
      <w:pPr>
        <w:ind w:left="6120" w:hanging="360"/>
      </w:pPr>
      <w:rPr>
        <w:rFonts w:ascii="Courier New" w:hAnsi="Courier New" w:cs="Courier New" w:hint="default"/>
      </w:rPr>
    </w:lvl>
    <w:lvl w:ilvl="8" w:tplc="711CD354" w:tentative="1">
      <w:start w:val="1"/>
      <w:numFmt w:val="bullet"/>
      <w:lvlText w:val=""/>
      <w:lvlJc w:val="left"/>
      <w:pPr>
        <w:ind w:left="6840" w:hanging="360"/>
      </w:pPr>
      <w:rPr>
        <w:rFonts w:ascii="Wingdings" w:hAnsi="Wingdings" w:hint="default"/>
      </w:rPr>
    </w:lvl>
  </w:abstractNum>
  <w:abstractNum w:abstractNumId="16" w15:restartNumberingAfterBreak="1">
    <w:nsid w:val="63447280"/>
    <w:multiLevelType w:val="hybridMultilevel"/>
    <w:tmpl w:val="F6082F4A"/>
    <w:lvl w:ilvl="0" w:tplc="27728B94">
      <w:start w:val="1"/>
      <w:numFmt w:val="decimal"/>
      <w:lvlText w:val="%1."/>
      <w:lvlJc w:val="left"/>
      <w:pPr>
        <w:ind w:left="1080" w:hanging="360"/>
      </w:pPr>
      <w:rPr>
        <w:rFonts w:hint="default"/>
        <w:b w:val="0"/>
        <w:bCs w:val="0"/>
      </w:rPr>
    </w:lvl>
    <w:lvl w:ilvl="1" w:tplc="40A08AB8">
      <w:start w:val="1"/>
      <w:numFmt w:val="lowerLetter"/>
      <w:lvlText w:val="%2."/>
      <w:lvlJc w:val="left"/>
      <w:pPr>
        <w:ind w:left="1800" w:hanging="360"/>
      </w:pPr>
    </w:lvl>
    <w:lvl w:ilvl="2" w:tplc="18C0E270" w:tentative="1">
      <w:start w:val="1"/>
      <w:numFmt w:val="lowerRoman"/>
      <w:lvlText w:val="%3."/>
      <w:lvlJc w:val="right"/>
      <w:pPr>
        <w:ind w:left="2520" w:hanging="180"/>
      </w:pPr>
    </w:lvl>
    <w:lvl w:ilvl="3" w:tplc="69AA393C" w:tentative="1">
      <w:start w:val="1"/>
      <w:numFmt w:val="decimal"/>
      <w:lvlText w:val="%4."/>
      <w:lvlJc w:val="left"/>
      <w:pPr>
        <w:ind w:left="3240" w:hanging="360"/>
      </w:pPr>
    </w:lvl>
    <w:lvl w:ilvl="4" w:tplc="170EBC58" w:tentative="1">
      <w:start w:val="1"/>
      <w:numFmt w:val="lowerLetter"/>
      <w:lvlText w:val="%5."/>
      <w:lvlJc w:val="left"/>
      <w:pPr>
        <w:ind w:left="3960" w:hanging="360"/>
      </w:pPr>
    </w:lvl>
    <w:lvl w:ilvl="5" w:tplc="F708B1CC" w:tentative="1">
      <w:start w:val="1"/>
      <w:numFmt w:val="lowerRoman"/>
      <w:lvlText w:val="%6."/>
      <w:lvlJc w:val="right"/>
      <w:pPr>
        <w:ind w:left="4680" w:hanging="180"/>
      </w:pPr>
    </w:lvl>
    <w:lvl w:ilvl="6" w:tplc="96AA9658" w:tentative="1">
      <w:start w:val="1"/>
      <w:numFmt w:val="decimal"/>
      <w:lvlText w:val="%7."/>
      <w:lvlJc w:val="left"/>
      <w:pPr>
        <w:ind w:left="5400" w:hanging="360"/>
      </w:pPr>
    </w:lvl>
    <w:lvl w:ilvl="7" w:tplc="1F2413B4" w:tentative="1">
      <w:start w:val="1"/>
      <w:numFmt w:val="lowerLetter"/>
      <w:lvlText w:val="%8."/>
      <w:lvlJc w:val="left"/>
      <w:pPr>
        <w:ind w:left="6120" w:hanging="360"/>
      </w:pPr>
    </w:lvl>
    <w:lvl w:ilvl="8" w:tplc="22A2E40C" w:tentative="1">
      <w:start w:val="1"/>
      <w:numFmt w:val="lowerRoman"/>
      <w:lvlText w:val="%9."/>
      <w:lvlJc w:val="right"/>
      <w:pPr>
        <w:ind w:left="6840" w:hanging="180"/>
      </w:pPr>
    </w:lvl>
  </w:abstractNum>
  <w:abstractNum w:abstractNumId="17" w15:restartNumberingAfterBreak="1">
    <w:nsid w:val="63FE5329"/>
    <w:multiLevelType w:val="hybridMultilevel"/>
    <w:tmpl w:val="6EECD546"/>
    <w:lvl w:ilvl="0" w:tplc="7D4077A6">
      <w:start w:val="1"/>
      <w:numFmt w:val="decimal"/>
      <w:lvlText w:val="%1."/>
      <w:lvlJc w:val="left"/>
      <w:pPr>
        <w:ind w:left="1080" w:hanging="360"/>
      </w:pPr>
      <w:rPr>
        <w:rFonts w:hint="default"/>
      </w:rPr>
    </w:lvl>
    <w:lvl w:ilvl="1" w:tplc="9926C06A" w:tentative="1">
      <w:start w:val="1"/>
      <w:numFmt w:val="lowerLetter"/>
      <w:lvlText w:val="%2."/>
      <w:lvlJc w:val="left"/>
      <w:pPr>
        <w:ind w:left="1800" w:hanging="360"/>
      </w:pPr>
    </w:lvl>
    <w:lvl w:ilvl="2" w:tplc="578293E0" w:tentative="1">
      <w:start w:val="1"/>
      <w:numFmt w:val="lowerRoman"/>
      <w:lvlText w:val="%3."/>
      <w:lvlJc w:val="right"/>
      <w:pPr>
        <w:ind w:left="2520" w:hanging="180"/>
      </w:pPr>
    </w:lvl>
    <w:lvl w:ilvl="3" w:tplc="6ACED76C" w:tentative="1">
      <w:start w:val="1"/>
      <w:numFmt w:val="decimal"/>
      <w:lvlText w:val="%4."/>
      <w:lvlJc w:val="left"/>
      <w:pPr>
        <w:ind w:left="3240" w:hanging="360"/>
      </w:pPr>
    </w:lvl>
    <w:lvl w:ilvl="4" w:tplc="C57A913A" w:tentative="1">
      <w:start w:val="1"/>
      <w:numFmt w:val="lowerLetter"/>
      <w:lvlText w:val="%5."/>
      <w:lvlJc w:val="left"/>
      <w:pPr>
        <w:ind w:left="3960" w:hanging="360"/>
      </w:pPr>
    </w:lvl>
    <w:lvl w:ilvl="5" w:tplc="F4D07AC8" w:tentative="1">
      <w:start w:val="1"/>
      <w:numFmt w:val="lowerRoman"/>
      <w:lvlText w:val="%6."/>
      <w:lvlJc w:val="right"/>
      <w:pPr>
        <w:ind w:left="4680" w:hanging="180"/>
      </w:pPr>
    </w:lvl>
    <w:lvl w:ilvl="6" w:tplc="AA449E72" w:tentative="1">
      <w:start w:val="1"/>
      <w:numFmt w:val="decimal"/>
      <w:lvlText w:val="%7."/>
      <w:lvlJc w:val="left"/>
      <w:pPr>
        <w:ind w:left="5400" w:hanging="360"/>
      </w:pPr>
    </w:lvl>
    <w:lvl w:ilvl="7" w:tplc="24D8C3E0" w:tentative="1">
      <w:start w:val="1"/>
      <w:numFmt w:val="lowerLetter"/>
      <w:lvlText w:val="%8."/>
      <w:lvlJc w:val="left"/>
      <w:pPr>
        <w:ind w:left="6120" w:hanging="360"/>
      </w:pPr>
    </w:lvl>
    <w:lvl w:ilvl="8" w:tplc="067CFC8E" w:tentative="1">
      <w:start w:val="1"/>
      <w:numFmt w:val="lowerRoman"/>
      <w:lvlText w:val="%9."/>
      <w:lvlJc w:val="right"/>
      <w:pPr>
        <w:ind w:left="6840" w:hanging="180"/>
      </w:pPr>
    </w:lvl>
  </w:abstractNum>
  <w:abstractNum w:abstractNumId="18" w15:restartNumberingAfterBreak="1">
    <w:nsid w:val="675878C9"/>
    <w:multiLevelType w:val="hybridMultilevel"/>
    <w:tmpl w:val="074AF92A"/>
    <w:lvl w:ilvl="0" w:tplc="C21AD8D2">
      <w:start w:val="1"/>
      <w:numFmt w:val="decimal"/>
      <w:lvlText w:val="%1."/>
      <w:lvlJc w:val="left"/>
      <w:pPr>
        <w:ind w:left="720" w:hanging="360"/>
      </w:pPr>
      <w:rPr>
        <w:rFonts w:hint="default"/>
      </w:rPr>
    </w:lvl>
    <w:lvl w:ilvl="1" w:tplc="6D048D40" w:tentative="1">
      <w:start w:val="1"/>
      <w:numFmt w:val="lowerLetter"/>
      <w:lvlText w:val="%2."/>
      <w:lvlJc w:val="left"/>
      <w:pPr>
        <w:ind w:left="1440" w:hanging="360"/>
      </w:pPr>
    </w:lvl>
    <w:lvl w:ilvl="2" w:tplc="72EC3146" w:tentative="1">
      <w:start w:val="1"/>
      <w:numFmt w:val="lowerRoman"/>
      <w:lvlText w:val="%3."/>
      <w:lvlJc w:val="right"/>
      <w:pPr>
        <w:ind w:left="2160" w:hanging="180"/>
      </w:pPr>
    </w:lvl>
    <w:lvl w:ilvl="3" w:tplc="A10A8D22" w:tentative="1">
      <w:start w:val="1"/>
      <w:numFmt w:val="decimal"/>
      <w:lvlText w:val="%4."/>
      <w:lvlJc w:val="left"/>
      <w:pPr>
        <w:ind w:left="2880" w:hanging="360"/>
      </w:pPr>
    </w:lvl>
    <w:lvl w:ilvl="4" w:tplc="B48A9D22" w:tentative="1">
      <w:start w:val="1"/>
      <w:numFmt w:val="lowerLetter"/>
      <w:lvlText w:val="%5."/>
      <w:lvlJc w:val="left"/>
      <w:pPr>
        <w:ind w:left="3600" w:hanging="360"/>
      </w:pPr>
    </w:lvl>
    <w:lvl w:ilvl="5" w:tplc="D2E2B9E2" w:tentative="1">
      <w:start w:val="1"/>
      <w:numFmt w:val="lowerRoman"/>
      <w:lvlText w:val="%6."/>
      <w:lvlJc w:val="right"/>
      <w:pPr>
        <w:ind w:left="4320" w:hanging="180"/>
      </w:pPr>
    </w:lvl>
    <w:lvl w:ilvl="6" w:tplc="90324DF8" w:tentative="1">
      <w:start w:val="1"/>
      <w:numFmt w:val="decimal"/>
      <w:lvlText w:val="%7."/>
      <w:lvlJc w:val="left"/>
      <w:pPr>
        <w:ind w:left="5040" w:hanging="360"/>
      </w:pPr>
    </w:lvl>
    <w:lvl w:ilvl="7" w:tplc="A2DEAE2C" w:tentative="1">
      <w:start w:val="1"/>
      <w:numFmt w:val="lowerLetter"/>
      <w:lvlText w:val="%8."/>
      <w:lvlJc w:val="left"/>
      <w:pPr>
        <w:ind w:left="5760" w:hanging="360"/>
      </w:pPr>
    </w:lvl>
    <w:lvl w:ilvl="8" w:tplc="6AEAF3DA" w:tentative="1">
      <w:start w:val="1"/>
      <w:numFmt w:val="lowerRoman"/>
      <w:lvlText w:val="%9."/>
      <w:lvlJc w:val="right"/>
      <w:pPr>
        <w:ind w:left="6480" w:hanging="180"/>
      </w:pPr>
    </w:lvl>
  </w:abstractNum>
  <w:abstractNum w:abstractNumId="19" w15:restartNumberingAfterBreak="1">
    <w:nsid w:val="70D441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1"/>
  </w:num>
  <w:num w:numId="15">
    <w:abstractNumId w:val="18"/>
  </w:num>
  <w:num w:numId="16">
    <w:abstractNumId w:val="12"/>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2A"/>
    <w:rsid w:val="00012124"/>
    <w:rsid w:val="000339CF"/>
    <w:rsid w:val="00036CA7"/>
    <w:rsid w:val="00043768"/>
    <w:rsid w:val="0005331E"/>
    <w:rsid w:val="00054663"/>
    <w:rsid w:val="00061440"/>
    <w:rsid w:val="0007754A"/>
    <w:rsid w:val="00090A77"/>
    <w:rsid w:val="000A6373"/>
    <w:rsid w:val="000B265D"/>
    <w:rsid w:val="000B5D60"/>
    <w:rsid w:val="000C6BF6"/>
    <w:rsid w:val="000F1114"/>
    <w:rsid w:val="000F29EA"/>
    <w:rsid w:val="0014232D"/>
    <w:rsid w:val="00177EA2"/>
    <w:rsid w:val="001B0A41"/>
    <w:rsid w:val="001B119D"/>
    <w:rsid w:val="001B7254"/>
    <w:rsid w:val="001B7579"/>
    <w:rsid w:val="001C5D76"/>
    <w:rsid w:val="001C5EF5"/>
    <w:rsid w:val="001D119C"/>
    <w:rsid w:val="001F45DE"/>
    <w:rsid w:val="00204B71"/>
    <w:rsid w:val="00207076"/>
    <w:rsid w:val="0020745F"/>
    <w:rsid w:val="00210762"/>
    <w:rsid w:val="00212433"/>
    <w:rsid w:val="00221581"/>
    <w:rsid w:val="0025555F"/>
    <w:rsid w:val="0027439C"/>
    <w:rsid w:val="002925AE"/>
    <w:rsid w:val="00297145"/>
    <w:rsid w:val="002B24B6"/>
    <w:rsid w:val="00331CFA"/>
    <w:rsid w:val="0035713A"/>
    <w:rsid w:val="0037070B"/>
    <w:rsid w:val="003829B3"/>
    <w:rsid w:val="003829C7"/>
    <w:rsid w:val="00383A46"/>
    <w:rsid w:val="0039513F"/>
    <w:rsid w:val="003A0BCF"/>
    <w:rsid w:val="003A203E"/>
    <w:rsid w:val="003E1B61"/>
    <w:rsid w:val="003E5A54"/>
    <w:rsid w:val="003F515F"/>
    <w:rsid w:val="00407F3A"/>
    <w:rsid w:val="00420BFB"/>
    <w:rsid w:val="00431851"/>
    <w:rsid w:val="0043225F"/>
    <w:rsid w:val="00436924"/>
    <w:rsid w:val="00442F01"/>
    <w:rsid w:val="004E2D2A"/>
    <w:rsid w:val="005220F5"/>
    <w:rsid w:val="00526633"/>
    <w:rsid w:val="00543CB1"/>
    <w:rsid w:val="00545A0A"/>
    <w:rsid w:val="0057028D"/>
    <w:rsid w:val="00583A38"/>
    <w:rsid w:val="0059678A"/>
    <w:rsid w:val="00597BE5"/>
    <w:rsid w:val="005B2192"/>
    <w:rsid w:val="005B6753"/>
    <w:rsid w:val="005C3937"/>
    <w:rsid w:val="005C44F0"/>
    <w:rsid w:val="00603D6C"/>
    <w:rsid w:val="00631A5E"/>
    <w:rsid w:val="00633E72"/>
    <w:rsid w:val="006458AE"/>
    <w:rsid w:val="00653CEB"/>
    <w:rsid w:val="00672FF8"/>
    <w:rsid w:val="00681A25"/>
    <w:rsid w:val="00691758"/>
    <w:rsid w:val="006A4650"/>
    <w:rsid w:val="006B2CC9"/>
    <w:rsid w:val="00716656"/>
    <w:rsid w:val="00723E3B"/>
    <w:rsid w:val="00735F73"/>
    <w:rsid w:val="00743D12"/>
    <w:rsid w:val="007461E7"/>
    <w:rsid w:val="007774A1"/>
    <w:rsid w:val="007869BB"/>
    <w:rsid w:val="007E7C88"/>
    <w:rsid w:val="00803839"/>
    <w:rsid w:val="00850D3C"/>
    <w:rsid w:val="00852D8A"/>
    <w:rsid w:val="00870C06"/>
    <w:rsid w:val="008908DB"/>
    <w:rsid w:val="008E045C"/>
    <w:rsid w:val="0090288D"/>
    <w:rsid w:val="00937638"/>
    <w:rsid w:val="00966E28"/>
    <w:rsid w:val="009713F2"/>
    <w:rsid w:val="00986D80"/>
    <w:rsid w:val="009B567A"/>
    <w:rsid w:val="009C11B3"/>
    <w:rsid w:val="009D34F5"/>
    <w:rsid w:val="009E4FFA"/>
    <w:rsid w:val="009F3849"/>
    <w:rsid w:val="00A5618E"/>
    <w:rsid w:val="00A56411"/>
    <w:rsid w:val="00A67885"/>
    <w:rsid w:val="00A71EFF"/>
    <w:rsid w:val="00A925D3"/>
    <w:rsid w:val="00AD0E3C"/>
    <w:rsid w:val="00AD637C"/>
    <w:rsid w:val="00AE3514"/>
    <w:rsid w:val="00B347F3"/>
    <w:rsid w:val="00BB0E01"/>
    <w:rsid w:val="00BC6C38"/>
    <w:rsid w:val="00BD58FB"/>
    <w:rsid w:val="00BE48FA"/>
    <w:rsid w:val="00C73D4B"/>
    <w:rsid w:val="00C86318"/>
    <w:rsid w:val="00CE4A24"/>
    <w:rsid w:val="00CF7771"/>
    <w:rsid w:val="00D112E0"/>
    <w:rsid w:val="00D27477"/>
    <w:rsid w:val="00D57B0F"/>
    <w:rsid w:val="00D845FC"/>
    <w:rsid w:val="00DA2E13"/>
    <w:rsid w:val="00DB435F"/>
    <w:rsid w:val="00DB69D0"/>
    <w:rsid w:val="00DC532B"/>
    <w:rsid w:val="00DF3FB4"/>
    <w:rsid w:val="00E038FC"/>
    <w:rsid w:val="00E24ADA"/>
    <w:rsid w:val="00E52023"/>
    <w:rsid w:val="00E568CD"/>
    <w:rsid w:val="00E67282"/>
    <w:rsid w:val="00E8116A"/>
    <w:rsid w:val="00EA6035"/>
    <w:rsid w:val="00EB3A90"/>
    <w:rsid w:val="00EC5C46"/>
    <w:rsid w:val="00ED0DA5"/>
    <w:rsid w:val="00EE6CF0"/>
    <w:rsid w:val="00F13D69"/>
    <w:rsid w:val="00F259C2"/>
    <w:rsid w:val="00F5021D"/>
    <w:rsid w:val="00F534D3"/>
    <w:rsid w:val="00FA242D"/>
    <w:rsid w:val="00FB1D17"/>
    <w:rsid w:val="00FC25B2"/>
    <w:rsid w:val="00FF0532"/>
    <w:rsid w:val="00FF635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F76E9-C0B5-495F-846A-975717C5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A7F"/>
    <w:pPr>
      <w:widowControl w:val="0"/>
      <w:ind w:firstLine="720"/>
      <w:jc w:val="both"/>
    </w:pPr>
    <w:rPr>
      <w:rFonts w:ascii="Times New Roman" w:hAnsi="Times New Roman"/>
      <w:sz w:val="24"/>
      <w:szCs w:val="22"/>
      <w:lang w:val="en-US" w:eastAsia="en-US"/>
    </w:rPr>
  </w:style>
  <w:style w:type="paragraph" w:styleId="Heading3">
    <w:name w:val="heading 3"/>
    <w:basedOn w:val="Normal"/>
    <w:link w:val="Heading3Char"/>
    <w:uiPriority w:val="9"/>
    <w:qFormat/>
    <w:rsid w:val="000B5D60"/>
    <w:pPr>
      <w:widowControl/>
      <w:spacing w:before="100" w:beforeAutospacing="1" w:after="100" w:afterAutospacing="1"/>
      <w:ind w:firstLine="0"/>
      <w:jc w:val="left"/>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Normal"/>
    <w:link w:val="naisf14ptRakstz"/>
    <w:rsid w:val="00D74F58"/>
    <w:pPr>
      <w:widowControl/>
      <w:ind w:right="57" w:firstLine="709"/>
    </w:pPr>
    <w:rPr>
      <w:sz w:val="28"/>
      <w:szCs w:val="24"/>
      <w:lang w:val="lv-LV" w:eastAsia="lv-LV"/>
    </w:rPr>
  </w:style>
  <w:style w:type="paragraph" w:styleId="NoSpacing">
    <w:name w:val="No Spacing"/>
    <w:uiPriority w:val="1"/>
    <w:qFormat/>
    <w:rsid w:val="00331F1F"/>
    <w:pPr>
      <w:widowControl w:val="0"/>
      <w:jc w:val="both"/>
    </w:pPr>
    <w:rPr>
      <w:rFonts w:ascii="Times New Roman" w:hAnsi="Times New Roman"/>
      <w:sz w:val="24"/>
      <w:szCs w:val="22"/>
      <w:lang w:val="en-US" w:eastAsia="en-US"/>
    </w:rPr>
  </w:style>
  <w:style w:type="paragraph" w:styleId="ListParagraph">
    <w:name w:val="List Paragraph"/>
    <w:basedOn w:val="Normal"/>
    <w:uiPriority w:val="34"/>
    <w:qFormat/>
    <w:rsid w:val="002662B5"/>
    <w:pPr>
      <w:ind w:left="720"/>
      <w:contextualSpacing/>
    </w:pPr>
  </w:style>
  <w:style w:type="character" w:customStyle="1" w:styleId="Heading3Char">
    <w:name w:val="Heading 3 Char"/>
    <w:basedOn w:val="DefaultParagraphFont"/>
    <w:link w:val="Heading3"/>
    <w:uiPriority w:val="9"/>
    <w:rsid w:val="000B5D60"/>
    <w:rPr>
      <w:rFonts w:ascii="Times New Roman" w:eastAsia="Times New Roman" w:hAnsi="Times New Roman"/>
      <w:b/>
      <w:bCs/>
      <w:sz w:val="27"/>
      <w:szCs w:val="27"/>
    </w:rPr>
  </w:style>
  <w:style w:type="paragraph" w:customStyle="1" w:styleId="tv213">
    <w:name w:val="tv213"/>
    <w:basedOn w:val="Normal"/>
    <w:rsid w:val="000B5D60"/>
    <w:pPr>
      <w:widowControl/>
      <w:spacing w:before="100" w:beforeAutospacing="1" w:after="100" w:afterAutospacing="1"/>
      <w:ind w:firstLine="0"/>
      <w:jc w:val="left"/>
    </w:pPr>
    <w:rPr>
      <w:rFonts w:eastAsia="Times New Roman"/>
      <w:szCs w:val="24"/>
      <w:lang w:val="lv-LV" w:eastAsia="lv-LV"/>
    </w:rPr>
  </w:style>
  <w:style w:type="paragraph" w:customStyle="1" w:styleId="labojumupamats">
    <w:name w:val="labojumu_pamats"/>
    <w:basedOn w:val="Normal"/>
    <w:rsid w:val="000B5D60"/>
    <w:pPr>
      <w:widowControl/>
      <w:spacing w:before="100" w:beforeAutospacing="1" w:after="100" w:afterAutospacing="1"/>
      <w:ind w:firstLine="0"/>
      <w:jc w:val="left"/>
    </w:pPr>
    <w:rPr>
      <w:rFonts w:eastAsia="Times New Roman"/>
      <w:szCs w:val="24"/>
      <w:lang w:val="lv-LV" w:eastAsia="lv-LV"/>
    </w:rPr>
  </w:style>
  <w:style w:type="paragraph" w:customStyle="1" w:styleId="doc-ti">
    <w:name w:val="doc-ti"/>
    <w:basedOn w:val="Normal"/>
    <w:rsid w:val="00F534D3"/>
    <w:pPr>
      <w:widowControl/>
      <w:spacing w:before="100" w:beforeAutospacing="1" w:after="100" w:afterAutospacing="1"/>
      <w:ind w:firstLine="0"/>
      <w:jc w:val="left"/>
    </w:pPr>
    <w:rPr>
      <w:rFonts w:eastAsia="Times New Roman"/>
      <w:szCs w:val="24"/>
      <w:lang w:val="lv-LV" w:eastAsia="lv-LV"/>
    </w:rPr>
  </w:style>
  <w:style w:type="paragraph" w:customStyle="1" w:styleId="Default">
    <w:name w:val="Default"/>
    <w:rsid w:val="003F515F"/>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57028D"/>
    <w:rPr>
      <w:i/>
      <w:iCs/>
    </w:rPr>
  </w:style>
  <w:style w:type="character" w:customStyle="1" w:styleId="Neatrisintapieminana1">
    <w:name w:val="Neatrisināta pieminēšana1"/>
    <w:basedOn w:val="DefaultParagraphFont"/>
    <w:uiPriority w:val="99"/>
    <w:semiHidden/>
    <w:unhideWhenUsed/>
    <w:rsid w:val="002925AE"/>
    <w:rPr>
      <w:color w:val="605E5C"/>
      <w:shd w:val="clear" w:color="auto" w:fill="E1DFDD"/>
    </w:rPr>
  </w:style>
  <w:style w:type="paragraph" w:styleId="CommentText">
    <w:name w:val="annotation text"/>
    <w:basedOn w:val="Normal"/>
    <w:link w:val="CommentTextChar"/>
    <w:uiPriority w:val="99"/>
    <w:semiHidden/>
    <w:unhideWhenUsed/>
    <w:rsid w:val="00212433"/>
    <w:rPr>
      <w:sz w:val="20"/>
      <w:szCs w:val="20"/>
    </w:rPr>
  </w:style>
  <w:style w:type="character" w:customStyle="1" w:styleId="CommentTextChar">
    <w:name w:val="Comment Text Char"/>
    <w:basedOn w:val="DefaultParagraphFont"/>
    <w:link w:val="CommentText"/>
    <w:uiPriority w:val="99"/>
    <w:semiHidden/>
    <w:rsid w:val="00212433"/>
    <w:rPr>
      <w:rFonts w:ascii="Times New Roman" w:hAnsi="Times New Roman"/>
      <w:lang w:val="en-US" w:eastAsia="en-US"/>
    </w:rPr>
  </w:style>
  <w:style w:type="character" w:styleId="CommentReference">
    <w:name w:val="annotation reference"/>
    <w:basedOn w:val="DefaultParagraphFont"/>
    <w:uiPriority w:val="99"/>
    <w:semiHidden/>
    <w:unhideWhenUsed/>
    <w:rsid w:val="00212433"/>
    <w:rPr>
      <w:sz w:val="16"/>
      <w:szCs w:val="16"/>
    </w:rPr>
  </w:style>
  <w:style w:type="paragraph" w:styleId="CommentSubject">
    <w:name w:val="annotation subject"/>
    <w:basedOn w:val="CommentText"/>
    <w:next w:val="CommentText"/>
    <w:link w:val="CommentSubjectChar"/>
    <w:uiPriority w:val="99"/>
    <w:semiHidden/>
    <w:unhideWhenUsed/>
    <w:rsid w:val="00331CFA"/>
    <w:rPr>
      <w:b/>
      <w:bCs/>
    </w:rPr>
  </w:style>
  <w:style w:type="character" w:customStyle="1" w:styleId="CommentSubjectChar">
    <w:name w:val="Comment Subject Char"/>
    <w:basedOn w:val="CommentTextChar"/>
    <w:link w:val="CommentSubject"/>
    <w:uiPriority w:val="99"/>
    <w:semiHidden/>
    <w:rsid w:val="00331CFA"/>
    <w:rPr>
      <w:rFonts w:ascii="Times New Roman" w:hAnsi="Times New Roman"/>
      <w:b/>
      <w:bCs/>
      <w:lang w:val="en-US" w:eastAsia="en-US"/>
    </w:rPr>
  </w:style>
  <w:style w:type="paragraph" w:customStyle="1" w:styleId="tvhtml">
    <w:name w:val="tv_html"/>
    <w:basedOn w:val="Normal"/>
    <w:link w:val="tvhtmlChar"/>
    <w:rsid w:val="001B7254"/>
    <w:pPr>
      <w:widowControl/>
      <w:spacing w:before="100" w:beforeAutospacing="1" w:after="100" w:afterAutospacing="1"/>
      <w:ind w:firstLine="0"/>
      <w:jc w:val="left"/>
    </w:pPr>
    <w:rPr>
      <w:rFonts w:eastAsia="Times New Roman"/>
      <w:szCs w:val="24"/>
      <w:lang w:val="lv-LV" w:eastAsia="lv-LV"/>
    </w:rPr>
  </w:style>
  <w:style w:type="character" w:customStyle="1" w:styleId="tvhtmlChar">
    <w:name w:val="tv_html Char"/>
    <w:basedOn w:val="DefaultParagraphFont"/>
    <w:link w:val="tvhtml"/>
    <w:rsid w:val="001B72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ja.silicka@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CD23-1D8C-4E88-AD1E-04783E71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7942</Words>
  <Characters>4528</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Alvils Strīķeris</cp:lastModifiedBy>
  <cp:revision>2</cp:revision>
  <cp:lastPrinted>2020-08-13T08:36:00Z</cp:lastPrinted>
  <dcterms:created xsi:type="dcterms:W3CDTF">2021-02-02T11:35:00Z</dcterms:created>
  <dcterms:modified xsi:type="dcterms:W3CDTF">2021-02-02T11:35:00Z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