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002131" w14:textId="77777777" w:rsidR="00E4335F" w:rsidRDefault="002E1583">
      <w:pPr>
        <w:spacing w:after="240"/>
        <w:jc w:val="center"/>
        <w:rPr>
          <w:b/>
        </w:rPr>
      </w:pPr>
      <w:r>
        <w:rPr>
          <w:b/>
        </w:rPr>
        <w:t>“Publiskās apspriešanas laikā 04.07.2025. - 18.07.2025. saņemto viedokļu, priekšlikumu un iebildumu apkopojums par Grozījumi Ministru kabineta 2024. gada 13. augusta noteikumos Nr.&amp;nbsp;543 "Metodiskās vadības institūcijas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4335F" w14:paraId="2593DB70" w14:textId="77777777">
        <w:tc>
          <w:tcPr>
            <w:tcW w:w="750" w:type="dxa"/>
            <w:shd w:val="clear" w:color="auto" w:fill="FFFFFF"/>
            <w:noWrap/>
            <w:tcMar>
              <w:top w:w="75" w:type="dxa"/>
              <w:left w:w="75" w:type="dxa"/>
              <w:bottom w:w="75" w:type="dxa"/>
              <w:right w:w="75" w:type="dxa"/>
            </w:tcMar>
            <w:vAlign w:val="center"/>
          </w:tcPr>
          <w:p w14:paraId="2E06322A" w14:textId="77777777" w:rsidR="00E4335F" w:rsidRDefault="002E1583">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3EBF352C" w14:textId="77777777" w:rsidR="00E4335F" w:rsidRDefault="002E1583">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867B080" w14:textId="77777777" w:rsidR="00E4335F" w:rsidRDefault="002E1583">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4CEAFE55" w14:textId="77777777" w:rsidR="00E4335F" w:rsidRDefault="002E1583">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E2BE8EE" w14:textId="77777777" w:rsidR="00E4335F" w:rsidRDefault="002E1583">
            <w:pPr>
              <w:jc w:val="center"/>
            </w:pPr>
            <w:r>
              <w:rPr>
                <w:b/>
              </w:rPr>
              <w:t>Skaidrojums, kādā veidā viedoklis / priekšlikums / iebildums ir ņemts vērā vai ņemts vērā daļēji, vai pamatojums, ja viedoklis / priekšlikums / iebildums nav ņemts vērā</w:t>
            </w:r>
          </w:p>
        </w:tc>
      </w:tr>
      <w:tr w:rsidR="00E4335F" w14:paraId="54076DF2" w14:textId="77777777">
        <w:tc>
          <w:tcPr>
            <w:tcW w:w="750" w:type="dxa"/>
            <w:shd w:val="clear" w:color="auto" w:fill="FFFFFF"/>
            <w:noWrap/>
            <w:tcMar>
              <w:top w:w="75" w:type="dxa"/>
              <w:left w:w="75" w:type="dxa"/>
              <w:bottom w:w="75" w:type="dxa"/>
              <w:right w:w="75" w:type="dxa"/>
            </w:tcMar>
            <w:vAlign w:val="center"/>
          </w:tcPr>
          <w:p w14:paraId="34561D99" w14:textId="77777777" w:rsidR="00E4335F" w:rsidRDefault="002E1583">
            <w:pPr>
              <w:jc w:val="center"/>
            </w:pPr>
            <w:r>
              <w:t>1.</w:t>
            </w:r>
          </w:p>
        </w:tc>
        <w:tc>
          <w:tcPr>
            <w:tcW w:w="4055" w:type="dxa"/>
            <w:shd w:val="clear" w:color="auto" w:fill="FFFFFF"/>
            <w:noWrap/>
            <w:tcMar>
              <w:top w:w="75" w:type="dxa"/>
              <w:left w:w="75" w:type="dxa"/>
              <w:bottom w:w="75" w:type="dxa"/>
              <w:right w:w="75" w:type="dxa"/>
            </w:tcMar>
            <w:vAlign w:val="center"/>
          </w:tcPr>
          <w:p w14:paraId="66BA3C1D" w14:textId="77777777" w:rsidR="00E4335F" w:rsidRDefault="002E1583">
            <w:pPr>
              <w:jc w:val="left"/>
            </w:pPr>
            <w:r>
              <w:t>SIA "Rīgas Austrumu klīniskā universitātes slimnīca"</w:t>
            </w:r>
          </w:p>
        </w:tc>
        <w:tc>
          <w:tcPr>
            <w:tcW w:w="4056" w:type="dxa"/>
            <w:shd w:val="clear" w:color="auto" w:fill="FFFFFF"/>
            <w:noWrap/>
            <w:tcMar>
              <w:top w:w="75" w:type="dxa"/>
              <w:left w:w="75" w:type="dxa"/>
              <w:bottom w:w="75" w:type="dxa"/>
              <w:right w:w="75" w:type="dxa"/>
            </w:tcMar>
            <w:vAlign w:val="center"/>
          </w:tcPr>
          <w:p w14:paraId="11A113F5" w14:textId="77777777" w:rsidR="00E4335F" w:rsidRDefault="002E1583">
            <w:pPr>
              <w:jc w:val="left"/>
            </w:pPr>
            <w:r>
              <w:t>1. Lūdzam Ministru kabineta noteikumu projektā definēt šo noteikumu 4.1. apakšpunktā nosaukto punktu sistēmu, tā nodrošinot vienotu un caurspīdīgu lēmumu pieņemšanas kārtību gadījumos, kad uz metodiskās vadības institūcijas statusu piesakās vairākas iestādes, kas atbilst noteiktajām prasībām.</w:t>
            </w:r>
            <w:r>
              <w:br/>
            </w:r>
            <w:r>
              <w:t xml:space="preserve">Atbilstoši Valsts pārvaldes iekārtas likuma 10. panta piektajā daļā noteiktajam labas pārvaldības principam, kas ietver atklātību pret privātpersonu un taisnīgu procedūru īstenošanu, punktu </w:t>
            </w:r>
            <w:r>
              <w:lastRenderedPageBreak/>
              <w:t>sistēmai ir jābūt pretendentiem zināmai, pirms tiek gatavots pieteikums, lai mazinātu iespēju šo sistēmu veidot kādai iestādei labvēlīgāku.</w:t>
            </w:r>
            <w:r>
              <w:br/>
            </w:r>
            <w:r>
              <w:t>2. Lūdzam precizēt, uz kādu iestādi (ārstniecības iestādi vai augstākās izglītības iestādi) attiecas noteikumu projekta 4.2.1., 4.2.2., 4.2.3. un 4.2.4. apakšpunkti.</w:t>
            </w:r>
            <w:r>
              <w:br/>
            </w:r>
            <w:r>
              <w:t>3. Lūdzam preci</w:t>
            </w:r>
            <w:r>
              <w:t>zēt kārtību gadījumos (MK noteikumu projekta 4.3.punkts), ja vairākas augstākās izglītības iestādes saņem vienādu punktu skaitu, kā tas noteiks 4.2. apakšpunktā attiecībā uz ārstniecības iestādēm.</w:t>
            </w:r>
            <w:r>
              <w:br/>
            </w:r>
            <w:r>
              <w:t>4. Netiek atbalstīts jauns metodiskās vadības institūcijas (turpmāk - MVI) pienākums veikt sniegto veselības aprūpes un veselības aprūpes profesionālo kvalitāti ārstniecības iestādē:</w:t>
            </w:r>
            <w:r>
              <w:br/>
            </w:r>
            <w:r>
              <w:t xml:space="preserve">Uzdodot MVI izvērtēt un sniegt atzinumu par veikt sniegto veselības aprūpes un veselības aprūpes profesionālo kvalitāti </w:t>
            </w:r>
            <w:r>
              <w:lastRenderedPageBreak/>
              <w:t>ārstniecības</w:t>
            </w:r>
            <w:r>
              <w:t xml:space="preserve"> iestādē, tiek dublētas Veselības inspekcijas funkcijas.</w:t>
            </w:r>
            <w:r>
              <w:br/>
            </w:r>
            <w:r>
              <w:t>Saskaņā ar Ministru kabineta 09.07.2019. noteikumu Nr. 309 “Veselības inspekcijas nolikums” 3.1. apakšpunktu, Veselības inspekcija uzrauga ārstniecības iestādēm saistošo normatīvo aktu izpildi veselības aprūpes un darbspējas ekspertīzes jomā, kā arī veselības aprūpes profesionālo un darbspējas ekspertīzes kvalitāti. Saskaņā ar 4.1. apakšpunktu -Veselības Inspekcijas uzdevums veikt pārbaudes, ekspertīzes un sniegt atzinumus par veselības aprūpes un dar</w:t>
            </w:r>
            <w:r>
              <w:t>bspējas ekspertīzes kvalitāti.</w:t>
            </w:r>
            <w:r>
              <w:br/>
            </w:r>
            <w:r>
              <w:t xml:space="preserve">Saskaņā ar Valsts pārvaldes iekārtas likuma 10. 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w:t>
            </w:r>
            <w:r>
              <w:lastRenderedPageBreak/>
              <w:t>un apsverot deleģēšanas iespējas vai ārpakalpojuma izmantošanu.</w:t>
            </w:r>
            <w:r>
              <w:br/>
            </w:r>
            <w:r>
              <w:t>Uz pieprasījumu balstīta normas izpilde aizņems mērķim neatbilstošu laika resursu.</w:t>
            </w:r>
            <w:r>
              <w:br/>
            </w:r>
            <w:r>
              <w:t>MVI ikgadē</w:t>
            </w:r>
            <w:r>
              <w:t xml:space="preserve">ji ar Veselības ministriju (turpmāk - VM) slēdz vienošanos par MVI pakalpojumu izpildi, norādot nepieciešamo finansējumu. Lai izpildītu jauno normu, MVI ir jāpiesaista atbilstoši eksperti un jāsludina iepirkums, kā to paredz Ministru kabineta 13.08.2024. noteikumi Nr. 543 "Metodiskās vadības institūcijas noteikumi". Ņemot vērā esošo praksi, vienošanās ar VM, iepirkums un rezultāts aizņems </w:t>
            </w:r>
            <w:proofErr w:type="spellStart"/>
            <w:r>
              <w:t>izvērtējumam</w:t>
            </w:r>
            <w:proofErr w:type="spellEnd"/>
            <w:r>
              <w:t xml:space="preserve"> neatbilstoši ilgu laika periodu.</w:t>
            </w:r>
            <w:r>
              <w:br/>
            </w:r>
            <w:r>
              <w:t>Nav skaidrots, kā tieši MVI būtu jaunā norma īstenojama, ņemot vērā augstā</w:t>
            </w:r>
            <w:r>
              <w:t>k minētos iebilduma punktus.</w:t>
            </w:r>
          </w:p>
        </w:tc>
        <w:tc>
          <w:tcPr>
            <w:tcW w:w="1650" w:type="dxa"/>
            <w:shd w:val="clear" w:color="auto" w:fill="FFFFFF"/>
            <w:noWrap/>
            <w:tcMar>
              <w:top w:w="75" w:type="dxa"/>
              <w:left w:w="75" w:type="dxa"/>
              <w:bottom w:w="75" w:type="dxa"/>
              <w:right w:w="75" w:type="dxa"/>
            </w:tcMar>
            <w:vAlign w:val="center"/>
          </w:tcPr>
          <w:p w14:paraId="793A684C" w14:textId="2FD9D061" w:rsidR="00E4335F" w:rsidRDefault="00C94B17">
            <w:pPr>
              <w:jc w:val="left"/>
            </w:pPr>
            <w:r>
              <w:lastRenderedPageBreak/>
              <w:t>1. Nav ņemts vērā;</w:t>
            </w:r>
          </w:p>
          <w:p w14:paraId="12049D93" w14:textId="77777777" w:rsidR="00C94B17" w:rsidRDefault="00C94B17">
            <w:pPr>
              <w:jc w:val="left"/>
            </w:pPr>
            <w:r>
              <w:t>2. Ņemts vērā;</w:t>
            </w:r>
          </w:p>
          <w:p w14:paraId="5FA14D85" w14:textId="77777777" w:rsidR="00C94B17" w:rsidRDefault="00C94B17">
            <w:pPr>
              <w:jc w:val="left"/>
            </w:pPr>
            <w:r>
              <w:t>3. Ņemts vērā daļēji;</w:t>
            </w:r>
          </w:p>
          <w:p w14:paraId="6B87554C" w14:textId="655AE7DB" w:rsidR="00C94B17" w:rsidRDefault="00C94B17">
            <w:pPr>
              <w:jc w:val="left"/>
            </w:pPr>
            <w:r>
              <w:t>4. Nav ņemts vērā.</w:t>
            </w:r>
          </w:p>
        </w:tc>
        <w:tc>
          <w:tcPr>
            <w:tcW w:w="4056" w:type="dxa"/>
            <w:shd w:val="clear" w:color="auto" w:fill="FFFFFF"/>
            <w:noWrap/>
            <w:tcMar>
              <w:top w:w="75" w:type="dxa"/>
              <w:left w:w="75" w:type="dxa"/>
              <w:bottom w:w="75" w:type="dxa"/>
              <w:right w:w="75" w:type="dxa"/>
            </w:tcMar>
            <w:vAlign w:val="center"/>
          </w:tcPr>
          <w:p w14:paraId="1BCCA29E" w14:textId="77777777" w:rsidR="00E4335F" w:rsidRDefault="00C94B17">
            <w:pPr>
              <w:jc w:val="left"/>
            </w:pPr>
            <w:r>
              <w:t xml:space="preserve">1. </w:t>
            </w:r>
            <w:r w:rsidRPr="00C94B17">
              <w:t>Iebildums nav aktuāls, jo redakcionāli svītrota punktu sistēma. Tā aizstāta ar kvalitatīviem izvērtēšanas kritērijiem, kas noteikti 4.1. un 4.2. punktos. Tādējādi tiek nodrošināts objektīvs, caurspīdīgs un pārskatāms lēmumu pieņemšanas mehānisms.</w:t>
            </w:r>
          </w:p>
          <w:p w14:paraId="39B0E4FE" w14:textId="77777777" w:rsidR="00C94B17" w:rsidRDefault="00C94B17">
            <w:pPr>
              <w:jc w:val="left"/>
            </w:pPr>
            <w:r>
              <w:t>2. Minētie apakšpunkti attiecas arī uz augstākās izglītības iestādēm.</w:t>
            </w:r>
          </w:p>
          <w:p w14:paraId="37CAF7CD" w14:textId="77777777" w:rsidR="00C94B17" w:rsidRDefault="00C94B17">
            <w:pPr>
              <w:jc w:val="left"/>
            </w:pPr>
            <w:r>
              <w:t xml:space="preserve">3. </w:t>
            </w:r>
            <w:r w:rsidRPr="00C94B17">
              <w:t xml:space="preserve">Ja pēc 4.2. punktā minētās izvērtēšanas vairākas augstskolas ir līdzvērtīgas, ministrija pieņem lēmumu, ņemot vērā katra pretendenta spēju nodrošināt </w:t>
            </w:r>
            <w:r w:rsidRPr="00C94B17">
              <w:lastRenderedPageBreak/>
              <w:t>metodiskās vadības funkciju izpildi praksē, tostarp to kapacitāti, sadarbības tīklus un īstenotos rezultātus konkrētajā veselības aprūpes jomā.</w:t>
            </w:r>
          </w:p>
          <w:p w14:paraId="41E046C3" w14:textId="71F0A886" w:rsidR="00C94B17" w:rsidRDefault="00C94B17">
            <w:pPr>
              <w:jc w:val="left"/>
            </w:pPr>
            <w:r>
              <w:t xml:space="preserve">4. </w:t>
            </w:r>
            <w:r w:rsidRPr="00C94B17">
              <w:t>Iebildums nav atbalstāms. 7.15. punktā paredzētā funkcija nedublē Veselības inspekcijas kompetenci, bet nodrošina ekspertīzes piesaisti pēc pieprasījuma, piemēram, ja Veselības inspekcija lūdz MVI ieteikt attiecīgās jomas speciālistu. Šī funkcija izriet no esošās prakses un tiek īstenota sadarbībā ar Veselības ministriju, slēdzot ikgadēju vienošanos par funkciju apjomu.</w:t>
            </w:r>
          </w:p>
        </w:tc>
      </w:tr>
      <w:tr w:rsidR="00E4335F" w14:paraId="493E52A0" w14:textId="77777777">
        <w:tc>
          <w:tcPr>
            <w:tcW w:w="750" w:type="dxa"/>
            <w:shd w:val="clear" w:color="auto" w:fill="FFFFFF"/>
            <w:noWrap/>
            <w:tcMar>
              <w:top w:w="75" w:type="dxa"/>
              <w:left w:w="75" w:type="dxa"/>
              <w:bottom w:w="75" w:type="dxa"/>
              <w:right w:w="75" w:type="dxa"/>
            </w:tcMar>
            <w:vAlign w:val="center"/>
          </w:tcPr>
          <w:p w14:paraId="3C11C537" w14:textId="77777777" w:rsidR="00E4335F" w:rsidRDefault="002E1583">
            <w:pPr>
              <w:jc w:val="center"/>
            </w:pPr>
            <w:r>
              <w:lastRenderedPageBreak/>
              <w:t>2.</w:t>
            </w:r>
          </w:p>
        </w:tc>
        <w:tc>
          <w:tcPr>
            <w:tcW w:w="4055" w:type="dxa"/>
            <w:shd w:val="clear" w:color="auto" w:fill="FFFFFF"/>
            <w:noWrap/>
            <w:tcMar>
              <w:top w:w="75" w:type="dxa"/>
              <w:left w:w="75" w:type="dxa"/>
              <w:bottom w:w="75" w:type="dxa"/>
              <w:right w:w="75" w:type="dxa"/>
            </w:tcMar>
            <w:vAlign w:val="center"/>
          </w:tcPr>
          <w:p w14:paraId="10C7A2D4" w14:textId="77777777" w:rsidR="00E4335F" w:rsidRDefault="002E1583">
            <w:pPr>
              <w:jc w:val="left"/>
            </w:pPr>
            <w:r>
              <w:t>Latvijas Pacientu organizāciju tīkls</w:t>
            </w:r>
          </w:p>
        </w:tc>
        <w:tc>
          <w:tcPr>
            <w:tcW w:w="4056" w:type="dxa"/>
            <w:shd w:val="clear" w:color="auto" w:fill="FFFFFF"/>
            <w:noWrap/>
            <w:tcMar>
              <w:top w:w="75" w:type="dxa"/>
              <w:left w:w="75" w:type="dxa"/>
              <w:bottom w:w="75" w:type="dxa"/>
              <w:right w:w="75" w:type="dxa"/>
            </w:tcMar>
            <w:vAlign w:val="center"/>
          </w:tcPr>
          <w:p w14:paraId="55BE5C4E" w14:textId="77777777" w:rsidR="00E4335F" w:rsidRDefault="002E1583">
            <w:pPr>
              <w:jc w:val="left"/>
            </w:pPr>
            <w:r>
              <w:t xml:space="preserve">Papildināti 4.2. punkta kritēriji ar nosacījumu dot priekšroku tām MVI, kas spēj apliecināt sadarbību </w:t>
            </w:r>
            <w:r>
              <w:lastRenderedPageBreak/>
              <w:t>ar atbilstošas jomas un profila pacientu organizāciju.</w:t>
            </w:r>
          </w:p>
        </w:tc>
        <w:tc>
          <w:tcPr>
            <w:tcW w:w="1650" w:type="dxa"/>
            <w:shd w:val="clear" w:color="auto" w:fill="FFFFFF"/>
            <w:noWrap/>
            <w:tcMar>
              <w:top w:w="75" w:type="dxa"/>
              <w:left w:w="75" w:type="dxa"/>
              <w:bottom w:w="75" w:type="dxa"/>
              <w:right w:w="75" w:type="dxa"/>
            </w:tcMar>
            <w:vAlign w:val="center"/>
          </w:tcPr>
          <w:p w14:paraId="02E80C82" w14:textId="3D6BEEE5" w:rsidR="00E4335F" w:rsidRDefault="00C94B17">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B34877C" w14:textId="7A9A0F09" w:rsidR="00E4335F" w:rsidRDefault="00C94B17">
            <w:pPr>
              <w:jc w:val="left"/>
            </w:pPr>
            <w:r>
              <w:t xml:space="preserve">4.1.3. apakšpunkta kritērijs iekļauj iestādes sadarbību ar dažādām organizācijām, tostarp, nozaru </w:t>
            </w:r>
            <w:r>
              <w:lastRenderedPageBreak/>
              <w:t xml:space="preserve">pārstāvības organizācijām. “4.1.3. </w:t>
            </w:r>
            <w:r w:rsidRPr="00C94B17">
              <w:t xml:space="preserve">iestādes sadarbība ar citām ārstniecības iestādēm, nozaru pārstāvības organizācijām vai starptautiskām organizācijām attiecīgajā veselības aprūpes jomā, tostarp kopīgu projektu, </w:t>
            </w:r>
            <w:proofErr w:type="spellStart"/>
            <w:r w:rsidRPr="00C94B17">
              <w:t>pilotprogrammu</w:t>
            </w:r>
            <w:proofErr w:type="spellEnd"/>
            <w:r w:rsidRPr="00C94B17">
              <w:t xml:space="preserve"> vai vadlīniju ieviešanas iniciatīvu realizēšana.</w:t>
            </w:r>
            <w:r>
              <w:t xml:space="preserve"> ”</w:t>
            </w:r>
          </w:p>
        </w:tc>
      </w:tr>
    </w:tbl>
    <w:p w14:paraId="76F4A5E7" w14:textId="77777777" w:rsidR="00E4335F" w:rsidRDefault="00E4335F"/>
    <w:tbl>
      <w:tblPr>
        <w:tblStyle w:val="a"/>
        <w:tblW w:w="14567" w:type="dxa"/>
        <w:tblLayout w:type="fixed"/>
        <w:tblLook w:val="0600" w:firstRow="0" w:lastRow="0" w:firstColumn="0" w:lastColumn="0" w:noHBand="1" w:noVBand="1"/>
      </w:tblPr>
      <w:tblGrid>
        <w:gridCol w:w="4855"/>
        <w:gridCol w:w="4856"/>
        <w:gridCol w:w="4856"/>
      </w:tblGrid>
      <w:tr w:rsidR="00E4335F" w14:paraId="4A90D377" w14:textId="77777777">
        <w:tc>
          <w:tcPr>
            <w:tcW w:w="4855" w:type="dxa"/>
            <w:shd w:val="clear" w:color="auto" w:fill="FFFFFF"/>
            <w:noWrap/>
            <w:tcMar>
              <w:top w:w="75" w:type="dxa"/>
              <w:left w:w="75" w:type="dxa"/>
              <w:bottom w:w="75" w:type="dxa"/>
              <w:right w:w="75" w:type="dxa"/>
            </w:tcMar>
            <w:vAlign w:val="center"/>
          </w:tcPr>
          <w:p w14:paraId="228D90B2" w14:textId="77777777" w:rsidR="00E4335F" w:rsidRDefault="002E1583">
            <w:pPr>
              <w:jc w:val="left"/>
            </w:pPr>
            <w:r>
              <w:t>Datums**</w:t>
            </w:r>
          </w:p>
        </w:tc>
        <w:tc>
          <w:tcPr>
            <w:tcW w:w="4856" w:type="dxa"/>
            <w:shd w:val="clear" w:color="auto" w:fill="FFFFFF"/>
            <w:noWrap/>
            <w:tcMar>
              <w:top w:w="75" w:type="dxa"/>
              <w:left w:w="75" w:type="dxa"/>
              <w:bottom w:w="75" w:type="dxa"/>
              <w:right w:w="75" w:type="dxa"/>
            </w:tcMar>
            <w:vAlign w:val="center"/>
          </w:tcPr>
          <w:p w14:paraId="2BF4C738" w14:textId="77777777" w:rsidR="00E4335F" w:rsidRDefault="00E4335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88B7EEA" w14:textId="77777777" w:rsidR="00E4335F" w:rsidRDefault="00E4335F"/>
        </w:tc>
      </w:tr>
      <w:tr w:rsidR="00E4335F" w14:paraId="0D80AB56" w14:textId="77777777">
        <w:tc>
          <w:tcPr>
            <w:tcW w:w="4855" w:type="dxa"/>
            <w:shd w:val="clear" w:color="auto" w:fill="FFFFFF"/>
            <w:noWrap/>
            <w:tcMar>
              <w:top w:w="75" w:type="dxa"/>
              <w:left w:w="75" w:type="dxa"/>
              <w:bottom w:w="75" w:type="dxa"/>
              <w:right w:w="75" w:type="dxa"/>
            </w:tcMar>
            <w:vAlign w:val="center"/>
          </w:tcPr>
          <w:p w14:paraId="310D4AC2" w14:textId="77777777" w:rsidR="00E4335F" w:rsidRDefault="00E4335F"/>
        </w:tc>
        <w:tc>
          <w:tcPr>
            <w:tcW w:w="4856" w:type="dxa"/>
            <w:shd w:val="clear" w:color="auto" w:fill="FFFFFF"/>
            <w:noWrap/>
            <w:tcMar>
              <w:top w:w="75" w:type="dxa"/>
              <w:left w:w="75" w:type="dxa"/>
              <w:bottom w:w="75" w:type="dxa"/>
              <w:right w:w="75" w:type="dxa"/>
            </w:tcMar>
            <w:vAlign w:val="center"/>
          </w:tcPr>
          <w:p w14:paraId="65F9B5BD" w14:textId="77777777" w:rsidR="00E4335F" w:rsidRDefault="002E1583">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7BDF584" w14:textId="77777777" w:rsidR="00E4335F" w:rsidRDefault="00E4335F"/>
        </w:tc>
      </w:tr>
      <w:tr w:rsidR="00E4335F" w14:paraId="2258CBA5" w14:textId="77777777">
        <w:tc>
          <w:tcPr>
            <w:tcW w:w="4855" w:type="dxa"/>
            <w:shd w:val="clear" w:color="auto" w:fill="FFFFFF"/>
            <w:noWrap/>
            <w:tcMar>
              <w:top w:w="75" w:type="dxa"/>
              <w:left w:w="75" w:type="dxa"/>
              <w:bottom w:w="75" w:type="dxa"/>
              <w:right w:w="75" w:type="dxa"/>
            </w:tcMar>
            <w:vAlign w:val="center"/>
          </w:tcPr>
          <w:p w14:paraId="1C39C8AD" w14:textId="77777777" w:rsidR="00E4335F" w:rsidRDefault="002E1583">
            <w:pPr>
              <w:jc w:val="left"/>
            </w:pPr>
            <w:r>
              <w:t>Atbildīgā persona</w:t>
            </w:r>
          </w:p>
        </w:tc>
        <w:tc>
          <w:tcPr>
            <w:tcW w:w="4856" w:type="dxa"/>
            <w:shd w:val="clear" w:color="auto" w:fill="FFFFFF"/>
            <w:noWrap/>
            <w:tcMar>
              <w:top w:w="75" w:type="dxa"/>
              <w:left w:w="75" w:type="dxa"/>
              <w:bottom w:w="75" w:type="dxa"/>
              <w:right w:w="75" w:type="dxa"/>
            </w:tcMar>
            <w:vAlign w:val="center"/>
          </w:tcPr>
          <w:p w14:paraId="6FD464CB" w14:textId="77777777" w:rsidR="00E4335F" w:rsidRDefault="00E4335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22BB8AE" w14:textId="77777777" w:rsidR="00E4335F" w:rsidRDefault="00E4335F"/>
        </w:tc>
      </w:tr>
      <w:tr w:rsidR="00E4335F" w14:paraId="097F71C9" w14:textId="77777777">
        <w:tc>
          <w:tcPr>
            <w:tcW w:w="4855" w:type="dxa"/>
            <w:shd w:val="clear" w:color="auto" w:fill="FFFFFF"/>
            <w:noWrap/>
            <w:tcMar>
              <w:top w:w="75" w:type="dxa"/>
              <w:left w:w="75" w:type="dxa"/>
              <w:bottom w:w="75" w:type="dxa"/>
              <w:right w:w="75" w:type="dxa"/>
            </w:tcMar>
            <w:vAlign w:val="center"/>
          </w:tcPr>
          <w:p w14:paraId="43894A04" w14:textId="77777777" w:rsidR="00E4335F" w:rsidRDefault="00E4335F"/>
        </w:tc>
        <w:tc>
          <w:tcPr>
            <w:tcW w:w="4856" w:type="dxa"/>
            <w:shd w:val="clear" w:color="auto" w:fill="FFFFFF"/>
            <w:noWrap/>
            <w:tcMar>
              <w:top w:w="75" w:type="dxa"/>
              <w:left w:w="75" w:type="dxa"/>
              <w:bottom w:w="75" w:type="dxa"/>
              <w:right w:w="75" w:type="dxa"/>
            </w:tcMar>
            <w:vAlign w:val="center"/>
          </w:tcPr>
          <w:p w14:paraId="04E94377" w14:textId="77777777" w:rsidR="00E4335F" w:rsidRDefault="002E1583">
            <w:pPr>
              <w:jc w:val="center"/>
            </w:pPr>
            <w:r>
              <w:t>(vārds, uzvārds, paraksts**)</w:t>
            </w:r>
          </w:p>
        </w:tc>
        <w:tc>
          <w:tcPr>
            <w:tcW w:w="4856" w:type="dxa"/>
            <w:shd w:val="clear" w:color="auto" w:fill="FFFFFF"/>
            <w:noWrap/>
            <w:tcMar>
              <w:top w:w="75" w:type="dxa"/>
              <w:left w:w="75" w:type="dxa"/>
              <w:bottom w:w="75" w:type="dxa"/>
              <w:right w:w="75" w:type="dxa"/>
            </w:tcMar>
            <w:vAlign w:val="center"/>
          </w:tcPr>
          <w:p w14:paraId="03CDCEB4" w14:textId="77777777" w:rsidR="00E4335F" w:rsidRDefault="00E4335F"/>
        </w:tc>
      </w:tr>
    </w:tbl>
    <w:p w14:paraId="793CEDCE" w14:textId="77777777" w:rsidR="00E4335F" w:rsidRDefault="00E4335F"/>
    <w:p w14:paraId="317BE41C" w14:textId="77777777" w:rsidR="00E4335F" w:rsidRDefault="002E1583">
      <w:r>
        <w:t>Piezīmes.</w:t>
      </w:r>
    </w:p>
    <w:p w14:paraId="78EACBC7" w14:textId="77777777" w:rsidR="00E4335F" w:rsidRDefault="002E1583">
      <w:r>
        <w:t>* Iesniedzējs (fiziskai personai – vārds, uzvārds, juridiskai personai – nosaukums) var tikt publiskots, ja viņš tam ir piekritis. Ja attiecināms, iesniedzējs norāda interešu pārstāvja reģistrācijas numuru.</w:t>
      </w:r>
    </w:p>
    <w:p w14:paraId="629887AE" w14:textId="77777777" w:rsidR="00E4335F" w:rsidRDefault="002E1583">
      <w:r>
        <w:t>** Dokumenta rekvizītus "datums" un "paraksts" neaizpilda, ja elektroniskais dokuments ir sagatavots atbilstoši normatīvajiem aktiem par elektronisko dokumentu noformēšanu.</w:t>
      </w:r>
    </w:p>
    <w:sectPr w:rsidR="00E4335F">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834F" w14:textId="77777777" w:rsidR="002E1583" w:rsidRDefault="002E1583">
      <w:r>
        <w:separator/>
      </w:r>
    </w:p>
  </w:endnote>
  <w:endnote w:type="continuationSeparator" w:id="0">
    <w:p w14:paraId="2FFFAD27" w14:textId="77777777" w:rsidR="002E1583" w:rsidRDefault="002E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63C7" w14:textId="77777777" w:rsidR="00E4335F" w:rsidRDefault="002E1583">
    <w:pPr>
      <w:jc w:val="right"/>
    </w:pPr>
    <w:r>
      <w:rPr>
        <w:sz w:val="24"/>
        <w:szCs w:val="24"/>
      </w:rPr>
      <w:fldChar w:fldCharType="begin"/>
    </w:r>
    <w:r>
      <w:rPr>
        <w:sz w:val="24"/>
        <w:szCs w:val="24"/>
      </w:rPr>
      <w:instrText>PAGE</w:instrText>
    </w:r>
    <w:r w:rsidR="00C94B17">
      <w:rPr>
        <w:sz w:val="24"/>
        <w:szCs w:val="24"/>
      </w:rPr>
      <w:fldChar w:fldCharType="separate"/>
    </w:r>
    <w:r w:rsidR="00C94B1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B693" w14:textId="77777777" w:rsidR="002E1583" w:rsidRDefault="002E158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5CE9" w14:textId="77777777" w:rsidR="002E1583" w:rsidRDefault="002E1583">
      <w:r>
        <w:separator/>
      </w:r>
    </w:p>
  </w:footnote>
  <w:footnote w:type="continuationSeparator" w:id="0">
    <w:p w14:paraId="747EFB1D" w14:textId="77777777" w:rsidR="002E1583" w:rsidRDefault="002E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857D" w14:textId="77777777" w:rsidR="00E4335F" w:rsidRDefault="002E1583">
    <w:pPr>
      <w:pStyle w:val="Header"/>
      <w:contextualSpacing w:val="0"/>
    </w:pPr>
    <w:r>
      <w:t>Viedokļu pārskats 25-TA-1199</w:t>
    </w:r>
    <w:r>
      <w:br/>
    </w:r>
    <w:r>
      <w:t>Izdrukāts 07.08.2025. 10.56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D8AD" w14:textId="77777777" w:rsidR="00E4335F" w:rsidRDefault="002E1583">
    <w:pPr>
      <w:pStyle w:val="Header"/>
      <w:contextualSpacing w:val="0"/>
    </w:pPr>
    <w:r>
      <w:t>Viedokļu pārskats 25-TA-1199</w:t>
    </w:r>
    <w:r>
      <w:br/>
    </w:r>
    <w:r>
      <w:t>Izdrukāts 07.08.2025. 10.56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5F"/>
    <w:rsid w:val="002E1583"/>
    <w:rsid w:val="00C94B17"/>
    <w:rsid w:val="00DB3FA8"/>
    <w:rsid w:val="00E433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40756"/>
  <w15:docId w15:val="{4CA99893-39CC-42AA-AE86-C6ED0D328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3585</Words>
  <Characters>2044</Characters>
  <Application>Microsoft Office Word</Application>
  <DocSecurity>0</DocSecurity>
  <Lines>17</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viedoklu_parskats_25-TA-1199.docx</dc:title>
  <dc:creator>Emīlija Roskoša</dc:creator>
  <cp:lastModifiedBy>Emīlija Roskoša</cp:lastModifiedBy>
  <cp:revision>2</cp:revision>
  <dcterms:created xsi:type="dcterms:W3CDTF">2025-08-07T08:05:00Z</dcterms:created>
  <dcterms:modified xsi:type="dcterms:W3CDTF">2025-08-07T08:05:00Z</dcterms:modified>
</cp:coreProperties>
</file>