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22-TA-2312: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Ceļu satiksmes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Ceļu satiksmes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"Grozījumi Ceļu satiksmes likumā" (turpmāk - projekts) spēkā stāšanās noteikumu, ņemot vērā to, ka no projekta sākotnējās ietekmes novērtējuma ziņojuma (anotācijas) 1.2. apakšsadaļas izriet, ka projekts stāsies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 likumprojekta “Grozījumi Ceļu satiksmes likumā” (turpmāk – projekts) tekstā par likumprojekta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Ceļu satiksmes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 panta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daļas 1. punktu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“Iesniegumā Eiropas Savienības dalībvalstī iegādāta transportlīdzekļa reģistrācijai, iesniedzējs papildus norāda un apliecina transportlīdzekļa iegādes valsti, datumu, samaksas veidu un ziņas par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pantā ietvertais Ceļu satiksmes likuma 11. panta pirmās daļas 1. punkta jaunais teikums noteiks, ka iesniegumā Eiropas Savienības dalībvalstī iegādāta transportlīdzekļa reģistrācijai, </w:t>
            </w:r>
            <w:r w:rsidR="00000000" w:rsidRPr="00000000" w:rsidDel="00000000">
              <w:rPr>
                <w:u w:val="single"/>
                <w:rtl w:val="0"/>
              </w:rPr>
              <w:t xml:space="preserve">iesniedzējs papildus norāda transportlīdzekļa iegādes valsti, datumu, samaksas veidu un ziņas par pārdevēju</w:t>
            </w:r>
            <w:r w:rsidR="00000000" w:rsidRPr="00000000" w:rsidDel="00000000">
              <w:rPr>
                <w:rtl w:val="0"/>
              </w:rPr>
              <w:t xml:space="preserve">. Vēršam uzmanību uz to, ka Ceļu satiksmes likuma 11. panta pirmās daļas 1. punkts paredz, ka transportlīdzekļu reģistrēšanai attiecīgi Ceļu satiksmes drošības direkcijā vai Valsts tehniskās uzraudzības aģentūrā iesniedzams </w:t>
            </w:r>
            <w:r w:rsidR="00000000" w:rsidRPr="00000000" w:rsidDel="00000000">
              <w:rPr>
                <w:u w:val="single"/>
                <w:rtl w:val="0"/>
              </w:rPr>
              <w:t xml:space="preserve">reģistrācijas iesniegums, nenosakot, kāda informācija ir jānorāda šādā iesniegumā</w:t>
            </w:r>
            <w:r w:rsidR="00000000" w:rsidRPr="00000000" w:rsidDel="00000000">
              <w:rPr>
                <w:rtl w:val="0"/>
              </w:rPr>
              <w:t xml:space="preserve">. Tādējādi nav skaidrs, papildus kādai informācijai ir iesniedzama projekta 2. pantā paredzētā informācija un vai šāda informācija nav jau jāsniedz arī gadījumā, ja transportlīdzeklis iegādāts Latvijā. Transportlīdzekļu reģistrācijas kārtību nosaka Ministru kabineta 2010. gada 30. novembra noteikumi Nr. 1080 "Transportlīdzekļu reģistrācijas noteikumi", un arī tajos nav noteikts reģistrācijas iesnieguma saturs. Tādējādi nav saprotams, kurš normatīvais akts nosaka reģistrācijas iesnieguma saturu. Ņemot vērā minēto, lūdzam izvērtēt projekta 2. pantā paredzēto regulējumu un to atbilstoši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 panta pirmās daļas 1. punkta jaunais teikums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11. panta pirmās daļas 1. punkta jaunu teikumu ir paredzēts noteikt iesniedzējam, kurš reģistrē Eiropas Savienības dalībvalstī iegādātu transportlīdzekli, norādīt iesniegumā ziņas par transportlīdzekļa iegādes valsti, datumu, samaksas veidu, darījuma summu, pārdevēju, pievienojot īpašumtiesību maiņu apliecinošu dokumentu un apliecinājumu par veikto samaksu, tajā sniegto ziņu patiesumu apliecinot ar savu parakstu. Tādējādi projektā tiek ietverts pienākums apliecināt sniegto ziņu patiesumu un iesniegumā iekļaut ne tikai ar transportlīdzekļa reģistrāciju saistītas ziņas, kas ir nepieciešanas transportlīdzekļu valsts uzskaitei, bet arī ziņas par transportlīdzekļa iegādes valsti, datumu, samaksas veidu un pārdevēju, kas ir nepieciešams Valsts ieņēmumu dienesta (turpmāk – VID) normatīvajos aktos noteikto uzdevumu izpildei, tas ir, lai nodrošinātu VID iespējas risku izvērtējumu veikšanai, sekmētu nodokļu nenomaksas risku mazināšanas pasākumu īstenošanu lietotu transportlīdzekļu tirdzniecības jomā, kuros tiek iesaistītas fiziskās personas, un novērstu izvairīšanos no nodokļu nomaksas. Līdz ar ko ir secināms, ka paredzētie jaunie nosacījumi ir plašāki, nekā tie, kas šobrīd ir noteikti Ministru kabineta 2010. gada 30. novembra noteikumi Nr. 1080 "Transportlīdzekļu reģistrācijas noteikumi", tāpēc minētais tiek atrunāts projekta 11. panta pirmās daļas 1. punkta jaunajā teikumā.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šie noteikumi ir iekļauti ar mērķi, lai ziņu iegūšanas nolūkā pret personu nepiemērotu vairāk ierobežojošus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iepriekš minētā sakarā ir jāatsaucas uz Latvijas Republikas Augstākās tiesas Administratīvo lietu departamenta 2016. gada 28. novembra spriedumu lietā Nr. A420327714, SKA-1289/2016, kurā ir minēts, ka nav noslēpums, ka likuma pārkāpšana pieder pie sabiedrības tikumu tumšākās puses. Lietas apstākļu noskaidrošanai ir vajadzīgs iegūt dažāda plašuma un rakstura informāciju, tostarp tādu, kas atrodas vienīgi pie pašas personas vai pie citām personām. Informācijas iegūšanas tiesības ir neatņemama daļa no valsts pārvaldes iestādes funkciju izpildei nepieciešamām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 panta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daļas 1. punktu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reģistrē Eiropas Savienības dalībvalstī iegādātu transportlīdzekli, iesniedzējs iesniegumā norāda ziņas par transportlīdzekļa iegādes valsti, datumu, samaksas veidu, darījuma summu, pārdevēju, pievienojot īpašumtiesību maiņu apliecinošu dokumentu un apliecinājumu par veikto samaksu, tajā sniegto ziņu patiesumu apliecinot ar savu parakstu.”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jaunus ierobežojumus citā Eiropas Savienības (ES) valstī iegādātu transportlīdzekļu apritei: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dienu ilgu atsavināšanas aizliegumu fiziskās personas īpašumā reģistrētajam transportlīdzeklim, kas iegādāts citā ES dalībvalstī un tiek pirmoreiz vai atkārtoti reģistrēts Latvijā (līdzīgs ierobežojums šobrīd noteikts juridiskām personām), kā arī jaunu pienākumu iesniegumā ES dalībvalstī iegādāta transportlīdzekļa reģistrācijai papildus </w:t>
            </w:r>
            <w:r w:rsidR="00000000" w:rsidRPr="00000000" w:rsidDel="00000000">
              <w:rPr>
                <w:u w:val="single"/>
                <w:rtl w:val="0"/>
              </w:rPr>
              <w:t xml:space="preserve">norādīt un apliecināt</w:t>
            </w:r>
            <w:r w:rsidR="00000000" w:rsidRPr="00000000" w:rsidDel="00000000">
              <w:rPr>
                <w:rtl w:val="0"/>
              </w:rPr>
              <w:t xml:space="preserve"> transportlīdzekļa iegādes valsti, datumu, samaksas veidu un ziņas par pārdevēju (šāds ierobežojums nepastāv attiecībā uz Latvijā iegādātiem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preču brīvu apriti Līguma par Eiropas Savienības darbību (LESD) 34.pants noteic, ka dalībvalstu starpā ir aizliegti importa kvantitatīvie ierobežojumi </w:t>
            </w:r>
            <w:r w:rsidR="00000000" w:rsidRPr="00000000" w:rsidDel="00000000">
              <w:rPr>
                <w:u w:val="single"/>
                <w:rtl w:val="0"/>
              </w:rPr>
              <w:t xml:space="preserve">un citi pasākumi ar līdzvērtīgu iedarbību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Tiesas (EST) pastāvīgo judikatūru, LESD 34.pantā (bijušais EKL 28.pants) paredzētais aizliegums noteikt pasākumus ar kvantitatīviem ierobežojumiem līdzvērtīgu iedarbību attiecas uz </w:t>
            </w:r>
            <w:r w:rsidR="00000000" w:rsidRPr="00000000" w:rsidDel="00000000">
              <w:rPr>
                <w:u w:val="single"/>
                <w:rtl w:val="0"/>
              </w:rPr>
              <w:t xml:space="preserve">jebkuru dalībvalstu tiesisko regulējumu, kas tieši vai netieši, faktiski vai iespējami varētu ietekmēt tirdzniecību Kopienā</w:t>
            </w:r>
            <w:r w:rsidR="00000000" w:rsidRPr="00000000" w:rsidDel="00000000">
              <w:rPr>
                <w:rtl w:val="0"/>
              </w:rPr>
              <w:t xml:space="preserve"> (sk., piemēram, EST 2007.gada 15.marta sprieduma lietā C‑54/05 30. un 31.punktu un tajos minēto judikatūru).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projektā iekļautās tiesību normas padara citā ES dalībvalstī iegādāta transportlīdzekļa reģistrēšanu Latvijā sarežģītāku, nekā Latvijā iegādāta transportlīdzekļa reģistrēšanu, projektā paredzētais tiesiskais regulējums, it īpaši projekta 2.pantā paredzētais regulējums, būtu uzskatāms par pasākumiem ar kvantitatīviem ierobežojumiem līdzvērtīgu iedarbību LESD 34.panta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LESD 36.pantu, LESD 34. pants neliedz noteikt importa, eksporta vai tranzīta aizliegumus vai ierobežojumus, kas pamatojas uz sabiedrības morāles, sabiedriskās kārtības vai valsts drošības apsvērumiem, uz cilvēku veselības un dzīvības aizsardzības, kā arī dzīvnieku un augu aizsardzības, nacionālu mākslas, vēstures vai arheoloģijas bagātību aizsardzības, vai rūpnieciskā un komerciālā īpašuma aizsardzības apsvērumiem. Šādus aizliegumus vai ierobežojumus tomēr nedrīkst piemērot dalībvalstu tirdzniecībā kā patvaļīgas diskriminācijas vai slēptas ierobežošanas līdzekļus.Tāpat EST ir formulējusi primārās vispārējo interešu prasības, kas var būt par pamatu importa kvantitatīviem ierobežojumiem vai citiem pasākumiem ar līdzvērtīgu iedarbību, t.sk. sabiedrības veselības aizsardzība, patērētāju tiesību aizsardzība, nodokļu kontroles efektivitāte, u.c. (sk. EST 1979.gada 20.februāra spriedumu lietā 120/78 “Cassis de Dijon” 8.p.), ja šādi pasākumi ir nediskriminējoši un proporcionāli.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neatbilstības LESD gadījumā pret Latviju var tikt uzsākta pārkāpuma procedūra, lūdzam papildināt projekta sākotnējās ietekmes novērtējuma ziņojumu (anotāciju) ar izvērtējumu, vai projektā ietvertais tiesiskais regulējums ir pamatots ar LESD 36.pantā minētajiem apsvērumiem, un vai šāds ierobežojums ir pamatots. Turklāt vēršam uzmanību, ka  ir nepieciešams pārbaudīt, vai šāds šķērslis ir samērīgs ar sasniedzamo leģitīmo mērķi, t.i., ir jāveic proporcionalitātes tests, noskaidrojot, vai ierobežojums ir vajadzīgs un piemērots atļautā mērķa sasniegšanai, tai skaitā, vai attiecīgo mērķi nav iespējams sasniegt ar mazāk ierobežojošiem līdzekļiem (sk., piemēram, EST 2007. gada 7. jūnija sprieduma lietā C‑254/05 33., 35.punktu un tajos minēto judikatūru).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aicinām par projektā paredzēto regulējumu konsultēties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anotācijas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analoģisks regulējums kopš 2017. gada 1. janvāra ir spēkā attiecībā uz juridiskām personām, kas saskaņā ar Valsts ieņēmumu dienesta (turpmāk – VID) datiem ir sekmējis likuma grozījumu mērķa sasniegšanu – Pievienotās vērtības nodokļa izkrāpšanas samazināšanos.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lietotu transportlīdzekļu tirdzniecības darījumos VID ir konstatējis tendenci, ka fiziskās personas tiek iesaistītas transportlīdzekļu pirmreizējā reģistrācijā Latvijā, kuru starpniecību izmanto juridiskās personas ar mērķi slēpt gūtos ienākumus no uzņēmuma saimnieciskās darbības. Pamatojoties uz VID sniegto informāciju, kas iegūta veikto pārbaužu procesā, un turklāt arī tos apsvērumus, ka analoģisks regulējums attiecībā uz juridiskām personām ir sasniedzis noteiktos mērķus, ir pamats secināt, ka līdzīgs regulējums ir ieviešams attiecībā uz fiziskām personām. Tādēļ projektā ietverto normu ieviešana ir pamatojama ar nepieciešamību sekmēt nodokļu nenomaksas risku mazināšanas pasākumu īstenošanu lietotu transportlīdzekļu tirdzniecības jomā, kuros tiek iesaistītas fiziskās personas, lai turpmāk novērstu izvairīšanos no nodokļu nomaksas un neradītu valsts budžetam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noteiktais sniegt ziņas par transportlīdzekļa iegādes valsti, datumu, samaksas veidu, darījuma summu, pārdevēju, pievienojot īpašumtiesību maiņu apliecinošu dokumentu un apliecinājumu par veikto samaksu, tajā sniegto ziņu patiesumu apliecinot ar savu parakstu, kā arī tas, ka ar transportlīdzekļa reģistrāciju reģistrē atsavināšanas aizliegumu - fiziskās personas īpašumā reģistrētajam transportlīdzeklim uz 30 dienām, ir attiecināms tikai uz konkrēta veida transportlīdzekļiem, proti, uz tiem kas ir iegādāti citā Eiropas Savienības dalībvalstī un, kura izlaiduma gads ir kārtējais gads vai pieci iepriekšējie gadi un kura kategorija ir M1 (tai skaitā M1G) vai N1 (tai skaitā N1G), un kurš iegādāts citā Eiropas Savienības dalībvalstī un tiek pirmoreiz reģistrēts Latvijā vai kurš pēc pirmās reģistrācijas Latvijā atkārtoti iegādāts citā Eiropas Savienības dalībvalstī un tiek atkārtoti reģistrēts Latvijā, Ceļu satiksmes drošības direkcija informāciju par reģistrēto transportlīdzekli elektroniski nodod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pienākums sniegt attiecīgas ziņas nebūtu uzskatāms un vērtējams par brīvas preču aprites pārkāpumu vai tās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jāuzsver, ka ar šo projektu netiek ierobežots nedz faktiski, nedz praktiski transportlīdzekļu imports no citām Eiropas Savienības valstīm, jo personai netiek liegts iegādāties, reģistrēt un lietot transportlīdzekli. Līdz ar to FM ieskatā fizisko personu tiesības likumprojektā noteiktie pienākumi nesamērīgi neierobežo. Vienlaikus, pieņemot, ka fiziskā persona pati personīgi citā Eiropas Savienības valstī iegādājas transportlīdzekli, tad tai nav nolūks to iegādāties tūlītējas atsavināšanas nolūkā, jo tādējādi šādas darbības varētu tikt uzskatītas par fiziskās personas saimniecisko darbību. Papildus ir jānorāda, ka atsavināšanas aizliegums neierobežo personas tiesības lietot transportlīdzekli, bet gan ir attiecināms tikai uz tā pārreģistrēšanu citas personas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projektā anotācijā norādīto, nedz tieši, nedz netieši Likumprojekta 10. panta desmitās daļas grozījumi faktiski nekavē Kopienas iekšējo tirgu. Tostarp projekts netraucē piekļuvi lietotu transportlīdzekļu tirgum, šajā gadījumā automašīnām, kas ir iegādātas citā Eiropas Savienības valstī. Ievērojot minēto, nav pamata uzskatīt, ka projekta normas ir nesamērīgas, nav leģitīmas atbilstoši mērķim, it īpaši, ka līdzīgs ierobežojums ir spēkā attiecībā uz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saistībā ar savstarpējās atzīšanas principu, kas izriet no Eiropas Savienības Tiesas judikatūras, un kas ir viens no līdzekļiem, ar kuriem iekšējā tirgū nodrošina preču brīvu apriti, ir jāuzsver, ka šis princips nav absolūts – ierobežojums var būt pamatots ar sabiedrības interešu mērķi, kas attiecīgi ir noteikts Eiropas Parlamenta un Padomes Regulas (ES) 2019/515 (2019. gada 19. marts) par citā dalībvalstī likumīgi tirgotu preču savstarpēju atzīšanu un Regulas (EK) Nr. 764/2008 atcelšanu (Dokuments attiecas uz EEZ.) preambulas 4. apsvērumā. Šajā gadījumā sabiedrības interešu mērķis ir vērst uz to, lai ierobežotu izvairīšanos no nodokļu nomaksas, kas būtiski ietekmē visas sabiedrības intereses (labklājības intereses u.c.). Viens no šī likumprojekta mērķiem ir vērsts uz to, lai sekmētu nodokļu nomaksas risku konstatēšanas un novēršanas pilnveidošanu sabiedrības interešu efektīvākai nodrošināšanai, tajā skaitā izvairīšanās no nodokļu nomaksas novēršanai un nodokļu iekasējamības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 panta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daļas 1. punktu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“Iesniegumā Eiropas Savienības dalībvalstī iegādāta transportlīdzekļa reģistrācijai, iesniedzējs papildus norāda un apliecina transportlīdzekļa iegādes valsti, datumu, samaksas veidu un ziņas par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pantā ietverto Ceļu satiksmes likuma 11. panta pirmās daļas 1. punkta jauno teikumu, ņemot vērā to, ka apliecina ziņu patiesumu/pareizumu, nevis apliecina ziņas.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redakcionāli precizēts projekta 11. panta pirmās daļas 1. punkta jaunais teikums un projekta anotācija, kas paredz, ja tiek reģistrēts Eiropas Savienības dalībvalstī iegādāts transportlīdzeklis, iesniedzējs iesniegumā norāda ziņas par transportlīdzekļa iegādes valsti, datumu, samaksas veidu, darījuma summu, pārdevēju, pievienojot īpašumtiesību maiņu apliecinošu dokumentu un apliecinājumu par veikto samaksu, tajā sniegto ziņu patiesumu apliecinot ar savu parakstu.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 panta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daļas 1. punktu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reģistrē Eiropas Savienības dalībvalstī iegādātu transportlīdzekli, iesniedzējs iesniegumā norāda ziņas par transportlīdzekļa iegādes valsti, datumu, samaksas veidu, darījuma summu, pārdevēju, pievienojot īpašumtiesību maiņu apliecinošu dokumentu un apliecinājumu par veikto samaksu, tajā sniegto ziņu patiesumu apliecinot ar savu parakstu.”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22-TA-2312</w:t>
    </w:r>
    <w:r>
      <w:br/>
    </w:r>
    <w:r w:rsidR="00000000" w:rsidRPr="00000000" w:rsidDel="00000000">
      <w:rPr>
        <w:rtl w:val="0"/>
      </w:rPr>
      <w:t xml:space="preserve">25.01.2023. 16.46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22-TA-2312</w:t>
    </w:r>
    <w:r>
      <w:br/>
    </w:r>
    <w:r w:rsidR="00000000" w:rsidRPr="00000000" w:rsidDel="00000000">
      <w:rPr>
        <w:rtl w:val="0"/>
      </w:rPr>
      <w:t xml:space="preserve">25.01.2023. 16.46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Izziņa_22-TA-2312.docx</dc:title>
</cp:coreProperties>
</file>

<file path=docProps/custom.xml><?xml version="1.0" encoding="utf-8"?>
<Properties xmlns="http://schemas.openxmlformats.org/officeDocument/2006/custom-properties" xmlns:vt="http://schemas.openxmlformats.org/officeDocument/2006/docPropsVTypes"/>
</file>