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22-TA-3736: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Papildināt ar V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40.2.apakšpunktu, skaidri nosakot, ka finansējuma saņēmējam, īstenojot  projektu, ir pienākums atmaksāt projekta ietvaros veiktos izdevumus arī gadījumā, ja Eiropas Komisija tā ir lēmusi.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40.2.apakšpunkts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atmaksāt projekta ietvaros veiktos izdevumus, saskaņā ar normatīvajiem aktiem par kārtību, kādā ziņo par konstatētajām neatbilstībām un atgūst neatbilstoši veiktos izdevumus Eiropas Savienības struktūrfondu un Kohēzijas fonda ieviešanā 2014.–2020. gada plānošanas periodā, ja šo noteikumu  39. punktā  minētajā termiņā netiek sasniegts projekta mērķis, kā arī gadījumā, ja tā ir lēmusi Eiropas Komisija."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skaidroto "</w:t>
            </w:r>
            <w:r w:rsidR="00000000" w:rsidRPr="00000000" w:rsidDel="00000000">
              <w:rPr>
                <w:i w:val="1"/>
                <w:rtl w:val="0"/>
              </w:rPr>
              <w:t xml:space="preserve">RBP īsteno tikai Kundziņsalas publiskās un slēgtās (valsts atbalsta) teritorijas daļu un savienojumu ar satiksmes pārvadu līdz estakādēm uz un no satiksmes pārvada, un tiek nodrošināta RBP būvdarbu sadārdzinājuma izmaksu segšana no projektam piešķirtā KF finansējuma atbilstoši Ekonomikas ministrijas izstrādātajām vadlīnijām, ja CFLA ir izvērtējusi sadārdzinājuma pamatotību, sniegusi pozitīvu  vērtējumu un  atzinusi to kā attiecināmu KF līdzfinansējumam, un projektu ir iespējams īstenot līdz 2023.gada 31.decembrim</w:t>
            </w:r>
            <w:r w:rsidR="00000000" w:rsidRPr="00000000" w:rsidDel="00000000">
              <w:rPr>
                <w:rtl w:val="0"/>
              </w:rPr>
              <w:t xml:space="preserve">.", vēršam uzmanību, ka, lai nodrošinātu stimulējošās ietekmes nosacījuma ievērošanu, uzsāktiem projektiem, kuriem atbalsts tiek sniegts saskaņā ar Regulas Nr. 651/2014 56."b" pantu, papildus finansējumu piešķirt nav iespējams. Attiecīgi lūdzam pārskatīt anotācijā sniegtos skaidrojumus, lai novērstu nekorektas interpretācijas iespējas, ka jau uzsāktam komercdarbības atbalsta projektam tiek papildus piešķirti publiskie līdzekļi, lai segtu būvdarbu sadārdzinājuma izmaksas.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skaidrojums papildināts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īsteno tikai Kundziņsalas publiskās un slēgtās (valsts atbalsta) teritorijas daļu un savienojumu ar satiksmes pārvadu līdz estakādēm uz un no satiksmes pārvada, un tiek nodrošināta RBP būvdarbu sadārdzinājuma izmaksu segšana no projektam piešķirtā KF finansējuma atbilstoši Ekonomikas ministrijas izstrādātajām vadlīnijām, ja CFLA ir izvērtējusi sadārdzinājuma pamatotību, sniegusi pozitīvu  vērtējumu un  atzinusi to kā attiecināmu KF līdzfinansējumam, un projektu ir iespējams īstenot līdz 2023.gada 31.decembrim. </w:t>
            </w:r>
            <w:r w:rsidR="00000000" w:rsidRPr="00000000" w:rsidDel="00000000">
              <w:rPr>
                <w:i w:val="1"/>
                <w:rtl w:val="0"/>
              </w:rPr>
              <w:t xml:space="preserve">Būvdarbu sadārdzinājuma izmaksu segšana nav attiecināma uz tām projekta darbībām,kurām atbalsts tiek sniegts saskaņā ar Regulas Nr. 651/2014 56."b" pantu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noteikumi paredz iespēju aktivitātes ietvaros īstenot projektus, kuru ietvaros komercdarbības atbalsta sniegšana paredzēta netiek, gan arī tādus projektus, kuriem sniegtais publiskais finansējums kvalificējas kā komercdarbības atbalsts un tiek sniegts saskaņā ar Eiropas Komisijas lēmumu par atbalsta saderību ar Eiropas Savienības iekšējo tirgu vai Komisijas 2014. gada 17. jūnija Regulas (ES) Nr. 651/2014, ar ko noteiktas atbalsta kategorijas atzīst par saderīgām ar iekšējo tirgu, piemērojot Līguma 107. un 108. pantu (turpmāk – Regula Nr. 651/2014), 56."b" pantu, nepārprotamas izpratnes nodrošināšanai, lūdzam papildināt anotāciju, ietverot tajā skaidrojumu, pie kuras no minētajām kategorijām pieder projekts, kurā kā sadarbības partneri plānots piesaistīt Rīgas valstspilsētas pašvaldību. Vienlaikus vēršam uzmanību, ka, lai nodrošinātu stimulējošās ietekmes nosacījuma ievērošanu, uzsāktiem projektiem, kuriem atbalsts tiek sniegts saskaņā ar Regulas Nr. 651/2014 56."b" pantu, papildus finansējumu piešķirt nav iespējams.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14.</w:t>
            </w:r>
            <w:r w:rsidR="00000000" w:rsidRPr="00000000" w:rsidDel="00000000">
              <w:rPr>
                <w:vertAlign w:val="superscript"/>
                <w:rtl w:val="0"/>
              </w:rPr>
              <w:t xml:space="preserve">1.</w:t>
            </w:r>
            <w:r w:rsidR="00000000" w:rsidRPr="00000000" w:rsidDel="00000000">
              <w:rPr>
                <w:rtl w:val="0"/>
              </w:rPr>
              <w:t xml:space="preserve"> punkts  šāda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Rīgas Brīvostas pārvalde kā finansējuma saņēmējs var piesaistīt Rīgas valstspilsētas pašvaldību kā sadarbības partneri,  nodrošinot, ka sadarbības partneris īsteno tikai tās darbības, kas neparedz komercdarbības atbalsta 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sadarbības partneris Rīgas valstpilsētas pašvaldība būvēs satiksmes pārvadu daļu, kas nekvalificējas kā komercdarbības atbalsts, līdz ar to uz sadarbības partneri nav nepieciešams attiecināt komercdarbības atbalsta nosacījumus. Valsts atbalsta pasākumi ir ostas slēgtajā daļā, kuru izbūvi pabeigs RBP, savukārt Rīgas valstpilsētas pašvaldība izbūvēs  satiksmes pārvada daļu, kurā nav komercdarbības atbalsta.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Pašreizēja situācija,  iekļaujot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projekts ietver darbības,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nekvalificējas kā komercdarbības atbalsts – satiksmes pārvada, t.sk. estakāžu un nobrauktuvju, un ielu būvniecība, kas būs neatņemama pilsētas koplietošanas transporta infrastruktūras sastāvdaļa (attiecināmās izmaksas 31 266 480,22 euro, t.sk., Kohēzijas fonda finansējums 23 170 928,52 euro un RBP finansējums 8 095 551,70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kvalificējas kā saderīgs komercdarbības atbalsts saskaņā ar Eiropas Komisijas lēmumu par atbalsta saderību ar Eiropas Savienības iekšējo tirgu vai Komisijas 2014. gada 17. jūnija Regulas (ES) Nr. 651/2014, ar ko noteiktas atbalsta kategorijas atzīst par saderīgām ar iekšējo tirgu, piemērojot Līguma 107. un 108. pantu (turpmāk – Regula Nr.  651/2014), 56."b" pantu “Atbalsts jūras ostām” – satiksmes organizācijai nepieciešamo ielu, laukumu u.c. izbūve, kas atradīsies RBP (ar caurlaižu režīmu regulētajā) teritorijas daļā (attiecināmās izmaksas 2 068 984,15 euro, t.sk., Kohēzijas fonda finansējums 1 533 280,48 euro un RBP finansējums 535 703,67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iekļaujot pēdējo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ietvaros netiek plānots piešķirt komercdarbības atbalstu saskaņā ar Eiropas Komisijas lēmumu par atbalsta saderību ar Eiropas Savienības iekšējo tirgu vai Komisijas 2014. gada 17. jūnija Regulas (ES) Nr. 651/2014, ar ko noteiktas atbalsta kategorijas atzīst par saderīgām ar iekšējo tirgu, piemērojot Līguma 107. un 108.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anotāciju atbilstoši Ministru kabineta 2009. gada 7. aprīļa noteikumu Nr. 300 „Ministru kabineta kārtības rullis” 3. punktam, kas noteic, ka Ministru kabineta noteikumu projektam pievieno anotāciju, kurā aizpildīta vismaz sadaļa par tiesību akta projekta nepieciešamību, tas ir, anotācijas I. sadaļa, bet pārējās anotācijas sadaļas aizpilda, ja tiesību akta projekts skar attiecīgajā anotācijas sadaļā minētos jautājumus. 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noteikumu grozījumi paredz iespēju aktivitātes ietvaros projekta īstenošanai piesaistīt arī sadarbības partneri un aktivitātes ietvaros var tikt īstenoti arī tādi projekti, kuriem sniegtais publiskais finansējums kvalificējas kā komercdarbības atbalsts un tiek sniegts saskaņā ar  Regulu Nr. 651/2014, lūdzam precizēt MK noteikumu projektu tā, lai MK noteikumos ietvertie komercdarbības atbalsta nosacījumi, tiktu attiecināti arī uz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 izziņas 1.punktu.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tam ar tiesas spriedumu ir pasludināts maksātnespējas process vai tiek īstenots tiesiskās aizsardzības process, ar tiesas lēmumu tiek īstenots ārpustiesas tiesiskās aizsardzības process, tā komercdarbība ir izbeigta vai tas atbilst Eiropas Savienības tiesību aktos noteiktajiem kritērijiem, lai tam pēc kreditoru pieprasījuma pieprasītu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veiktās izmaiņas 14.1. apakšpunktā, šī brīža redakcijā vairs neatbilst </w:t>
            </w:r>
            <w:r w:rsidR="00000000" w:rsidRPr="00000000" w:rsidDel="00000000">
              <w:rPr>
                <w:i w:val="1"/>
                <w:rtl w:val="0"/>
              </w:rPr>
              <w:t xml:space="preserve">Komisijas 2014. gada 17. jūnija Regulas (ES) Nr. 651/2014, ar ko noteiktas atbalsta kategorijas atzīst par saderīgām ar iekšējo tirgu, piemērojot Līguma 107. un 108. pant</w:t>
            </w:r>
            <w:r w:rsidR="00000000" w:rsidRPr="00000000" w:rsidDel="00000000">
              <w:rPr>
                <w:rtl w:val="0"/>
              </w:rPr>
              <w:t xml:space="preserve">u (turpmāk - Komisijas regula Nr.  651/2014), 2.panta 18. c) apakšpunkta nosacījumiem, attiecīgi lūdzam precizēt 14.punkta redakciju, norādot, ka projekta iesniedzējs un sadarbības partneris nevar pretendēt uz finansējumu, ja tas atbilst grūtībās nonākuša komersanta statusam un uz to attiecas vismaz viens no Komisijas regulas Nr.  651/2014 2.panta 18.punktā minētajiem kritērijiem. Attiecīgi 14.punkta apakšpunkti ir dzēšami.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MK noteikumu projektu, iekļaujot prasību, ka atbalsta pretendentam ir jāiesniedz apliecinājums par atbilstību Komisijas regulas Nr.  651/2014 2.panta 18. c) punktā minētajam nosacījumam “vai tas atbilst normatīvajos aktos noteiktajiem kritērijiem, lai tam pēc kreditoru pieprasījuma pieprasītu maksātnespējas procedūru”, ņemot vēra, ka nacionāli šī prasība tiek pārbaudīta, balstoties uz atbalsta pretendenta iesniegtu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"14.Projekta iesniedzējs un sadarbības partneris nevar pretendēt uz finansējumu, ja tas atbilst grūtībās nonākuša komersanta statusam un uz to attiecas vismaz viens no Regulas Nr. 651/2014 2.panta 18. punktā minētajiem kritērijiem. Projekta iesniedzējs un sadarbības partneris iesniedz apliecinājumu, ka tas neatbilst normatīvajos aktos noteiktajiem kritērijiem, lai tam pēc kreditoru pieprasījuma pieprasītu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tam ar tiesas spriedumu ir pasludināts maksātnespējas process vai tiek īstenots tiesiskās aizsardzības process, ar tiesas lēmumu tiek īstenots ārpustiesas tiesiskās aizsardzības process, ir uzsākta bankrota procedūra, piemērota sanācija vai mierizlīgums, tā komercdarbība ir izbeigta vai tas atbilst normatīvajos aktos noteiktajiem kritērijiem, lai tam pēc kreditoru pieprasījuma pieprasītu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precizēt noteikumu projekta 14.1.  apakšpunktā lietoto terminoloģiju atbilstoši Maksātnespējas likumā lietotajai: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dzēšot, precizējot vai arī skaidrojot atsauci uz sanāciju un mierizlīgumu, jo šādi maksātnespējas risinājumi nav paredzēti spēkā esošajā Maksātnespējas likumā. Šādi maksātnespējas risinājumi bija paredzēti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dzēšot vai precizējot formulējumu "uzsākta bankrota procedūra". Proti, spēkā esošais Maksātnespējas likums juridiskās personas maksātnespējas procesā neparedz bankrota procedūru. Bankrota procedūra kā viens no maksātnespējas risinājumiem bija paredzēts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normā ietverto formulējumu "vai tas atbilst normatīvajos aktos noteiktajiem kritērijiem, uz kuriem pamatojoties kreditors var pieprasīt maksātnespējas procedūru" norādāms sekojošais. Jēdziens "maksātnespējas procedūra" netiek lietots maksātnespējas jomu regulējošos nacionālajos normatīvajos aktos. Proti, tas tiek lietots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tiesību aktos. Turklāt tā tvērums tajos ir plašāks – aptverot arī tiesiskās aizsardzības procesu. Papildu norādām, ka Maksātnespējas likuma 57. panta pirmajā daļā ietvertas juridiskās personas maksātnespējas procesa pasludināšanas pazīmes. Vēršam uzmanību apstāklim, ka atsevišķu pazīmju konstatēšana var būt problemātiska, jo par tām var pastāvēt strīds par tiesībām. Piemēram, Maksātnespējas likuma 57. panta pirmās daļas 2., 3., 4.,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pēdējos divus gadus saimnieciskās darbības veicēja (kas nav mazais un vidējais uzņēmums) parādsaistību un pašu kapitāla bilances vērtību attiecība ir pārsniegusi 7,5 un procentu seguma attiecība, kas rēķināta pēc peļņas pirms procentiem, nodokļiem un amortizācijas, ir bijusi mazāka nekā 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projektu, termina “uzņēmums” vietā izmantojot terminu “komersants”, jo šāds termins jau tiek izmantots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atbalstu projektam sniedz saskaņā ar Regulu Nr. 651/2014, sadarbības iestāde lēmumu pieņem līdz Regulas Nr. 651/2014 darbības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Komisijai paziņotajā kopsavilkuma informācijā par lietu SA.49677 "Darbības programmas "Izaugsme un nodarbinātība" 6.1.1. specifiskā atbalsta mērķis "Palielināt lielo ostu drošības līmeni un uzlabot transporta tīkla mobilitāti" komercdarbības atbalsta piešķiršanas termiņš saskaņā ar Regulu Nr. 651/2014 norādīts 17.05.2017 - 30.06.2021. Attiecīgi pēc 30.06.2021. komercdarbības atbalstu piešķirt nav iespējams. Attiecīgi lūdzam precizēt normu, aizstājot vārdus: "Regulas Nr. 651/2014 darbības termiņa beigām" ar vārdiem un skaitļiem: "2021.gada 30.jūnijam".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aktivitātes ietvaros būs projekti, kuriem paredzēta komercdarbības atbalsta piešķiršana saskaņā ar Regulu Nr. 651/2014, tad par šo aktivitāti Eiropas Komisijai ir iesniedzama jauna kopsavilkuma informācija atbilstoši Regulas Nr. 651/2014 11.panta 1.punktā noteiktajam. Ievērojot minēto, lūdzam anotācijā norādīt, vai aktivitātes ietvaros pēc 30.06.2021. ir piešķirts vai plānots piešķirt komercdarbības atbalstu saskaņā ar Regulu Nr. 651/2014.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punkts un papildiāta anotācijas 1.3.sadaļa šadā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ietvaros netiek plānots piešķirt komercdarbības atbalstu saskaņā ar Eiropas Komisijas lēmumu par atbalsta saderību ar Eiropas Savienības iekšējo tirgu vai Komisijas 2014. gada 17. jūnija Regulas (ES) Nr. 651/2014, ar ko noteiktas atbalsta kategorijas atzīst par saderīgām ar iekšējo tirgu, piemērojot Līguma 107. un 108. pantu."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atbalstu projektam sniedz saskaņā ar </w:t>
            </w:r>
            <w:r w:rsidR="00000000" w:rsidRPr="00000000" w:rsidDel="00000000">
              <w:rPr>
                <w:rtl w:val="0"/>
              </w:rPr>
              <w:t xml:space="preserve">Regulu Nr. 651/2014</w:t>
            </w:r>
            <w:r w:rsidR="00000000" w:rsidRPr="00000000" w:rsidDel="00000000">
              <w:rPr>
                <w:rtl w:val="0"/>
              </w:rPr>
              <w:t xml:space="preserve">, sadarbības iestāde lēmumu pieņem līdz 2021. gada 30. jūnijam.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tiek konstatēts, ka ir pārkāptas Regulas Nr. 651/2014 prasības, sadarbības iestāde finansējuma saņēmējam uzliek par pienākumu atmaksāt sadarbības iestādei saņemto nelikumīgo valsts atbalstu. Atbalstu atmaksā kopā ar procentiem, kuru likmi publicē Eiropas Komisija saskaņā ar Komisijas 2004. gada 21. aprīļa Regulas (EK) Nr. 794/2004,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Regula Nr. 794/2004), 10. pantu, tiem pieskaitot 100 bāzes punktus, no dienas, kad valsts atbalsts tika izmaksāts atbalsta saņēmējam, līdz tā atgūšanas dienai, ievērojot Komisijas regulas Nr. 794/2004 11. pantā noteikto procentu likmes piemērošanas metodi. Atmaksa veicama no finansējuma saņēmēja privātā finansējuma, par kuru nav saņemts nekāds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Komercdarbības atbalsta kontroles likumā ir veikti grozījumi, ietverot tajā nelikumīga komercdarbības atbalsta atgūšanas normas, lūdzam precizēt MK noteikumu 37.punktu, norādot, ka, ja tiek pārkāptas šajos noteikumos noteiktās komercdarbības atbalsta kontroles normas, tostarp nosacījumi, kas izriet no Regulas Nr.651/2014, atbalsta saņēmējam un sadarbības partnerim ir pienākums atmaksāt sadarbības iestādei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Lūdzu skat.izziņas 1.punktā ietverto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tiek konstatēts, ka ir pārkāptas šajos noteikumos noteiktās komercdarbības atbalsta kontroles normas, tostarp nosacījumi, kas izriet no </w:t>
            </w:r>
            <w:r w:rsidR="00000000" w:rsidRPr="00000000" w:rsidDel="00000000">
              <w:rPr>
                <w:rtl w:val="0"/>
              </w:rPr>
              <w:t xml:space="preserve">Regulas Nr. 651/2014</w:t>
            </w:r>
            <w:r w:rsidR="00000000" w:rsidRPr="00000000" w:rsidDel="00000000">
              <w:rPr>
                <w:rtl w:val="0"/>
              </w:rPr>
              <w:t xml:space="preserve">, sadarbības iestāde finansējuma saņēmējam uzliek par pienākumu atmaksāt sadarbības iestādei saņemto nelikumīgo komercdarbības 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ar V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40.</w:t>
            </w:r>
            <w:r w:rsidR="00000000" w:rsidRPr="00000000" w:rsidDel="00000000">
              <w:rPr>
                <w:vertAlign w:val="superscript"/>
                <w:rtl w:val="0"/>
              </w:rPr>
              <w:t xml:space="preserve">2</w:t>
            </w:r>
            <w:r w:rsidR="00000000" w:rsidRPr="00000000" w:rsidDel="00000000">
              <w:rPr>
                <w:rtl w:val="0"/>
              </w:rPr>
              <w:t xml:space="preserve"> apakšpunktā </w:t>
            </w:r>
            <w:r w:rsidR="00000000" w:rsidRPr="00000000" w:rsidDel="00000000">
              <w:rPr>
                <w:rtl w:val="0"/>
              </w:rPr>
              <w:t xml:space="preserve">aizstāt vārdus "kārtību, kādā ziņo par Eiropas Savienības struktūrfondu un Kohēzijas fonda ieviešanā konstatētajām neatbilstībām, pieņem lēmumu par piešķirtā finansējuma izlietojumu un atgūst neatbilstošos izdevumus" ar vārdiem "kārtība, kādā ziņo par konstatētajām neatbilstībām un atgūst neatbilstoši veiktos izdevumus Eiropas Savienības struktūrfondu un Kohēzijas fonda ieviešanā 2014.–2020. gada plānošanas periodā", ņemot vērā </w:t>
            </w:r>
            <w:r w:rsidR="00000000" w:rsidRPr="00000000" w:rsidDel="00000000">
              <w:rPr>
                <w:rtl w:val="0"/>
              </w:rPr>
              <w:t xml:space="preserve">Ministru kabineta 2015.gada 08.septembra noteikumu Nr.517 "Kārtība, kādā ziņo par konstatētajām neatbilstībām un atgūst neatbilstoši veiktos izdevumus Eiropas Savienības struktūrfondu un Kohēzijas fonda ieviešanā 2014.–2020. gada plānošanas periodā"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2</w:t>
            </w:r>
            <w:r w:rsidR="00000000" w:rsidRPr="00000000" w:rsidDel="00000000">
              <w:rPr>
                <w:rtl w:val="0"/>
              </w:rPr>
              <w:t xml:space="preserve">. atmaksāt projekta ietvaros veiktos izdevumus, saskaņā ar </w:t>
            </w:r>
            <w:r w:rsidR="00000000" w:rsidRPr="00000000" w:rsidDel="00000000">
              <w:rPr>
                <w:rtl w:val="0"/>
              </w:rPr>
              <w:t xml:space="preserve">kārtību, kādā ziņo par konstatētajām neatbilstībām un atgūst neatbilstoši veiktos izdevumus Eiropas Savienības struktūrfondu un Kohēzijas fonda ieviešanā 2014.–2020. gada plānošanas periodā, ja šo noteikumu  39. punktā  minētajā termiņā netiek sasniegts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24. maija noteikumos Nr. 319 "Darbības programmas "Izaugsme un nodarbinātība" 6.1.1. specifiskā atbalsta mērķa "Palielināt lielo ostu drošības līmeni un uzlabot transporta tīkla mobilitāti" īstenošanas noteikumi" (Latvijas Vēstnesis, 2016, 104. nr.; 2017, 117., 223. nr.; 2021, 72.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ka MK noteikumu (grozījumu) projektā ir iekļauta informācija par visiem veicamajiem grozījumiem MK 24.05.2016. noteikumos Nr.319 “Darbības programmas “Izaugsme un nodarbinātība” 6.1.1. specifiskā atbalsta mērķa “Palielināt lielo ostu drošības līmeni un uzlabot transporta tīkla mobilitāti” īstenošanas noteikumi”, ņemot vērā, ka vairāki grozījumi/precizējumi veikti konsolidētajā versijā, taču MK noteikumu (grozījumu) projektā “Grozījumi Ministru kabineta 2016. gada 24. maija noteikumos Nr. 319 “Darbības programmas “Izaugsme un nodarbinātība” 6.1.1. specifiskā atbalsta mērķa “Palielināt lielo ostu drošības līmeni un uzlabot transporta tīkla mobilitāti” īstenošanas noteikumi”” tie netiek atspoguļoti (tai skaitā, piemēram, grozījumi, kas veikti 32.1. un 37.punktā).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II nodaļas nosaukumu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MK noteikumu projekta II. nodaļas nosaukumu, ņemot vērā, ka grozījumu projektā tas ir svītrots.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14.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Satiksmes ministriju izskatīt iespēju projekta Nr. 6.1.1.0/17/I/006 “Satiksmes pārvads no Tvaika ielas uz Kundziņsalu” Rīgas valstspilsētas pašvaldības īstenojamo daļu pārcelt finansēšanai Eiropas Savienības fondu  2021 – 2027 plānošanas perioda programmas ietvaros, tādējādi arī intensificējot jaunā perioda investīcijas un ātrāk rodot deklarējamos izdevumus, sniedzot anotācijā attiecīgu informāciju par Satiksmes ministrijas analīzes secinājumiem un plānoto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Skaidrojam,ka pārceļot projekta Nr. 6.1.1.0/17/I/006 “Satiksmes pārvads no Tvaika ielas uz Kundziņsalu” Rīgas valstspilsētas pašvaldības īstenojamo daļu uz 2021 – 2027 plānošanas perioda programmu, netiek nodrošināta projekta funkcionalitāte un  netiek sasniegti projekta mērķi.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14.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MK noteikumu projekta grozījumu 7.punktā frāzi "ne vēlāk kā 2 mēnešu laikā pēc Ministru kabineta noteikumu grozījumu spēkā stāšanās", norādot precīzu termiņu, kurā jānoslēdz sadarbības līgumu. Vēršam uzmanību, ka minētais punkts tiks iekļauts konsolidētā versijā, līdz ar to tās piemērotājs nevarēs identificēt konkrēto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tiek piemērota prasība, ka sadarbības līgums ir jāiesniedz ne  vēlāk kā 2 mēnešu laikā pēc Ministru kabineta noteikumu grozījumu spēkā stāšanās, līdz ar to sadarbības līguma noslēgšanas termiņš netiek uzskatīts par būtisku.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ar 14.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Savienības fondu 2021-2027 plānošanas perioda programmas ietvaros Rīgas transporta infrastruktūras uzlabošanai ir paredzēts līdzīgs pasākums - 3.1.1.4.pasākums “Rīgas pilsētas transporta infrastruktūras attīstība”, kas potenciāli varētu būt atbilstošs, lai iekļautu daļu no projekta Nr. 6.1.1.0/17/I/006 “Satiksmes pārvads no Tvaika ielas uz Kundziņsalu”, atkārtoti lūdzam anotācijā izvērtēt vairākas projekta pabeigšanas alternatīvas, t.sk. izskatīt iespēju projekta Nr. 6.1.1.0/17/I/006 “Satiksmes pārvads no Tvaika ielas uz Kundziņsalu” Rīgas valstspilsētas pašvaldības īstenojamo daļu pārcelt finansēšanai Eiropas Savienības fondu  2021–2027 plānošanas perioda programmas ietvaros, ja saskatīts racionāli.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sadalot RBP projektu un satiksmes pārvada izbūvi nododot citam finansējuma saņēmējam, cita pasākuma ietvaros,  RBP projekts vairs neatbildīs 6.1.1.SAM projektu iesniegumu vērtēšanas kritērijam attiecībā uz atbilstību darbības programmas “Izaugsme un nodarbinātība” (DP) un 6.1.1.SAM mērķiem (1.13.kritērijs), proti, nodalītais RBP projekts (bez satiksmes pārvada izbūves sadaļas) nenovērsīs problemātisko punktu radītos ierobežojumus Eiropas transporta tīkla infrastruktūras darbībā.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2014.-2020.gada plānošanas perioda RBP projekta ietvaros tiek atstāts tikai Kundziņsalas publiskās un slēgtās (valsts atbalsta) teritorijas daļa un savienojums ar satiksmes pārvadu līdz estakādēm uz un no satiksmes pārvada, un RBP projekta ietvaros netiek izbūvēts satiksmes pārvads, tad netiek sasniegts arī projektā noteiktais  mērķis, proti - novērst problemātisko punktu radītos ierobežojumus Eiropas transporta tīkla infrastruktūras darbībā, īstenojot satiksmes pārvada pār Sarkandaugavu būvniecību.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SAM 6.1.1. īstenošanas ietvaros RBP kā finansējuma saņēmējs, konstatējot  sadārdzinājumu,  meklēja risinājumu, lai projektu īstenotu noteiktajā apjomā un sasniedzot mērķus, un kā risinājumu piedāvāja Rīgas valstspilsētas pašvaldības iesaisti kā sadarbības partnerim projekta īstenošanā.  Pamatojoties uz RBP piedāvāto risinājumu par Rīgas valstspilsētas pašvaldības iesaisti, kas nodrošināja gan DP, gan projekta mērķu sasniegšanu, Satiksmes ministrija izstrādāja informatīvo ziņojumu “Par finansējuma pārdali darbības programmas "Izaugsme un nodarbinātība" 6.1.1. specifiskā atbalsta mērķa "Palielināt lielo ostu drošības līmeni un uzlabot transporta tīkla mobilitāti" un 6.1.3. specifiskā atbalsta mērķa "Nodrošināt nepieciešamo infrastruktūru uz Rīgas maģistrālajiem pārvadiem un novērst maģistrālo ielu fragmentāro raksturu" 6.1.3.1. pasākuma "Rīgas pilsētas integrētas transporta sistēmas attīstība" ietvaros" un valsts budžeta finansējuma piešķiršanu Rīgas valstspilsētas pašvaldības projektu īstenošanai", ietverot gan faktiskās situācijas aprakstu, gan riskus, kā arī risinājumus, kuru saskaņoja arī Finanšu ministrija un Rīgas valstspilsētas pašvaldība (Informatīvais ziņojums apstiprināts Ministru Kabineta 2022.gada 2.novembra sēdē (sēdes protokola Nr.55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nosacījumiem, ka visi RBP projektā līdz šim veiktie ieguldījumi ir attiecināmi uz projektu un RBP rīcībā paliek jau projekta īstenošanas laikā izmaksātā un nedzēstā avansa summa, ko iespējams izmantot tālāk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projektā līdz šim veiktie ieguldījumi ir attiecināmi uz projektu un RBP rīcībā paliek jau projekta īstenošanas laikā izmaksātā un nedzēstā avansa summa, ko iespējams izmantot tālāk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projektā līdz šim veiktie ieguldījumi ir attiecināmi uz projektu un RBP rīcībā paliek jau projekta īstenošanas laikā izmaksātā un nedzēstā avansa summa, ko iespējams izmantot tālāk projekta īstenošanā."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tekstu, norādot, kādam intervences kodam atbilst specifiskajam atbalsta mērķim plānotais finansējums, kā arī lūdzam iesniegt aktualizētu 6.1.1.SAM rādītāja pasi.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plānotais finansējums un projekta atbalstāmās darbības atbilst  intervences kategorijai (investīcijas kodam) 034 – citi rekonstruēti vai uzlaboti ceļi."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1.3.apakšadaļā skaidrot, pēc kādiem kritērijiem tiks vērtēta sadarbības partnera atbilstība projektu iesniegumu vērtēšanas kritērijiem. Vēršam uzmanību, ka sadarbības partnera iesaiste ir paredzēta tikai ar šo grozījumu spēkā stāšanos, tur klāt projekta iesniegumi jau ir apstiprinati un uzsākta to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dzēsts teikums šāda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CFLA, veicot RBP iesniegto līguma grozījumu izvērtēšanu, izvērtēs arī sadarbības partnera atbilstību projektu iesniegumu vērtēšanas kritērijiem, lai pārliecinātos par sadarbības partnera atbilstību tam izvirzītajām prasībām."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skaidrojot, kādi būs Rīgas valstspilsētas pašvaldības kā sadarbības partnera pienākumi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papildināta ar skaidrojumu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kas tiek piesaistīta kā sadarbības partneris, izbūvē Kundziņsalas satiksmes pārvadu un nodrošina tā funkcionēšanu ne vēlāk kā līdz 2026.gada 1.janvārim, izmantojot valsts budžeta dotācijas līdzekļus un valsts budžeta aizdevumu atbilstoši gadskārtējā valsts budžeta likumā noteiktajā apmērā, kā arī pašvaldības budžeta līdzekļus."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1.sadaļas 1.3.apakšsadaļu ar skaidrojumu, kādā veidā grozījumi ietekmēs noslēgto līgumu par projekta īstenošanu, īstenošanā esošo projektu Nr. 6.1.1.0/17/I/006, tostarp finansējuma saņēmēju un projekta izpildi, kā arī, vai grozījumi nav uzskatāmi par būtiskiem attiecībā uz projektu īstenošanu, t.i, ietekmē projektu, tā mērķi vai darbības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1.3.sadala precizēta, iekļaujot skaidrojumu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paredzētajiem grozījumiem nav ietekmes uz Darbības programmā "Izaugsme un nodarbinātība” noteiktajiem mērķiem, uz 6.1.1.SAM projektu iesniegumu atlases vērtēšanas kritērijiem, 6.1.1.SAM mērķiem un sasniedzamajiem rādītājiem, jo 6.1.1.SAM ietvaros sasniedzamie rādītāji jau šobrīd ir sasniegti. Ņemot vērā Eiropas Savienības struktūrfondu un Kohēzijas fonda 2014.—2020.gada plānošanas perioda vadības likuma 11.panta trešās daļas 2.punktā noteikto,  ka atbildīgā iestāde nodrošina specifiskā atbalsta mērķa rezultātu sasniegšanu, kā arī to, ka SAM 6.1.1.SAM ietvaros sasniedzamie rādītāji jau šobrīd ir sasniegti turpmāko RBP projekta īstenošanas uzraudzību un kontroli nodrošinās CFLA.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īsteno tikai Kundziņsalas publiskās un slēgtās (valsts atbalsta) teritorijas daļu un savienojumu ar satiksmes pārvadu līdz estakādēm uz un no satiksmes pārvada, un tiek nodrošināta RBP būvdarbu sadārdzinājuma izmaksu segšana no projektam piešķirtā KF finansējuma atbilstoši Ekonomikas ministrijas izstrādātajām vadlīnijām[1], ja CFLA ir izvērtējusi sadārdzinājuma pamatotību, sniegusi pozitīvu  vērtējumu un  atzinusi to kā attiecināmu KF līdzfinansējumam, un projektu ir iespējams īstenot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Pašvaldība, kas tiek piesaistīta kā sadarbības partneris, izbūvē Kundziņsalas satiksmes pārvadu, izmantojot valsts budžeta dotācijas līdzekļus un valsts budžeta aizdevumu atbilstoši gadskārtējā valsts budžeta likumā noteiktajā apmērā, kā arī pašvaldības budžeta līdzekļus.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noteiktie grozījumi neietekmē RBP projekta mērķi un darbības, pēc noteikumu projekta apstiprināšanas RBP veiks grozījumus noslēgtajā līgumā ar CFLA, nosakot, ka projekts tiks īstenots partnerībā ar pašvaldību, satiksmes pārvada sadaļu Pašvaldībai izbūvei, savukārt, RBP Projekta ietvaros veiks Kundziņsalas publiskās un slēgtās teritorijas izbūvi, lai nodrošinātu funkcionālu pieslēgumu Kundziņsalas satiksmes pārvadam.TTāpat RBP veiks grozījumus noslēgtajā līgumā ar CFLA, precizējot projekta budžeta un finansēšanas plānu, lai atbrīvotu pārdalāmo KF finansējumu.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5.4.sadaļas 1.tabulā norādīto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svītrojot vārdus "Eiropas Komisijas lēmums par atbalsta saderību ar Eiropas Savienības iekšējo tirgu vai", ņemot vērā, ka tabulā nav iekļauta informācija par Eiropas Komisijas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atbilstību Komisijas 2014. gada 17. jūnija Regulas (ES) Nr. 651/2014, ar ko noteiktas atbalsta kategorijas atzīst par saderīgām ar iekšējo tirgu, piemērojot Līguma 107. un 108. pantu, 56. b pantam, jo noradītie MK noteikumu projekta punkti nepārņem nosacījumus no minētā regulas panta.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24. maija noteikumos Nr. 319 "Darbības programmas "Izaugsme un nodarbinātība" 6.1.1. specifiskā atbalsta mērķa "Palielināt lielo ostu drošības līmeni un uzlabot transporta tīkla mobilitāti"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protokollēmumā iekļaut atļauju Centrālai finanšu un līgumu aģentūrai izmaksāt finansējuma saņēmējam noslēguma maksājumu pirms projekta pabeigšanas jau 2024. gada sākumā (ko iekļaut pēdējā noslēguma Maksājuma pieprasījumā Eiropas Komisijas noteiktā termiņā). Attiecīgi, ja nav noteikts izņēmums no horizontālo Ministru kabineta noteikumu (17.03.2015. MK noteikumi Nr. 130 “Noteikumi par valsts budžeta līdzekļu plānošanu Eiropas Savienības struktūrfondu un Kohēzijas fonda projektu īstenošanai un maksājumu veikšanu 2014.–2020.gada plānošanas periodā”) normas par šo, tad par attiecīgo izdevumu daļu tiek zaudēts ES finansējums, ko arī finansējuma saņēmējs nesaņem. Lūdzam Satiksmes ministriju pārliecināties, vai šādi domāts un vai īstenotājs apzinās finanšu zaudējumu.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papildināts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"3.Atļaut Centrālai un finanšu līgumu aģentūrai  līdz 2024.gada 15.martam izmaksāt Rīgas brīvostas pārvaldei noslēguma maksājumu pirms projekta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24. maija noteikumos Nr. 319 "Darbības programmas "Izaugsme un nodarbinātība" 6.1.1. specifiskā atbalsta mērķa "Palielināt lielo ostu drošības līmeni un uzlabot transporta tīkla mobilitāti"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un sadarbības partneris nevar pretendēt uz finansējumu, ja tas atbilst grūtībās nonākuša komersanta statusam un uz to attiecas vismaz viens no Komisijas regulas Nr. 651/2014 2.panta 18.punktā minētajiem kritērijiem. Projekta iesniedzējs un sadarbības partneris iesniedz apliecinājumu par atbilstību Komisijas regulas Nr.  651/2014 2.panta 18. c) punktā minētajam nosacījumam.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 brīža redakcija nepamatoti paredz prasību projekta iesniedzējam un sadarbības partnerim iesniegt apliecinājumu arī par to Komisijas regulas Nr.  651/2014 2.panta 18. c) punktā ietverto nosacījumu, kuru ir iespējams pārbaudīt reģistros, proti, vai projekta iesniedzējam un sadarbības partnerim ar tiesas spriedumu ir pasludināts maksātnespējas process, ar tiesas spriedumu tiek īstenots tiesiskās aizsardzības process vai ar tiesas lēmumu tiek īstenots ārpustiesas tiesiskās aizsardzības process, vai tam ir uzsākta bankrota procedūra, piemērota sanācija vai mierizlīgums, vai tā saimnieciskā darbība ir izbeigta. Lūdzam precizēt 14.punkta otro teikumu, paredzot, ka projekta iesniedzējs un sadarbības partneris iesniedz apliecinājumu par atbilstību Komisijas regulas Nr.  651/2014 2.panta 18. c) punktā minētajam nosacījumam “vai tas atbilst normatīvajos aktos noteiktajiem kritērijiem, lai tam pēc kreditoru pieprasījuma pieprasītu maksātnespējas procedūru”, ņemot vēra, ka nacionāli šī prasība tiek pārbaudīta, balstoties uz atbalsta pretendenta iesniegtu apliecinājumu. Atbilstoši izteiktajam iebildumam, lūdzam sniegt arī anotācijā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un sadarbības partneris nevar pretendēt uz finansējumu, ja tas atbilst grūtībās nonākuša komersanta statusam un uz to attiecas vismaz viens no Regulas Nr. 651/2014 2.panta 18. punktā minētajiem kritērijiem. Projekta iesniedzējs un sadarbības partneris iesniedz apliecinājumu, ka tas neatbilst normatīvajos aktos noteiktajiem kritērijiem, lai tam pēc kreditoru pieprasījuma pieprasītu maksātnespējas procedūru.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Rīgas Brīvostas pārvalde kā finansējuma saņēmējs var piesaistīt Rīgas valstspilsētas pašvaldību kā sadarbības partneri,  nodrošinot, ka sadarbības partneris īsteno tikai tās darbības, kas neparedz komercdarbības atbalsta 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redakciju, lai nodrošinātu skaidrību, ka sadarbības partneris projekta ietvaros īsteno tikai tādas darbības, kurām sniegtais atbalsts nav kvalificējams kā komercdarbības atbalsts.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 kā finansējuma saņēmējs var piesaistīt Rīgas valstspilsētas pašvaldību kā sadarbības partneri,  nodrošinot, ka sadarbības partneris</w:t>
            </w:r>
            <w:r w:rsidR="00000000" w:rsidRPr="00000000" w:rsidDel="00000000">
              <w:rPr>
                <w:b w:val="1"/>
                <w:rtl w:val="0"/>
              </w:rPr>
              <w:t xml:space="preserve"> projekta ietvaros</w:t>
            </w:r>
            <w:r w:rsidR="00000000" w:rsidRPr="00000000" w:rsidDel="00000000">
              <w:rPr>
                <w:rtl w:val="0"/>
              </w:rPr>
              <w:t xml:space="preserve"> īsteno tikai tādas darbības</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kurām sniegtais atbalsts nav kvalificējams kā komercdarbības atbalsts.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Rīgas Brīvostas pārvalde kā finansējuma saņēmējs var piesaistīt Rīgas valstspilsētas pašvaldību kā sadarbības partneri, nodrošinot, ka sadarbības partneris projekta ietvaros īsteno tikai tādas darbības, kurām sniegtais atbalsts nav kvalificējams kā komercdarbības atbalsts.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 minētais finansējuma saņēmējs un sadarbības partneris iesniedz sadarbības iestādē ar sadarbības partneri noslēgtu sadarbības līgumu atbilstoši normatīvajiem aktiem par kārtību, kādā Eiropas Savienības struktūrfondu un Kohēzijas fonda vadībā iesaistītās institūcijas nodrošina plānošanas dokumentu sagatavošanu un šo fondu ieviešanu 2014.–2020.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termiņu, kādā sadalības līgums jāiesniedz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14.' punktā minētais finansējuma saņēmējs un sadarbības partneris ne vēlāk kā 2 mēnešu laikā pēc Ministru kabineta noteikumu grozījumu spēkā stāšanās iesniedz sadarbības iestādē ar sadarbības partneri noslēgtu sadarbības līgumu atbilstoši normatīvajiem aktiem par kārtību, kādā Eiropas Savienības struktūrfondu un Kohēzijas fonda vadībā iesaistītās institūcijas nodrošina plānošanas dokumentu sagatavošanu un šo fondu ieviešanu 2014.-2020.gada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 minētais finansējuma saņēmējs un sadarbības partneris ne vēlāk kā 2 mēnešu laikā pēc Ministru kabineta noteikumu grozījumu spēkā stāšanās iesniedz sadarbības iestādē ar sadarbības partneri noslēgtu sadarbības līgumu atbilstoši normatīvajiem aktiem par kārtību, kādā Eiropas Savienības struktūrfondu un Kohēzijas fonda vadībā iesaistītās institūcijas nodrošina plānošanas dokumentu sagatavošanu un šo fondu ieviešanu 2014.-2020.gada plānošanas periodā.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3</w:t>
            </w:r>
            <w:r w:rsidR="00000000" w:rsidRPr="00000000" w:rsidDel="00000000">
              <w:rPr>
                <w:rtl w:val="0"/>
              </w:rPr>
              <w:t xml:space="preserve"> Sadarbības līgumā nosaka kārtību, kādā tiek īstenota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 projekta iesniedzēja un sadarbības partnera sadarbība projekta īstenošana, projekta rezultātu uzturēšanā un projekta rezultātu ilgtspējas nodrošināšanā, kā arī nosaka kārtību, kādā tiek nodrošināta projekta funkcionalitāte līdz 2026.gada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nosacījumu attiecībā uz īpašumtiesību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līgumā nosaka kārtību, kādā tiek īstenota šo noteikumu 14.' punktā minētā projekta iesniedzēja un sadarbības partnera sadarbība projekta īstenošana, tai skatā nepieciešamības gadījumā attiecībā uz īpašutiesību nodošanas jautājumiem,  projekta rezultātu uzturēšanā un projekta rezultātu ilgtspējas nodrošināšanā, kā arī nosaka kārtību, kādā tiek nodrošināta projekta funkcionalitāte līdz 2026.gada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14</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"14.4.Sadarbības līgumā nosaka kārtību, kādā tiek īstenota šo noteikumu 14.' punktā minētā projekta iesniedzēja un sadarbības partnera sadarbība projekta īstenošana, nepieciešamības gadījumā iekļaujot arī īpašumtiesību nodošanas jautājumus, projekta rezultātu uzturēšanu un projekta rezultātu ilgtspējas nodrošināšanu, kā arī nosaka kārtību, kādā tiek nodrošināta projekta funkcionalitāte līdz 2026.gada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9.1. </w:t>
            </w:r>
            <w:r w:rsidR="00000000" w:rsidRPr="00000000" w:rsidDel="00000000">
              <w:rPr>
                <w:rtl w:val="0"/>
              </w:rPr>
              <w:t xml:space="preserve">apakšpunktā</w:t>
            </w:r>
            <w:r w:rsidR="00000000" w:rsidRPr="00000000" w:rsidDel="00000000">
              <w:rPr>
                <w:rtl w:val="0"/>
              </w:rPr>
              <w:t xml:space="preserve"> minētā finansējuma saņēmēja projektu īsteno saskaņā ar līgumu par projekta īstenošanu, bet ne ilgāk kā līdz 2026. 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punktu, lai viennozīmīgi skaidri būtu saprotams, ka finansējuma saņēmējam, tas ir Rīgas brīvostas pārvaldei, sava projekta daļa jāpabeidz līdz 2023.gada 31.decembrim, lai saņemtu 9.1.punktā paredzēto Kohēzijas fonda finansējumu, nosakot, ka kopējais projekta īstenošanas termiņš 2026.gada 1.janvāris ir attiecināms uz sadarbības partnera projekta īstenojamo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9.1. </w:t>
            </w:r>
            <w:r w:rsidR="00000000" w:rsidRPr="00000000" w:rsidDel="00000000">
              <w:rPr>
                <w:rtl w:val="0"/>
              </w:rPr>
              <w:t xml:space="preserve">apakšpunktā</w:t>
            </w:r>
            <w:r w:rsidR="00000000" w:rsidRPr="00000000" w:rsidDel="00000000">
              <w:rPr>
                <w:rtl w:val="0"/>
              </w:rPr>
              <w:t xml:space="preserve"> minētais finansējuma saņēmējs projektu īsteno līdz 2023.gada 31.decembrim, lai saņemtu šo noteikumu </w:t>
            </w:r>
            <w:r w:rsidR="00000000" w:rsidRPr="00000000" w:rsidDel="00000000">
              <w:rPr>
                <w:rtl w:val="0"/>
              </w:rPr>
              <w:t xml:space="preserve">9.1. </w:t>
            </w:r>
            <w:r w:rsidR="00000000" w:rsidRPr="00000000" w:rsidDel="00000000">
              <w:rPr>
                <w:rtl w:val="0"/>
              </w:rPr>
              <w:t xml:space="preserve">apakšpunktā</w:t>
            </w:r>
            <w:r w:rsidR="00000000" w:rsidRPr="00000000" w:rsidDel="00000000">
              <w:rPr>
                <w:rtl w:val="0"/>
              </w:rPr>
              <w:t xml:space="preserve">  paredzēto Kohēzijas fonda finansējumu. Sadarbības partneris nodrošina projekta īstenošanu līdz 2026. gada 1. janvārim.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22-TA-3736</w:t>
    </w:r>
    <w:r>
      <w:br/>
    </w:r>
    <w:r w:rsidR="00000000" w:rsidRPr="00000000" w:rsidDel="00000000">
      <w:rPr>
        <w:rtl w:val="0"/>
      </w:rPr>
      <w:t xml:space="preserve">29.03.2023. 13.57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22-TA-3736</w:t>
    </w:r>
    <w:r>
      <w:br/>
    </w:r>
    <w:r w:rsidR="00000000" w:rsidRPr="00000000" w:rsidDel="00000000">
      <w:rPr>
        <w:rtl w:val="0"/>
      </w:rPr>
      <w:t xml:space="preserve">29.03.2023. 13.57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Izziņa_22-TA-3736.docx</dc:title>
</cp:coreProperties>
</file>

<file path=docProps/custom.xml><?xml version="1.0" encoding="utf-8"?>
<Properties xmlns="http://schemas.openxmlformats.org/officeDocument/2006/custom-properties" xmlns:vt="http://schemas.openxmlformats.org/officeDocument/2006/docPropsVTypes"/>
</file>