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23-TA-835: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2023. gada Progresa ziņojums par Latvijas nacionālās reformu programmas īstenošanu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- 20.04.2023.)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š.g. 5. aprīļa atzinumā paustos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ziņojumā ir iekļauta informācija par progresu 2022. gada ES Padomes rekomendāciju Latvijai izpildē un ANO Ilgtspējīgas attīstības mērķu izpildē. LDDK komentāri lielākoties ietver priekšlikumus attiecībā uz pašreiz notiekošajām diskusijām starp valdību un sociālajiem partneriem, tāpēc tos nav iespējams iekļaut Progresa ziņojumā, jo daudzas iniciatīvas vēl nav apstiprinātas, tāpēc ka par tām notiek diskusijas, piemēram, par nodokļu politiku un Vidēja termiņa nodokļu politikas pamatnostādnēm, izglītības politiku utt. Šos LDDK komentārus Ekonomikas ministrija pārsūtīja atbildīgajām institūcijām izvērtēšanai un diskusiju nodrošināšanai ar sociālajiem partneriem. Aicinām LDDK šos priekšlikumus un komentārus apspriest diskusijās par politikas plānošanu un strukturālo reformu īstenošanu ar attiecīgajām institūcijām un NTSP formātā.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- 20.04.2023.)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izprot par 4.sadaļā, 1. punktā iekļautās informācijas par nabadzības risku novēršanu skaidrojumā sniegto pamatojumu un neiebilst pret salīdzināma un harmonizēta monetārās nabadzības rādītāja, proti, nabadzības riska indeksa izmantošanu, kā nabadzības riska novērtēšanas rādītāju kopumā. Tomēr LBAS ieskatā, ir jāsaprot, ka minētais rādītājs bez detalizētākas nacionālās situācijas izklāsta nesniedz pilnvērtīgu priekšstatu par iedzīvotāju pirktspējas krišanos un nabadzības riska pieaugumu, tajā skaitā arī nodarbināto nabadzības riska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datu pārskata perioda nobīdi no reālās situācijas LBAS ieskatā, ir būtiski uzrādīt tekošo situāciju precīzāk reflektējošus rādītājus,  neskatoties uz to, ka tie nav harmonizēti monetārās nabadzības rādītāji. Lai precīzāk raksturotu situāciju, iespējams izmantot tādus datus kā, piemēram, majsaimniecību izdevumu izmaiņas pret ienākumu izmaiņām, ekonomisko spriedzi mājsaimniecībās, darba samaksas rādītāju izmaiņas pret patēriņa cenu izmaiņām, kā arī citus monetārās nabadzības, nevienlīdzības un sociālās atstumtības datus, kas ir pieejami par 2022.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iepriekš minēto, LBAS uztur iebildumu un lūdz ziņojuma 4. sadaļas 1. punktā par nabadzības risku novēršanu plašāk atspoguļot nabadzības riska novērtējumu ņemt vērā straujās inflācijas ietekmi 2022.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Progresa ziņojuma 4.nodaļas 1.punkta 1.rindkopa papildināta ar teikumu: "Tomēr jāatzīmē, ka kopš 2022. gada sākuma ir novērojams patēriņa cenu pieaugums, kas šobrīd negatīvi ietekmē iedzīvotāju pirktspēju, it īpaši iedzīvotājiem ar zemiem ienākumiem."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- 20.04.2023.)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savu iepriekš izteikto iebildumu attiecībā uz informatīvā ziņojuma 4.sadaļas 8.punktu.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visās sapulcēs, kuras ir norādītas iebilduma vērā neņemšanas skaidrojumā (NTSP apakšpadomēs, Valdības rīcības plāna izstrādes laikā, apvienotā NTSP apakšpadomju sēde 12.01.2023., Direktīvas pārņemšanas darba grupu sapulces) LBAS ir atsaukusies uz Direktīvas par adekvātu minimālo algu ES prasībām, aicinājusi izmantot kritēriju minimālās algas noteikšanai  50% apmērā no vidējās algas tautsaimniecībā iepriekšējā gadā, kā arī minimālās algas pārskatīšanu pēc iespējas ātrāk, proti, minimālās algas pārskatīšanu jau 2023.gadā. Līdz ar to nevar apgalvot, ka minimālās algas necelšana 2023.gadā ir saskaņota ar LBAS.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Vēlreiz pievēršam uzmanību, ka Latvijas valsts noteiktā minimālā alga ir zemākā Baltijas valstīs un viena no zemākajām ES. Latvijā, kurā jau šobrīd ir viens no augstākajiem ienākumu nevienlīdzības līmeņiem būtu jāizmanto direktīvā paredzētie kritēriji jau šogad un jāparedz kritērijs, ka minimālā alga nevar būt mazāka par 50% no vidējās algas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4.sadaļas 8.punktu pēc teikuma ”Cienīga darba nodrošināšanai no 2023. gada noteikta minimālā mēneša darba alga 620 EUR apmērā” lūdzam papildināt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likums paredz, ka 2024. gadā minimālās alga tiks paaugstināta līdz 700 eiro mēnesī, tomēr patēriņa cenu pieauguma un kopējā darba algu līmeņa pieauguma ietekmē ir paredzams, ka šis minimālās darba algas līmenis nesasniegs ES Direktīvas par adekvātu minimālo algu ES uzstādītās rekomendācijas un kritērijus. Lai noteiktu adekvātu minimālās darba algas līmeni un veicinātu ienākumu nevienlīdzības mazināšanos, kā arī trūcīgo strādājošo skaitu, minimālās algas līmenis kopā ar sociālajiem partenriem ir jāpārskata arī 2023.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Progresa ziņojuma 4.nodaļas 8.punkta 2.rindkopa papildināta ar teikumu: "Taču jāatzīmē, ka šobrīd iedzīvotāju pirktspēju, it īpaši iedzīvotājiem ar zemiem ienākumiem, negatīvi ietekmē pieaugošas patēriņa cenas."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Latvijas nacionālās reformu programmas 2023. gada progresa ziņojuma projektu (turpmāk – ziņojums) un ir sagatavojusi priekšlikumus un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ziņojumu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atzinīgi vērtē ziņojumu kopumā un uzskata, ka tas ir sagatavots korekti un atbilstoši situācijai, īpaši attiecībā uz makroekonomiskās situācijas aprakstu, nodokļu politiku, finansējuma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atbilstoši norādīti problēmjautājumi, kuri būtu jārisina: finansējuma pieejamība uzņēmumiem, ieguldījumi pētniecībā un attīstībā, Atveseļošanās un noturības mehānisma plāna izmantošana, nodokļu politikas pārskatīšana, enerģētiskā drošība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ieskatā valdībai un sociālajiem partneriem nav panākta vienota izpratne par to, kas ir Latvijas ekonomikas transformācijas pamatvirzieni, kas nodrošinātu virzību uz kvalitatīvām izmaiņām un uzlabojumiem Latvijas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ziņojumā ietverto rekomendāciju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Komentāri par sadaļu: FISKĀLĀ UN NODOKĻU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Šai ziņojuma sadaļā ir minēts, ka “2023. gadā plānots pabeigt Vidēja termiņa nodokļu politikas pamatnostādnes, kurās tiks definētas nodokļu politikas prioritātes turpmākajiem gadiem, balstoties uz plašu un rūpīgu analīzi, tostarp izskatot dažādus nodokļu politikas izmaiņu scenārijus”. LDDK rosina īpaši uzsvērt nepieciešamību pārskatīt darbaspēka nodokļus un dažādu darba devēju izmaksas, lai rezultātā tie būtu konkurētspējīgi starp tuvākajām reģiona valstīm, kā arī veicinātu ilgtspēju, sociālo drošību un lielāku līdzdalību nodokļu maksāšanā.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Komentāri par sadaļu: PUBLISKĀS INVESTĪCIJAS ZAĻĀS UN DIGITĀLĀS PĀRKĀRTOŠANAS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papildināt sadaļu ar informāciju un skaidrojumu attiecībā uz problēmām ar ES fondu finansējuma apguvi tieši būvniecībā, jo savlaicīgi netiek pārskatīti noslēgtie līgumi ar būvniekiem (inflācijas ietekme) un būvniecības kapacitātes problemātika, tāpat arī tipveida ēku siltināšanas projektu trūkums, kas katram individuālajam ēkas siltināšanas gadījumam palielina izmaksas un paildzina renovācijas projekta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zaļās pārkārtošanās kontekstā rast risinājumu mazskaitlīgu izglītības programmu īstenošanai, kas nodrošina valsts drošības un kritiskās infrastruktūras (civilās aizsardzības, ugunsdzēsības, ūdenssaimniecības, siltumapgādes, enerģētikas, telekomunikāciju, u.c.) uzturēšanai nepieciešamo visu līmeņu speciālistu sagatavošanu. Skaidrojam, ka vairākas tautsaimniecības nozares, piemēram enerģētikas, vides inženierzinātņu, kas nodrošina sabiedrības drošībai būtiskus procesus, piemēram ūdens apgādi un kanalizācijas sistēmu uzturēšanu, gāzes apgādi, siltumapgādi, vēdināšanas un kondicionēšanas sistēmu uzturēšanu, izjūt kritisku kvalificētu speciālistu trūkumu. Uztraucošs ir fakts, ka profesionālās izglītības iestādēs netiek uzņemtas grupas šajās sabiedrības drošībai būtiskās, bet mazskaitlīgās profesijās, piemēram, vides inženierzinātņu profesionālajai kvalifikācijai “Vides iekārtu tehniķis” pēdējo reizi absolventi ir bijuši 2011.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nozīmīgi saglabāt pieeju, ka sadarbībā ar darba devējiem tiek nodrošināta savlaicīga pārkvalifikācija bezdarba riskam pakļautām nodarbinātām personām, kā arī tiek atbalstītas nozares darbaspēka pārkvalifikācijas vajadzības zaļās pārejas un digitalizācijas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nepiekrīt minētajam, ka no valsts budžeta tiek paredzētas plašas prasmju pilnveides un pārkvalificēšanās iespējas. Pamatā tomēr šīs aktivitātes tiek finansētas no projektu finansējuma, un ir nepieciešams plānot šo investīciju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Komentāri par sadaļu: VESELĪBAS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uzsvērt nepieciešamību nodrošināt pieaugošu publiskā sektora finansējumu veselības aprūpei, lai 2025. gadā sasniegtu vismaz 13,5% no kopējiem valsts budžeta izdevumiem, ,espēju robežās diennakts stacionāros sniegto pakalpojumu pārvirzīt uz dienas stacionāriem,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uzsvērt, ka ir nepieciešams pilnveidot primārās veselības aprūpes finansēšanas modeli, kā arī paplašināt ģimenes ārsta praksē veicamo valsts apmaksāto manipulāciju, kā arī diagnostikas un ārstniecības metožu klāsts.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Komentāri par sadaļu: Sociālā aizsardzība un nevienlīdzības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“maksimālā diferencētā neapliekamā minimuma paaugstināšana” nav ne sociālās aizsardzības, ne nevienlīdzības mazināšanas pasākums. Nevienlīdzību vērtē pēc ienākumiem uz mājsaimniecības locekli pēc nodokļiem un sociālajiem transfertiem. Lielākais ieguvums no minētā pasākuma ir personām, kurām nav apgādājamo. Savukārt ievērojami mazāks ieguvums vai tā vispār nav sliktākā materiālajā situācijā esošajām mājsaimniecībām, kurās pie līdzīgiem vai pat lielākiem ienākumiem ir arī apgādājamas personas (zemāka nodarbinātības intensitāte) (skat grafiku: "Informācija par neto ienākumu izmaiņām pēc 2022.gadā divos soļos veiktā diferencētā neapliekamā minimuma augšējās robežas paaugstināšanas no 300 līdz 500 euro" un grafiku "Pelnot bērniem iztiku, persona zaudē sev piekritīgo neapliekamo minimumu").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nepārprotami redzams grafikā, lielākais ieguvums no minētā pasākuma ir personām, kurām nav apgādājamo. Savukārt ievērojami mazāks ieguvums vai tā vispār nav sliktākā materiālajā situācijā esošajām mājsaimniecībām, kurās pie līdzīgiem vai pat lielākiem ienākumiem ir arī apgādājamas personas (zemāka nodarbinātības intensitāte).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Grafiks Nr.1: informācija par neto ienākumu izmaiņām pēc 2022.gadā divos soļos veiktā diferencētā neapliekamā minimuma augšējās robežas paaugstināšanas no 300 līdz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~Grafiku skatīt LDDK š.g. 30 martā nosūtītajā vēstulē "Par Latvijas nacionālās reformu programmas 2023. gada progresa ziņojuma projektu"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diferencētajam neapliekamajam minimumam ir vēl viena paradoksāla ietekme -  personām, kuras strādā un pelna vairāk, lai nodrošinātu savā apgādībā esošās personas, zaudē sev piekritīgo neapliekamo minimumu.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Grafiks Nr. 2: Pelnot bērniem iztiku, persona zaudē sev piekritīgo neapliekamo minimumu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~Grafiku skatīt LDDK š.g. 30 martā nosūtītajā vēstulē "Par Latvijas nacionālās reformu programmas 2023. gada progresa ziņojuma projektu"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Komentāri par sadaļu: ATVESEĻOŠANAS UN NOTURĪBAS PLĀNS, ES FONDI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uzskata, ka šī sadaļa ir ļoti nepilnīga un neatspoguļo patieso situāciju ar kavēšanos pieejamā finansējuma apguvē. LDDK vērš uzmanību, ka ir nepieciešams nodrošināt arī sociālo un sadarbības partneru atbalstu ANM plānā apstiprinātajām reformām un investīcijām tos laicīgi un jēgpilni iesaistot jaunu vai pārskatītu projektu izstrādā, ieviešanā un uzraudzībā, un atgādina, ka PADOMES IETEIKUMĀ par Latvijas 2022. gada valsts reformu programmu un ar ko sniedz Padomes atzinumu par Latvijas 2022. gada stabilitātes programmu (https://ec.europa.eu/info/sites/default/files/2022-european-semester-csr-latvia_lv_0.pdf), tika īpaši uzsvērts, “...lai nodrošinātu atveseļošanas un noturības plāna, kā arī citu, ārpus plāna tvēruma esošu ekonomikas un nodarbinātības politiku sekmīgu īstenošanu un rezultātā panāktu plašu līdzatbildību par politiku programmu kopumā, joprojām ir svarīgi sistemātiski iesaistīt sociālos partnerus un citas attiecīgās ieinteresētās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Komentāri par sadaļu: FINANSĒJUMA PIEEJAMĪBA MAZAJIEM UN VIDĒJIEM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finansējuma pieejamība uzņēmumiem Latvijā šobrīd tiešām ir salīdzinoši vāja, un tas ir viens no būtiskiem šķēršļiem ekonomikas transformācijai un virzībai uz augstāku pievienoto vērtību. Uzņēmumiem izsniegto kredītu īpatsvars pret IKP (15%) ir viens no zemākajiem ES valstīs; arī procentu likmes uzņēmumiem izsniegtajiem kredītiem Latvijā ir bijušas salīdzinoši augstākas. Publisko aizdevumu un garantiju shēmas varētu vismaz daļēji veicināt finansējuma pieejamību. Tāpat būtu nepieciešams arī iespēju robežās samazināt administratīvo slogu (gan uz kredītiestādēm, gan to klientiem), kas ir saistīts ar t.s. "noziedzīgas izcelsmes" darījumu apkarošanu.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Komentāri par sadaļu: ENERĢĒTIKAS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2022-2023.gadā energoresursu ietaupījums galvenokārt ir veidojies, pateicoties labvēlīgiem un siltiem laikapstākļiem 2022-2023.gada ziemā un augstajām energoresursu cenām. Lūdzam ziņojumā iekļaut kopējo valsts atbalsta apjomu, kurš nodrošināts sabiedrībai un uzņēmējiem energoresursu cenu sadārdzinājuma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īstenoti un uzlaboti starpsavienojumi gan gāzes apgādei, gan elektroenerģijas apgādei, būtiski apgrūtināta ir resursu diversifikācija, izmantojot vietējos resursus, dekarbonizācijas mērķu dēļ. Tā piemēram Taisnīgā pārkārtošanās fonda paredzētās rīcības ir pretējas NEKP iekļautajām Enerģētiskās drošības  dimensijām.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 dabas gāzes cena un EU-ETS kvotu cena atstāja īpaši lielu iespaidu uz vietējās ģenerācijas jaudām 2022.gadā un īpaši uz elektroenerģijas cenām reģionā. Dabas gāzes tīkla plašāka integrācija, kaut palielinājusi apgādes drošību, tā šī gada tirgus apstākļos arī atstāja papildus negatīvu efektu uz cenu tā kā kopēja ES dabasgāzes importa atkarība 2020.gadā sasniedza 83,6% un dabasgāzes importa atkarība no Krievijas 41,1% no kopējā ES dabasgāzes apjoma.(https://ec.europa.eu/eurostat/statistics-explained/index.php?title=EU_energy_mix_and_import_dependency#Energy_mix_and_import_dependency)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būtiski būtu pilnveidojama valsts noturība pret straujām cenu svārstībām īpaši apkures nodrošināšanai izmantojot vietējas izcelsmes energoresursus, lai samazinātu kopējo ietekmi uz tautsaimniecību no importatkarīgiem resursiem un to ietekmi uz citiem vietējas izcelsmes energoresursiem.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Komentāri par sadaļu: PROGRESS ANO ILGTSPĒJĪGAS ATTĪSTĪBAS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sadaļu “Novērsta nabadzība” LDDK vērš uzmanību, ka Latvijā statistikas vajadzībām izmantotā īpaši Rietumeiropas dzīves līmenim izstrādātā ESAO modificētā ekvivalences skala (1:0,5:0,3) neatspoguļo reālo nabadzības riska līmeni it īpaši patieso nabadzības risku līmeni mājsaimniecībām ar bērniem. Pieņemot par nabadzības riska slieksni 60% no ienākumu mediānas, pirmajam pieaugušajam mājsaimniecībā riska slieksnis ir tie paši 60% no mediānas (60% no 855 = 513euro), otrajam un katram nākamajam pieaugušajam mājsaimniecības loceklim tie ir 30% (256 euro) un bērniem 18% no mediānas (154 euro), kas Latvijā nav bērna nabadzības riska robeža, bet ir jau dziļa nabadzība. Saskaņā ar MRI pētījuma rezultātiem, 2021.gadā pirmajai pieaugušajai personai mājsaimniecībā pamatizdevumiem bija nepieciešami 424 euro mēnesī, bet bērnam 307 euro mēnesī, kas ir 72% no pirmā pieaugušā izdevumiem. Ņemot vērā augšminēto, šāda līmeņa dokumentos sociālās politikas rezultātus nevajadzētu balstīt uz statistikas vajadzībām nosacīti pieļaujamas, bet reālajai situācijai Latvijā neatbilstošas ekvivalences skalas bāzes radītiem datiem (skat grafiku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Grafiks Nr. 3: Vidējie faktiskie un ekvivalentie ienākumi, nabadzības riska, MRI un MIL sliekšņi dažādiem mājsaimniecību tipiem.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~Grafiku skatīt LDDK š.g. 30 martā nosūtītajā vēstulē "Par Latvijas nacionālās reformu programmas 2023. gada progresa ziņojuma projektu"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sadaļu “Kvalitatīva izglītība” LDDK ieskatā prioritāri izceļami šādi darbības virzieni, kuros nepieciešama steidzama rīcība: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Starpresoru sadarbība:</w:t>
            </w:r>
            <w:r w:rsidR="00000000" w:rsidRPr="00000000" w:rsidDel="00000000">
              <w:rPr>
                <w:rtl w:val="0"/>
              </w:rPr>
              <w:t xml:space="preserve"> Sadarbība un darbību koordinācija starp ministrijām un to padotības iestādēm, kā arī sociālo un sadarbības partneru iesaiste cilvēkresursu attīstības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Plānotās darbības cilvēkresursu attīstības plānošanas un koordinētu darbību veikšanas nodrošināšanai,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Cilvēkresursu jautājumu pārvaldība, tai skaitā sociālo partneru iesaiste (piemēram, nozaru ekspertu padomes);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 datiem un valsts ekonomiskās un sociālās attīstības plāniem balstītu nozaru cilvēkkapitāla attīstības stratēģiju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Sasaistes un sinerģijas nodrošināšana starp nozīmīgākajiem politikas plānošanas dokumentiem cilvēkkapitāla attīstības kontekstā, tai skaitā: Izglītības attīstības pamatnostādnes 2021.-2027.gadam; Nacionālās industriālās politikas pamatnostādnes 2021-2027 gadam; Zinātnes, tehnoloģijas attīstības un inovācijas pamatnostādnes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Augstākā izglītība un zinātne:</w:t>
            </w:r>
            <w:r w:rsidR="00000000" w:rsidRPr="00000000" w:rsidDel="00000000">
              <w:rPr>
                <w:rtl w:val="0"/>
              </w:rPr>
              <w:t xml:space="preserve"> Nodrošināt atbilstošu finansējumu un arvien plašāk iesaistīt nozaru pārstāvjus un darba devējus izglītības un zinātnes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jaunu augstākās izglītības finansēšanas modeli un faktiskajām izmaksām atbilstošu bāzes finansējumu studiju programmu īstenošanai (aktualizēt studiju vietas bāzes izmaksas), tai skaitā prioritāri palielinot finansējumu tajās jomās, kur prognozējams lielākais darbaspēka iztrūkums (inženierzinātņu studiju programmās, mērķtiecīga pedagogu sagatavošana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nepieciešamajām izmaiņām normatīvajos aktos, lai darba devēji var daļēji vai pilnībā segt studiju maksu vai stipendiju saviem darbiniekiem, nepiemērojot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konkrētām darbībām, lai sasniegtu mērķi izpētei un attīstībai nodrošināt kopējo finansējumu ne mazāk kā 1,5% no IKP, tai skaitā ņemot vērā mērķus, kas noteikti Nacionālās industriālās politikas pamatnostādnēs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rīcības plānu kā ieviest darba vidē balstītas studijas, sadarbībā ar darba devējiem, līdzfinansējot šo procesu no valsts budžeta un/vai ES fondiem.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nepieciešamajām izmaiņām normatīvajos aktos, kas nodrošina iespēju augstskolām veidot un veikt ieguldījumus augstskolu dibinātos zinātņietilpīgos jaunuzņēmumos, izmantojot to radītās inovācijas.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veiktajām darbībām, lai panāktu "industriālo doktoru" skaita pieaugumu, kā arī palielinātu doktora darbu pētījumu projektu skaitu, kas tapuši sadarbībā ar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STEM izglītība:</w:t>
            </w:r>
            <w:r w:rsidR="00000000" w:rsidRPr="00000000" w:rsidDel="00000000">
              <w:rPr>
                <w:rtl w:val="0"/>
              </w:rPr>
              <w:t xml:space="preserve"> Lai ilgtermiņā izkļūtu no rūpniecībai katastrofālā Latvijas speciālistu trūkuma inženierzinātņu un dabaszinātņu jomās, vēlamies līdz 2030.gadam sasniegt rezultātu, ka OECD PISA pētījumā Latvija ir starp 10 labākajām valstīm, savukārt inženierzinātņu un dabaszinātņu studiju programmās ir konkurss uz valsts budžeta finansētajām studiju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STEM pedagogi: veicamās darbības krīzes kampaņas īstenošanai pedagogu sagatavošanai un piesaistei gan vidējā, gan profesionālajā izglītībā, tai skaitā nodrošinot atbilstošu darba samaksu, mācību materiālus un citu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STEM eksāmeni: nepieciešamie resursi un darbības, lai ieviestu obligātu starpdisciplināru eksāmenu pamatizglītības noslēgumā no 2024./25.m.g. un obligātu centralizētu eksāmenu fizikā, ķīmijā vai bioloģijā vai dabaszinātnēs vidējās izglītības noslēgumā no 2025./26.m.g..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STEM popularizēšana: nepieciešami atbalsta pasākumi, lai sadarbībā ar darba devējiem un augstskolām īstenotu STEM popularizēšanas aktivitātes (nodrošināt atbalstu); lai nodrošinātu atbalstu STEM popularizēšanai un komunikācijai; lai nodrošinātu karjeras atbalstu un tehniskās jaunrades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Profesionālās izglītības finansēšana un prestižs:</w:t>
            </w:r>
            <w:r w:rsidR="00000000" w:rsidRPr="00000000" w:rsidDel="00000000">
              <w:rPr>
                <w:rtl w:val="0"/>
              </w:rPr>
              <w:t xml:space="preserve"> Jāpanāk, ka vismaz 50% izglītojamo pēc pamatizglītības ieguves izvēlas turpināt mācības profesionālajā izglītībā, kas ir prestiža, atbilstoši finansēta, stratēģiski specializēta un ar nozīmīgu darba devēju iesaisti tās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Atbilstošs izglītības programmu finansējums: nepieciešamās darbības, lai veiktu profesionālās izglītības finansēšanas modeļa maiņu, lai finansējums segtu gan izglītības īstenošanas (bāzes finansējums), gan attīstības izmaksas, gan tiktu ņemta vērā kvalifikāciju specifika (sabiedrības drošībai būtiskas, bet mazskaitlīgas kvalifikācijas, individuālas praktiskās mācības tehnikas vadīšanā, tehnikas nomas iespējas u.c.), kā arī tiktu palielināts budžeta vietu skaits profesionālajā vidējā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Profesionālās kvalifikācijas piešķiršana ir nozares rokās: nepieciešamās darbības, lai tiktu nodrošināta ilgtspējīgu nozares eksaminācijas centru izveide un darbība - iepriekšējās neveiksmīgās pieredzes analīze, pilotprojektu īstenošana, sadarbības modeļa ieviešana, kvalitatīvas eksaminācijas norisei, starp nozari, t.sk. NEP, profesionālās un augstākās izglītības iestādēm, dzīvotspējīga finansēšanas modeļa izstrāde un ieviešana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Nozaru ekspertu padomju kapacitātes stiprināšana: nepieciešamās darbības, lai nodrošinātu ar atbilstošiem resursiem NEP koordinējošās institūcijas, Ekonomikas ministrijas u.c. atbilstošo nozaru ministriju iesaisti NEP kapacitātes (resursu)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DVB mācības: nepieciešamās darbības, lai nodrošinātu arī turpmāku atbalstu DVB mācību īstenošanai profesionālajā vidējā un ieviešanai augstākajā un pieaugušo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Profesionālās izglītības satura reforma: atbilstoši resursi profesionālās izglītības satura reformas turpināšanai, tai skaitā izveidojot eNKS, nodrošinot ilgtspējīgu, nozarēs balstītu profesionālās izglītības pedagogu profesionālo pilnveidi.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Pieaugušo izglītība:</w:t>
            </w:r>
            <w:r w:rsidR="00000000" w:rsidRPr="00000000" w:rsidDel="00000000">
              <w:rPr>
                <w:rtl w:val="0"/>
              </w:rPr>
              <w:t xml:space="preserve"> Nodrošināt sabalansētu valsts un struktūrfondu atbalstu pieaugušo izglītībai, t.sk. ieguldot finansējumu uzņēmumu un asociāciju iniciatīvās, kas veicina to darbinieku profesionālo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Plānotās darbības, lai nodrošinātu Izglītības likumā noteiktos atbalsta instrumentus darba devējiem darbinieku papildu izglītošanai, lai motivētu darba devējus investēt pieaugušo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Plānotās darbības, lai nodrošinātu kvalitatīvu, darba tirgū aktuālu pieaugušo izglītības piedāvājumu profesionālās izglītības iestādēs un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Atbalsta mehānismi, lai sadarbībā ar darba devējiem nodrošinātu savlaicīgu pārkvalifikācija bezdarba riskam pakļautām nodarbinātām personām, kā arī atbalstītu nozares darbaspēka pārkvalifikācijas vajadzības zaļās pārejas un digitalizācijas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Elastīgas mūžizglītības sistēmas attīstība, tai skaitā ieviešot mikrokvalifikāciju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ņemt vērā tās paustos komentārus un ierosinājumus.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ziņojumā ir iekļauta informācija par progresu 2022. gada ES Padomes rekomendāciju Latvijai izpildē un ANO Ilgtspējīgas attīstības mērķu izpildē. LDDK komentāri lielākoties ietver priekšlikumus attiecībā uz pašreiz notiekošajām diskusijām starp valdību un sociālajiem partneriem, tāpēc tos nav iespējams iekļaut Progresa ziņojumā, jo daudzas iniciatīvas vēl nav apstiprinātas, tāpēc ka par tām notiek diskusijas, piemēram, par nodokļu politiku un Vidēja termiņa nodokļu politikas pamatnostādnēm, izglītības politiku utt. Šos LDDK komentārus Ekonomikas ministrija pārsūtīja atbildīgajām institūcijām izvērtēšanai un diskusiju nodrošināšanai ar sociālajiem partneriem. Aicinām LDDK šos priekšlikumus un komentārus apspriest diskusijās par politikas plānošanu un strukturālo reformu īstenošanu ar attiecīgajām institūcijām un NTSP formātā.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Ziņojuma projekta 4.sadaļas pirmo punktu “Novērsta nabadzība”, ka ņemot vērā, ka nabadzības riska slieksnis tiek aprēķināts kā 60% no rīcībā esošo ienākumu mediānas pārrēķinātas uz ekvivalento patērētāju skaitu mājsaimniecībā, ir jāņem vērā, ka tas neatspoguļo kopējo pirktspējas kritumu 2022. gada augsto patēriņa cenu pieauguma ietekmē. Līdz ar to lūdzam precizēt aprakstu par šo ilgtspējīgas attīstības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aprakstu par Ziņojuma projekta 4.sadaļas pirmo punktu “Novērsta nabadzība”, atspoguļojot kopējo pirktspējas kritumu 2022. gada augsto patēriņa cenu pieauguma ietekmē un tā ietekmi uz nabadzības rādītāju pasliktināšanos.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4.sadaļā iekļautā informācija par nabadzības risku ir atspoguļota korekti, jo ir izmantots starptautiski salīdzināms un harmonizēts monetārās nabadzības rādītājs, proti, nabadzības riska indekss. Turklāt šeit ir iekļauta atsauce uz pēdējiem pieejamiem EU-SILC datiem par 2021. gadu un tie neatspoguļo patēriņa cenu indeksa izmaiņu ietekmi 2022.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Ziņojuma projekta 4.sadaļas 8.punktu “Cienīgs darbs un ekonomikas izaugsme”, atzīmējam, ka, lai efektīvi novērtētu adekvātu minimālās algas pieauguma līmeni, tā atbilstoši ES Direktīvai par adekvātu minimālo algu ES, direktīvas pārņemšanas regulējumā Latvijas ir jāievieš skaidrība par kritērijiem pēc kuriem tiek noteikts minimālās algas līmenis. Latvijā valsts noteiktā minimālā alga neatbilst dzīvēs dārdzībai un tiesiskjā regulējumā nepastāv noteikti kritēriji, kuri var ņemt vērā dzīves dārdzības apsvērumus, nosakot un regulāri pārskatot minimālo algu. Pievēršam uzmanību, ka LBAS 2023.gadā sniedza priekšlikumus NTSP par minimālo algu 640,00 eiro apmērā, taču NTSP netika panākta vienošanās un vēlāk likumdevējs ierosināja un apstirpināja 620,00 eiro. Līdz ar to minimālā algo joprojām tiek noteikta ar politisku lēmumu un tās noteikšanā nav izmantoti kritēriji, kas atspoguļotu inflācijas un dzīves dārdzības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apzinās, ka direktīvas normu pārņemšanai ir divu gadu termiņš un valdība ir iesākumi konsultācijas ar sociālajiem partneriem par direktīvas normu pārņemšanu. Vienlaikus Latvijas likumdevējam un valdībai, kā kārtīgam saimniekam, jau tagad, negaidot divus gadus, būtu jātiecas uz direktīavs mērķa sasniegšanu un jāpielāgo Latvijas tiesiskais regulējums un politika direktīvas tiesību normām. Jo īpaši tas ir svarīgi, ņemot vērā to, ka Latvijas valsts noteiktā minimālā alga ir zemākā Baltijas valstīs un viena nozemākajām ES. Latvijā, kurā jau šobrīd ir viens no augstākajiem ienākumu nevienlīdzības līmeņiem būtu jāizmanto direktīvā paredzētie kritēriji jau šogad un jāparedz kritērijs, ka minimālā alga nevar būt mazāka par 50% no vidējās algas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vadoties pēc direktīvas rekomendācijās noteiktā līmeņa, kas nosaka minimālās algas līmeni 50% apmērā no vidējās algas tautsaimniecībā iepriekšējā gadā, jau šobrīd ir paredzams, ka limdevēja ieplānota minimālā alga 700 eiro mēnesī nesasniegs rekomendācijās noteikto līmeni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4.sadaļas 8.punktu pēc teikuma ”Cienīga darba nodrošināšanai no 2023. gada noteikta minimālā mēneša darba alga 620 EUR apmērā” lūdzam papildināt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likums paredz, ka 2024. gadā minimālās alga tiks paaugstināta līdz 700 eiro mēnesī, tomēr patēriņa cenu pieauguma un kopējā darba algu līmeņa pieauguma ietekmē ir paredzams, ka šis minimālās darba algas līmenis nesasniegs ES Direktīvas par adekvātu minimālo algu ES uzstādītās rekomendācijas un kritērijus. Lai noteiktu adekvātu minimālās darba algas līmeni un veicinātu ienākumu nevienlīdzības mazināšanos, kā arī trūcīgo strādājošo skaitu, minimālās algas līmenis kopā ar sociālajiem partenriem ir jāpārskata arī 2023.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4.sadaļas 8.punktu pēc teikuma ”Cienīga darba nodrošināšanai no 2023. gada noteikta minimālā mēneša darba alga 620 EUR apmērā” lūdzam papildināt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likums paredz, ka 2024. gadā minimālās alga tiks paaugstināta līdz 700 eiro mēnesī, tomēr patēriņa cenu pieauguma un kopējā darba algu līmeņa pieauguma ietekmē ir paredzams, ka šis minimālās darba algas līmenis nesasniegs ES Direktīvas par adekvātu minimālo algu ES uzstādītās rekomendācijas un kritērijus. Lai noteiktu adekvātu minimālās darba algas līmeni un veicinātu ienākumu nevienlīdzības mazināšanos, kā arī trūcīgo strādājošo skaitu, minimālās algas līmenis kopā ar sociālajiem partenriem ir jāpārskata arī 2023.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Direktīvas (ES) 2022/2041 (2022. gada 19. oktobris) par adekvātām minimālajām algām Eiropas Savienībā pārņemšana dalībvalstīm ir jānodrošina līdz 2024. gada 15. novembrim. Diskusijas par Direktīvas pārņemšanu ir tikai uzsākušās, tāpēc nav skaidrs pamatojums par 2023. gadā noteiktās minimālās algas neatbilstību Direktīvas prasībām. Viedoklis par minimālās algas izmaiņām un atbilstību var tikt izteikts tikai pēc Direktīvas pārņemšanas, līdz ar to - pēc vienošanās panākšanas par kritērijiem tās noteikšanai. Labklājības ministrija informāciju par direktīvas prasību pārņemšanu un plānoto darbu ir diskutējusi NTSP apakšpadomēs, kā arī Valdības rīcības plāna izstrādes laikā, saskaņojot ar sociālajiem partneriem atbilstošus pasākumus (apvienotā NTSP apakšpadomju sēde 12.01.2023.), sociālie partneri tika aicināti arī uz pirmo Direktīvas pārņemšanas darba grupu, kas notika 16. martā, aktīvi piedaloties sanāksmes diskusijās.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sadaļa "Progress Ano ilgtspējīgas attīstības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Ražošana, inovācija un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priekšpēdējo paragrāfu lūdzam papildināt ar norādi, ka tiks stiprināta dzelzceļa infrastruktūra un tiks veidoti atiecīgi ieguldījumi. Uzsveram, ka dzelzceļa tramnsporta lomas stiprināšana nav iespējama bez attiecīgiem ieguldījumiem dzelzceļa inftastruktūrā.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Tiks turpināts attīstīt videi draudzīgu un modernu valsts infrastruktūru, t. sk. Eiropas transporta tīklu, elektrības, IKT, atkritumu pārstrādes u.c. infrastruktūru. Tiks turpināti ieguldījumi valsts autoceļu sakārtošanā, </w:t>
            </w:r>
            <w:r w:rsidR="00000000" w:rsidRPr="00000000" w:rsidDel="00000000">
              <w:rPr>
                <w:b w:val="1"/>
                <w:i w:val="1"/>
                <w:u w:val="single"/>
                <w:rtl w:val="0"/>
              </w:rPr>
              <w:t xml:space="preserve">dzelzceļa infrastruktūras uzturēšanā,</w:t>
            </w:r>
            <w:r w:rsidR="00000000" w:rsidRPr="00000000" w:rsidDel="00000000">
              <w:rPr>
                <w:i w:val="1"/>
                <w:rtl w:val="0"/>
              </w:rPr>
              <w:t xml:space="preserve"> stiprināta dzelzceļa kā sabiedriskā transporta loma, kā arī turpināsies elektronisko pakalpojumu kvalitātes un pieejamības  uzlabošana. Lai mazinātu atšķirības starp reģioniem, valsts tajos ieguldīs līdzekļus uzņēmējdarbības atbalsta infrastruktūras attīstībai un reģionālo nevienlīdzības šķēršļu mazināšanai, pakalpojumu efektivitātes un sasniedzamības uzlabošanai atbilstoši demogrāfijas izaicinājumiem un atbilstoši administratīvi teritoriālajai struktūrai, tai skaitā atbalstot viedo risinājumu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turpināts attīstīt videi draudzīgu un modernu valsts infrastruktūru, t. sk. Eiropas transporta tīklu, elektrības, IKT, atkritumu pārstrādes u.c. infrastruktūru. Tiks turpināti ieguldījumi valsts autoceļu sakārtošanā, </w:t>
            </w:r>
            <w:r w:rsidR="00000000" w:rsidRPr="00000000" w:rsidDel="00000000">
              <w:rPr>
                <w:b w:val="1"/>
                <w:i w:val="1"/>
                <w:u w:val="single"/>
                <w:rtl w:val="0"/>
              </w:rPr>
              <w:t xml:space="preserve">dzelzceļa infrastruktūras uzturēšanā</w:t>
            </w:r>
            <w:r w:rsidR="00000000" w:rsidRPr="00000000" w:rsidDel="00000000">
              <w:rPr>
                <w:rtl w:val="0"/>
              </w:rPr>
              <w:t xml:space="preserve">, stiprināta dzelzceļa kā sabiedriskā transporta loma, kā arī turpināsies elektronisko pakalpojumu kvalitātes un pieejamības  uzlabošana. Lai mazinātu atšķirības starp reģioniem, valsts tajos ieguldīs līdzekļus uzņēmējdarbības atbalsta infrastruktūras attīstībai un reģionālo nevienlīdzības šķēršļu mazināšanai, pakalpojumu efektivitātes un sasniedzamības uzlabošanai atbilstoši demogrāfijas izaicinājumiem un atbilstoši administratīvi teritoriālajai struktūrai, tai skaitā atbalstot viedo risinājumu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papildināts un izteikts šādā redakcijā: "Plānots pārbūvēt valsts galvenos autoceļus TEN-T tīklā, izbūvēt jaunus valsts galveno autoceļu posmus, modernizēt/izveidot jaunu TEN-T tīkla dzelzceļa infrastruktūru, modernizēt dzelzceļa pasažieru infrastruktūru, izbūvēt/pārbūvēt Rīgas pilsētas transporta infrastruktūru, nodrošinot integrētas transporta sistēmas veidošanu, attīstīt valstspilsētu maģistrālās ielas un esošos maršrutus, attīstīt lielo ostu publisko infrastruktūru, kā arī attīstīt augstas veiktspējas tīklu infrastruktūru pēdējās jūdzes pieslēgumu nodrošināšanai, izbūvēt vidējās jūdzes optiskā tīkla infrastruktūru, izveidot elektronisko sakaru tīklu pasīvo infrastruktūru 5G savienojamības izvēršanai gar TEN-T tīkla sauszemes transporta ceļiem, kā arī nodrošināt valsts elektronisko sakaru pakalpojumu centra kiberaizsardzību."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Teksts 55.lpp., kas ateicas uz e-lietas platformas attīštību daļēji nav korekts. Ierosinām veikt tehnisko precizējumus, skat. piedāvāto redakciju zemāk.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Tehniski e-lieta ir platfroma uz kura pamata tiek būvētas informācijas sistēmas un risinājumi, ar to nav korekti definēt IIIS2 risinājumu, ka platfromu.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E-lietas portālā virtuāla asistenta ieviešana netiek plānota (tuvākajā plānošanas perspektīvā).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E-lieta ir viena no digitālās transformācijas iniciatīvām, kura vairākos posmos līdz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gadam paredz pakāpenisku pāreju uz elektronisku izmeklēšanas, tiesvedības un nolēmumu izpildes procesu, pirmajā e-lietas ieviešanas posmā, izveidojot vienotu elektronisku tiesvedības procesu un nodrošinot informācijas apmaiņu starp tiesām, prokuratūru, procesa dalībniekiem un citām ar tiesvedību saistītu iestāžu informācijas sistēmām. E-lietas programmas turpmākajos posmos plānots piesaistīt Iekšlietu ministrijas Informācijas centru un integrējoties e-lietas platformai ar Iekšlietu ministrijas Informācijas centra IIIS2 projekta ietvaros </w:t>
            </w:r>
            <w:r w:rsidR="00000000" w:rsidRPr="00000000" w:rsidDel="00000000">
              <w:rPr>
                <w:b w:val="1"/>
                <w:rtl w:val="0"/>
              </w:rPr>
              <w:t xml:space="preserve">izstrādātajam </w:t>
            </w:r>
            <w:r w:rsidR="00000000" w:rsidRPr="00000000" w:rsidDel="00000000">
              <w:rPr>
                <w:b w:val="1"/>
                <w:strike w:val="1"/>
                <w:rtl w:val="0"/>
              </w:rPr>
              <w:t xml:space="preserve">o platformu</w:t>
            </w:r>
            <w:r w:rsidR="00000000" w:rsidRPr="00000000" w:rsidDel="00000000">
              <w:rPr>
                <w:rtl w:val="0"/>
              </w:rPr>
              <w:t xml:space="preserve"> un pilnveidotajām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Saziņa ar klientu padarīta pieejamāka un draudzīgāka, nodrošinot informācijas par pakalpojumiem tūlītēju sniegšanu jebkurā diennakts laikā, proti turpmāk būs iespēja novirzīt darbiniekus komplicētāku jautājumu risināšanā, jo ieviesti virtuālie asistenti tīmekļa vietnē www.zemesgramata.lv, tīmekļa vietnē izsoles.ta.gov.lv. </w:t>
            </w:r>
            <w:r w:rsidR="00000000" w:rsidRPr="00000000" w:rsidDel="00000000">
              <w:rPr>
                <w:b w:val="1"/>
                <w:strike w:val="1"/>
                <w:rtl w:val="0"/>
              </w:rPr>
              <w:t xml:space="preserve">un plānots trešo virtuālo asistentu ieviest e-lietas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 ir viena no digitālās transformācijas iniciatīvām, kura vairākos posmos līdz 2026. gadam paredz pakāpenisku pāreju uz elektronisku izmeklēšanas, tiesvedības un nolēmumu izpildes procesu, pirmajā e-lietas ieviešanas posmā, izveidojot vienotu elektronisku tiesvedības procesu un nodrošinot informācijas apmaiņu starp tiesām, prokuratūru, procesa dalībniekiem un citām ar tiesvedību saistītu iestāžu informācijas sistēmām. E-lietas programmas turpmākajos posmos plānots piesaistīt Iekšlietu ministrijas Informācijas centru un integrējoties e-lietas platformai ar Iekšlietu ministrijas Informācijas centra IIIS2 projekta ietvaros izstrādātajām un pilnveidotajām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Saziņa ar klientu padarīta pieejamāka un draudzīgāka, nodrošinot informācijas par pakalpojumiem tūlītēju sniegšanu jebkurā diennakts laikā, proti turpmāk būs iespēja novirzīt darbiniekus komplicētāku jautājumu risināšanā, jo ieviesti virtuālie asistenti tīmekļa vietnē www.zemesgramata.lv, tīmekļa vietnē izsoles.ta.gov.lv.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w:t>
            </w:r>
            <w:r w:rsidR="00000000" w:rsidRPr="00000000" w:rsidDel="00000000">
              <w:rPr>
                <w:b w:val="1"/>
                <w:rtl w:val="0"/>
              </w:rPr>
              <w:t xml:space="preserve">4.Kvalitatīva izglītība</w:t>
            </w:r>
            <w:r w:rsidR="00000000" w:rsidRPr="00000000" w:rsidDel="00000000">
              <w:rPr>
                <w:rtl w:val="0"/>
              </w:rPr>
              <w:t xml:space="preserve"> dzēst teikumu - "Augstākās izglītības monitoringa dati uzrāda, kā nodarbinātības, tā arī ienākumu tendenču dinamikas konsekventu augstākās izglītības vērtības pieaugumu gan tautsaimniecības, gan indivīda līmenī.", kas tekstā ir iekļauts divas reizes pēc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kas dublējas, ir dzēsts Progresa ziņojuma 4.nodaļas 4.punktā.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ka 2.1.2.sadaļā “Publiskās investīcijas zaļās un digitālās pārkārtošanas veicināšanai”, 17.lpp. norādītais atbalstāmo komersantu skaits uzņēmumu digitālās transformācijas sekmēšanai nodrošinās Padomes īstenošanas lēmumā par Latvijas Atveseļošanas un noturības plāna novērtējuma apstiprināšanu (CID) noteikto 2.komponentes “Digitālā transformācija”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Retorisks komentārs. Pieņemts zināšanai un tiks ņemts vērā turpmākajā politikas plānošanas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veicot papildinājumus progresa ziņojuma ir ieviestas divas vienādas rindkopas 2.3.apakšpunkta pēdējā rinkopa un 4. punkta 12. apašpunkta pēdējā rindkopa. Lūdzam pārskatīt attiecīgās rindkopas un novērst informācijas dublēšanu.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Progresa ziņojuma 4.nodaļas 12.punkta pēdējā rindkopā ir atspoguļota atsauce uz 2.3. nodaļu, un teikums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MVU investīcijas savu resursu efektīvākā izmantošanā pakalpojumos un ražošanā, ES kohēzijas politikas programmas 2021.–2027. gadam ietvaros tiks īstenots pasākums “Aprites ekonomikas principu ieviešana” (Kohēzijas fonda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milj. euro) – skat. arī 2.3.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- 20.04.2023.)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4.nodaļas 11.punkta ""Ilgtspējīgas pilsētas un kopienas" 3.rindkopas teikumā ietvertos datus par īstenotajiem būvdarbiem laika posmā līdz 2022.gada beigām atbilstoši VSIA "Latvijas Valsts ceļi" sniegtajai aktuālajai informācijai, izsakot teikumu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līdz 2022.gada beigām tika īstenoti būvdarbi uz 827 km valsts reģionālajiem un vietējiem autoceļiem. Līdz 2025.gadam ar ANM atbalstu plānots turpināt iesākto un īstenot būvdarbus ceļa posmos vismaz 210 km garumā.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precizēts un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līdz 2022. gada beigām tika īstenoti būvdarbi uz 827 km valsts reģionālajiem un vietējiem autoceļiem. Līdz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gadam ar ANM atbalstu plānots turpināt iesākto un īstenot būvdarbus ceļa posmos vismaz 210 km garumā."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4.sadaļas PROGRESS ANO ILGTSPĒJĪGAS ATTĪSTĪBAS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Samazināta nevienlīdzība 4.rindkopa (50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nevienlīdzības izdevumu (out of pocket expenditures) dimensiju un iespēju vienlīdzības nostiprināšanu risina mērķēti pakalpojumi, kā arī taisnīgāka pieejamība un piekļūstamība visiem pakalpojumiem.  Piemēram, asistenta pakalpojumu pieaugums pa 70% mazina izdevumus “no kabatas”, gan arī palielina iespējas gūt izglītību, strādāt un kvalitatīvi pavadīt laiku personām ar invaliditāti."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tiešmaksājumu izdevumu (out of pocket expenditures) un iespēju vienlīdzības nostiprināšanu risina mērķēti pakalpojumi, kā arī taisnīgāka pieejamība un piekļūstamība visiem pakalpojumiem. Piemēram, asistenta pakalpojuma pieaugums par 70% samazina tiešmaksājumu izdevumus, gan arī palielina iespējas gūt izglītību, strādāt un kvalitatīvi pavadīt laiku personām ar invaliditāti."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4.sadaļas PROGRESS ANO ILGTSPĒJĪGAS ATTĪSTĪBAS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Samazināta nevienlīdzība 4.rindkopa (50 lpp.)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tiešmaksājumu izdevumu (out of pocket expenditures) un iespēju vienlīdzības nostiprināšanu risina mērķēti pakalpojumi, kā arī taisnīgāka pieejamība un piekļūstamība visiem pakalpojumiem. Piemēram, asistenta pakalpojuma pieaugums par 70% samazina tiešmaksājumu izdevumus, gan arī palielina iespējas gūt izglītību, strādāt un kvalitatīvi pavadīt laiku personām ar invaliditāti."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4.sadaļas PROGRESS ANO ILGTSPĒJĪGAS ATTĪSTĪBAS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Samazināta nevienlīdzība 2.rindkopa (50.lpp.)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un otrās kvintiles straujāku pieaugumu nodrošināšanai, 2021. gadā gandrīz divkāršoti garantēto minimālo ienākumu līmeņa pabalsti, t.sk. būtiski palielināti minimālā vecuma un invaliditātes pensija. Valdība apņēmusies regulāri pārskatīt dažādu grupu minimālo ienākumu līmeni, to piesaistot mājsaimniecības ienākuma mediānai.”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un otrās kvintiles straujāku pieaugumu nodrošināšanai 2021. gadā gandrīz divkāršoti minimālie ienākumi, t.sk. būtiski palielināti minimālā vecuma un invaliditātes pensijas apmēri. Valdība apņēmusies regulāri pārskatīt dažādām grupām piemērotos minimālo ienākumu sliekšņus, tos piesaistot minimālo ienākumu mediānai."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4.sadaļas PROGRESS ANO ILGTSPĒJĪGAS ATTĪSTĪBAS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Samazināta nevienlīdzība 2.rindkopa (50.lpp.)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un otrās kvintiles straujāku pieaugumu nodrošināšanai 2021. gadā gandrīz divkāršoti minimālie ienākumi, t.sk. būtiski palielināti minimālā vecuma un invaliditātes pensijas apmēri. Valdība apņēmusies regulāri pārskatīt dažādām grupām piemērotos minimālo ienākumu sliekšņus, tos piesaistot minimālo ienākumu mediānai."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4.sadaļas PROGRESS ANO ILGTSPĒJĪGAS ATTĪSTĪBAS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Novērsta nabadzība 42 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situāciju iedzīvotājiem ar viszemākajiem ienākumiem, gandrīz divkāršoti garantēto minimālo ienākumu līmeņa pabalsti no 2021.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turpinās pārskatīt dažādu grupu minimālo ienākumu sliekšņus, kas izriet no mājsaimniecības ienākuma mediānas.”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abus teikumus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situāciju iedzīvotājiem ar viszemākajiem ienākumiem, gandrīz divkāršoti minimālie ienākumi no 2021.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turpinās pārskatīt dažādu grupu minimālo ienākumu sliekšņus, kas izriet no minimālo ienākumu mediānas."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4.sadaļas PROGRESS ANO ILGTSPĒJĪGAS ATTĪSTĪBAS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Novērsta nabadzība 42. lpp. abi teikumi izteikti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situāciju iedzīvotājiem ar viszemākajiem ienākumiem, gandrīz divkāršoti minimālie ienākumi no 2021.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turpinās pārskatīt dažādu grupu minimālo ienākumu sliekšņus, kas izriet no minimālo ienākumu mediānas."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4.sadaļas PROGRESS ANO ILGTSPĒJĪGAS ATTĪSTĪBAS MĒRĶU SASNIEGŠANĀ 41.lpp. rindkopa: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dziļā materiālā nabadzība un ekonomiskā spriedze krīt, nabadzība gados veciem cilvēkiem turpina pieaugt un nevienlīdzība starp indivīdiem un reģioniem joprojām ir augsta, kas negatīvi ietekmē uzticēšanos un saliedētību sabiedrībā. Daļēji nabadzība un sociālā nevienlīdzība ir paaudzes faktors, bet daļēji tas ir atkarīgs no mūsu ekonomikas veiktspējas sabalansēšanas ar sociālo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dziļā materiālā nenodrošinātība un ekonomiskā spriedze mazinās, nabadzības risks vecāka gadagājuma cilvēkiem turpina pieaugt un nevienlīdzība starp indivīdiem un reģioniem joprojām ir augsta, kas negatīvi ietekmē uzticēšanos un saliedētību sabiedrībā. Nabadzības, ienākumu un iespēju nevienlīdzības cēlonis daļēji ir paaudzes faktors, bet tas ir arī atkarīgs no mūsu ekonomikas veiktspējas sabalansēšanas ar sociālo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4.sadaļas PROGRESS ANO ILGTSPĒJĪGAS ATTĪSTĪBAS MĒRĶU SASNIEGŠANĀ 41.lpp. rindkopa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dziļā materiālā nenodrošinātība un ekonomiskā spriedze mazinās, nabadzības risks vecāka gadagājuma cilvēkiem turpina pieaugt un nevienlīdzība starp indivīdiem un reģioniem joprojām ir augsta, kas negatīvi ietekmē uzticēšanos un saliedētību sabiedrībā. Nabadzības, ienākumu un iespēju nevienlīdzības cēlonis daļēji ir paaudzes faktors, bet tas ir arī atkarīgs no mūsu ekonomikas veiktspējas sabalansēšanas ar sociālo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iesakām pārskatīt progresa ziņojumā lietotos saīsinājumus un to pieteikšanu, nolūkā nodrošināt konsekventu pieeju saīsinājumu pieteikšanai.  Norādām, ka daļa saīsinājumu šobrīd definēti sadaļā "Saīsinājumi, mērvienības un nosacītie apzīmējumi", citi tiek skaidroti tekstā aiz skaidrojamā vārda lietojot "()", citi tiek skaidroti zemsvītras piezīmēs. Citi, savukārt, netiek skaidroti, piemēram, saīsinājums "TB", '"STI", "EU-SILC"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juridiskās tehnikas prasībām, saīsinājumus piesaka pirmajā vietā juridiskajā tekstā, kur lietots attiecīgais saīsināmais jēdziens vai termins, piemēram, Rīgas Austrumu klīniskā universitātes slimnīca (turpmāk – RAKUS).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pieteiktie saīsinājumi konsekventi lietojami tālāk dokumenta tekstā. Attiecīgi iesakām pārskatīt progresa ziņojumā pieteiktos saīsinājumus, lietotos terminus un veikt nepieciešamos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Saīsinājumi pārskatīti. Uzlabots vienots saīsinājumu atšifrēšanas stils. Ja tekstā saīsinājums tiek lietots pirmo reizi aiz atbilstošo vārdu atšifrējuma, saīsinājums ir atspoguļots iekavās, piemēram, "Rīgas Austrumu klīniskā universitātes slimnīca (turpmāk – RAKUS)".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"TB" un "STI" saīsinājumi atšifrēti tekstā šādi: "tuberkulozes un seksuālās transmisijas infekcija".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"EU-SILC" saīsinājums tekstā ir atšifrēts un izteikts šādā redakcijā: "Ienākumu un dzīves apstākļu apsekojums (EU-SILC)".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informatīvā ziņojuma "2023. gada Progresa ziņojums par Latvijas nacionālās reformu programmas īstenošanu" visu lappušu numerāciju (lappuses ir sanumurētas tikai līdz 41.lpp.)".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Lapaspušu numerācija nodrošināta visās lapaspusēs, izņemot pirmo un pēdējo.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informatīvā ziņojuma 4.nodaļas 11.apakšsadaļu  ar jaunu rindkopu par VARAM plānotām darbībām mājokļu pieejamības nodrošināšanā, dibinot jaunu valsts kapitālsabiedrību “Mājokļu fonda institūcija”. Rindkopu iekļaujot 52. lpp pēc teikuma - "Atbilstoši grozījumiem "Energoresursu cenu ārkārtēja pieauguma samazinājuma pasākumu likumā", minēto valsts atbalstu paredzēts sniegt līdz 2023. gada 30.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ilgtermiņa risinājumiem ir 2022. gada 20. jūlija Ministru kabineta rīkojumā Nr. 537 “Par valsts atbalstu pašvaldībām, lai nodrošinātu iedzīvotājiem kvalitatīvus un pieejamus īres mājokļus” plānotās jaunas valsts kapitālsabiedrības “Mājokļu fonda institūcijas” dibināšana. Dibinot “Mājokļu fonda institūciju” tiek plānots būtiski uzlabot mājokļu pieejamību Latvijā, uzbūvējot vismaz 4000 dzīvokļu līdz 2035. gadam. Ar šo VARAM atbalsta mehānismu plānots novērst tirgus nepilnību – situāciju, ka tirgus nav spējīgs nodrošināt sabiedrības interešu īstenošanu attiecīgajā jomā, ir identificēts konkrēta pakalpojuma trūkums. Tirgus nepilnību pamato OECD veiktie pētījumi, Eiropas Komisijas ziņojumi par Latviju, Latvijas ekonomiskie attīstības pārskati, kā arī VARAM 2021. gadā veiktais statistikas datu apkopojums par komercbanku aizdevumiem nekustamajos īpašumos un būvniecībā. Tiek plānots, ka “Mājokļu fonda institūcija” nodrošinās īres mājokļu būvniecību, vienlaikus ikgadēji pārdodot 5% mājokļu no kopējā īres fonda.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Progresa ziņojuma 52.lpp. pēc teikuma - "Atbilstoši grozījumiem "Energoresursu cenu ārkārtēja pieauguma samazinājuma pasākumu likumā", minēto valsts atbalstu paredzēts sniegt līdz 2023. gada 30. aprīlim" papildināta ar jaunu rindkopu, kas ir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ilgtermiņa risinājumiem ir 2022. gada 20. jūlija Ministru kabineta rīkojumā Nr. 537 “Par valsts atbalstu pašvaldībām, lai nodrošinātu iedzīvotājiem kvalitatīvus un pieejamus īres mājokļus” plānotās jaunas valsts kapitālsabiedrības “Mājokļu fonda institūcijas” dibināšana. Dibinot “Mājokļu fonda institūciju” tiek plānots būtiski uzlabot mājokļu pieejamību Latvijā, uzbūvējot vismaz 4000 dzīvokļu līdz 2035. gadam. Ar šo VARAM atbalsta mehānismu plānots novērst tirgus nepilnību – situāciju, ka tirgus nav spējīgs nodrošināt sabiedrības interešu īstenošanu attiecīgajā jomā, ir identificēts konkrēta pakalpojuma trūkums. Tirgus nepilnību pamato OECD veiktie pētījumi, EK ziņojumi par Latviju, Latvijas ekonomiskie attīstības pārskati, kā arī VARAM 2021. gadā veiktais statistikas datu apkopojums par komercbanku aizdevumiem nekustamajos īpašumos un būvniecībā. Tiek plānots, ka “Mājokļu fonda institūcija” nodrošinās īres mājokļu būvniecību, vienlaikus ikgadēji pārdodot 5% mājokļu no kopējā īres fonda."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- 06.04.2023.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Veselības ministrija Ekonomikas ministrijai ir sniegusi informāciju par nacionālo rekomendāciju izpildi, sniedzot detalizētu pārskatu par 2022.gadā veiktajiem un 2023.gadā plānotajiem pasākumiem veselības sistēmas adekvātuma nodrošināšanai, kā arī noturības un pieejamības stiprināšanai, un par Veselības ministrijas sniegto informāciju tika saņemts viedoklis no Latvijas Brīvo arodbiedrību savienības, lūdzam akcentēt, ka konkrētā informācija ir Latvijas Brīvo arodbiedrību savienības viedoklis.Vienlaikus aicinām papildināt informāciju ar faktu, ka darba samaksu nepieciešams palielināt arī stacionārās ārstniecības iestādēs strādājošiem veselības aprūpes speciālistiem - farmaceitiem un farmaceitu asistentiem.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plānots, ka vidējā darba samaksa ārstiem un funkcionālajiem speciālistiem tarifā tiks palielināta līdz 2 083 euro mēnesī (kas ir par 6,11% vairāk, salīdzinot ar 2022. gadu), ārstniecības un pacientu aprūpes personām un funkcionālo speciālistu asistentiem līdz 1 303 euro mēnesī (par 10,14% vairāk, salīdzinot ar 2022. gadu), savukārt ārstniecības un pacientu aprūpes atbalsta personām līdz 865 euro mēnesī (par 16,11% vairāk, salīdzinot ar 2022. gadu). 2023. gada plānotais vidējās darba samaksas pieaugums nozarē ir smagās sarunās starp Latvijas Veselības un sociālās aprūpes darbinieku arodbiedrības un Latvijas Brīvo arodbiedrību savienības no vienas puses un VM no otras puses panāktais kompromiss. Taču tas joprojām ir zemāks nekā konceptuālajā ziņojumā “Par veselības aprūpes sistēmas reformu”[1]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Apstiprināts ar 2017.gada 7. augusta MK rīkojumu Nr. 394 “Par konceptuālo ziņojumu "Par veselības aprūpes sistēmas reformu"”: https://likumi.lv/ta/id/292718-par-konceptualo-zinojumu-par-veselibas-aprupes-sistemas-reformu-.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plānots, ka vidējā darba samaksa ārstiem un funkcionālajiem speciālistiem tarifā tiks palielināta līdz 2 083 euro mēnesī (kas ir par 6,11% vairāk, salīdzinot ar 2022. gadu), ārstniecības un pacientu aprūpes personām un funkcionālo speciālistu asistentiem līdz 1 303 euro mēnesī (par 10,14% vairāk, salīdzinot ar 2022. gadu), savukārt ārstniecības un pacientu aprūpes atbalsta personām līdz 865 euro mēnesī (par 16,11% vairāk, salīdzinot ar 2022. gadu). Latvijas Brīvo arodbiedrību savienība sniedza viedokli par  atalgojuma palielinājumu 2023.gadā, norādot, ka 2023. gada plānotais vidējās darba samaksas pieaugums nozarē ir smagās sarunās starp Latvijas Veselības un sociālās aprūpes darbinieku arodbiedrības un Latvijas Brīvo arodbiedrību savienības no vienas puses un VM no otras puses panāktais kompromiss. Taču tas joprojām ir zemāks nekā konceptuālajā ziņojumā “Par veselības aprūpes sistēmas reformu” noteiktais. Darba samaksu nepieciešams palielināt arī stacionārās ārstniecības iestādēs strādājošiem veselības aprūpes speciālistiem - farmaceitiem un farmaceitu asistentiem.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Teikuma redakcija precizēta un papildināta, un rindkopa izteikta šādā redakcijā: "2023. gadā plānots, ka vidējā darba samaksa ārstiem un funkcionālajiem speciālistiem tarifā tiks palielināta līdz 2 083 euro mēnesī (kas ir par 6,11% vairāk, salīdzinot ar 2022. gadu), ārstniecības un pacientu aprūpes personām un funkcionālo speciālistu asistentiem līdz 1 303 euro mēnesī (par 10,14% vairāk, salīdzinot ar 2022. gadu), savukārt ārstniecības un pacientu aprūpes atbalsta personām līdz 865 euro mēnesī (par 16,11% vairāk, salīdzinot ar 2022. gadu). Latvijas Brīvo arodbiedrību savienība sniedza viedokli par atalgojuma palielinājumu 2023. gadā, norādot, ka 2023. gada plānotais vidējās darba samaksas pieaugums nozarē ir smagās sarunās starp Latvijas Veselības un sociālās aprūpes darbinieku arodbiedrības un Latvijas Brīvo arodbiedrību savienības no vienas puses un VM no otras puses panāktais kompromiss. Taču tas joprojām ir zemāks nekā konceptuālajā ziņojumā “Par veselības aprūpes sistēmas reformu”[1] noteiktais. Darba samaksu nepieciešams palielināt arī stacionārās ārstniecības iestādēs strādājošiem veselības aprūpes speciālistiem – farmaceitiem un farmaceitu asistentiem.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Apstiprināts ar 2017.gada 7. augusta MK rīkojumu Nr. 394 “Par konceptuālo ziņojumu "Par veselības aprūpes sistēmas reformu"”: https://likumi.lv/ta/id/292718-par-konceptualo-zinojumu-par-veselibas-aprupes-sistemas-reformu-."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- 06.04.2023.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Kitija Kravale (VM) Tiesību aktu nodaļa "Lūdzu papildināt sadaļā "Veselības nozares digitalizācija"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priekšnosacījumus kvalitatīviem, drošiem un pēc vienotiem nosacījumiem sniegtiem telemedicīnas pakalpojumiem Latvijā, VM 2023. gadā Digitālās veselības padomes ietvaros izveidoja ekspertu darba grupu, kas strādās pie Eiropas Komisijas Strukturālo reformu atbalsta ģenerāldirektorāta atbalstītajā projektā Nr. SRSS/2018/01/FWC/002 “Slimnīcas pakalpojumu, telemedicīnas un integrētās aprūpes turpmāka attīstība” (Further development of hospital services, telemedicine and integrated care) sniegto rekomendāciju īstenošanas, izstrādājot  praktiskās vadlīnija ārstiem telekonsultāciju pakalpojumu sniegšanai, telekonsultāciju platformu tehniskās un drošības prasības, kā arī sagatavojot telemedicīnas pakalpojumu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"Veselības nozares digitalizācija" papildināta ar šādu rindkopu: "Lai nodrošinātu priekšnosacījumus kvalitatīviem, drošiem un pēc vienotiem nosacījumiem sniegtiem telemedicīnas pakalpojumiem Latvijā, VM 2023. gadā Digitālās veselības padomes ietvaros izveidoja ekspertu darba grupu, kas strādās pie EK Strukturālo reformu atbalsta ģenerāldirektorāta atbalstītajā projektā Nr. SRSS/2018/01/FWC/002 “Slimnīcas pakalpojumu, telemedicīnas un integrētās aprūpes turpmāka attīstība” sniegto rekomendāciju īstenošanas, izstrādājot praktiskās vadlīnijas ārstiem telekonsultāciju pakalpojumu sniegšanai, telekonsultāciju platformu tehniskās un drošības prasības, kā arī sagatavojot telemedicīnas pakalpojumu tiesisko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- 06.04.2023.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Kasparenko (VM) Nozares budžeta plānošanas departaments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progresa ziņojuma tekstu  23..un 24.lpp  "Lai nodrošinātu starptautiski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salīdzināmu onkoloģisko datu vākšanu un analīzi, 2022. gadā tika uzsākta un 2023. gadā turpināta nacionālā Vēža reģistra modernizācija, kas ietver gan normatīvā regulējuma izstrādi, gan tehnisko risinājumu nodrošināšanu, tai skaitā, vēža reģistra datu pieejamību valsts E-veselības sistēmā. Modernizēto Nacionālo Vēža reģistru plānots ieviest līdz 2024. gadam un piešķirtais papildu valsts budžeta finansējums risinājuma izstrādei ir 966,4 tūkst. euro. " izteikt tekstu  šādā redakcijā: "Lai nodrošinātu starptautiski salīdzināmu onkoloģisko datu vākšanu un analīzi, 2022. gadā tika uzsākta un 2023. gadā turpināta nacionālā Vēža reģistra modernizācija, kas ietver gan normatīvā regulējuma izstrādi, gan tehnisko risinājumu nodrošināšanu, tai skaitā, vēža reģistra datu pieejamību valsts E-veselības sistēmā. Modernizēto Nacionālo Vēža reģistru plānots ieviest līdz 2024. gadam.  Attiecīgi pirmās kārtas faktiskās izstrādes izmaksas sastādīja 966,4 tūkst.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izteikts šādā redakcijā: "Lai nodrošinātu starptautiski salīdzināmu onkoloģisko datu vākšanu un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tika uzsākta un 2023. gadā turpināta nacionālā Vēža reģistra modernizācija, kas ietver gan normatīvā regulējuma izstrādi, gan tehnisko risinājumu nodrošināšanu, tai skaitā, vēža reģistra datu pieejamību valsts E-veselības sistēmā. Modernizēto Nacionālo Vēža reģistru plānots ieviest līdz 2024. gadam.  Attiecīgi pirmās kārtas faktiskās izstrādes izmaksas sastādīja 966,4 tūkst.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56. lpp sadaļas "17. Sadarbība" otro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ir trīskāršots Ārlietu ministrijas pārvaldītais divpusējās attīstības sadarbības budžets, sasniedzot 1,36 milj. euro. 2022. gadā kopumā ir īstenoti 39 projekti, izveidota Attīstības sadarbības aģentūra, paplašināts arī atbalsta ģeogrāfiskais tvērums, kur līdzās tradicionālajām attīstības sadarbības palīdzības saņēmējiem – Ukrainai, Moldovai, Gruzijai , kā arī Centrālāzijas reģiona valstīm,  Latvija pirmo reizi īstenoja projektu Āfrikas kontinentā – Namībijā un Zambijā. Prioritārie sadarbības virzieni bija demokrātijas stiprināšana, laba pārvaldība, medijpratība, dzimumu līdztiesība, kvalitatīva izglītība, vides un klimata, kā arī viedā uzņēmējdarbība un digitalizācija. Ārlietu ministrija nodrošināja Latvijas divpusējās attīstības sadarbības aktivitāšu sasaisti ar citu donoru aktivitātēm, veicinot Latvijas sniegtā atbalsta ilgtspēju, efektivitāti un redzamību, jo īpaši labas pārvaldības jomā, tostarp jauno profesionāļu apmācībās, publisko pakalpojumu nodrošināšanas uzlabošanā, revīzijas iestāžu kapacitātes veicināšanā. Savukārt, oficiālā attīstības palīdzība absolūtos skaitļos sasniedza vairāk nekā 94 milj. euro (dati ir provizoriski un vēl tiks precizēti).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Progresa ziņojuma 56. lpp sadaļas "17. Sadarbība" otrā rindkopa ir precizēta un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ir trīskāršots Ārlietu ministrijas pārvaldītais divpusējās attīstības sadarbības budžets, sasniedzot 1,36 milj. euro. 2022. gadā kopumā ir īstenoti 39 projekti, izveidota Attīstības sadarbības aģentūra, paplašināts arī atbalsta ģeogrāfiskais tvērums, kur līdzās tradicionālajām attīstības sadarbības palīdzības saņēmējiem – Ukrainai, Moldovai, Gruzijai , kā arī Centrālāzijas reģiona valstīm,  Latvija pirmo reizi īstenoja projektu Āfrikas kontinentā – Namībijā un Zambijā. Prioritārie sadarbības virzieni bija demokrātijas stiprināšana, laba pārvaldība, medijpratība, dzimumu līdztiesība, kvalitatīva izglītība, vides un klimata, kā arī viedā uzņēmējdarbība un digitalizācija. Ārlietu ministrija nodrošināja Latvijas divpusējās attīstības sadarbības aktivitāšu sasaisti ar citu donoru aktivitātēm, veicinot Latvijas sniegtā atbalsta ilgtspēju, efektivitāti un redzamību, jo īpaši labas pārvaldības jomā, tostarp jauno profesionāļu apmācībās, publisko pakalpojumu nodrošināšanas uzlabošanā, revīzijas iestāžu kapacitātes veicināšanā. Savukārt, oficiālā attīstības palīdzība absolūtos skaitļos sasniedza vairāk nekā 94 milj. euro (dati ir provizoriski)."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“Ražošanas, inovāciju un infrastruktūras sadaļā” aicinām minēt faktu, ka Latvijā ir sākuši strādāt arī zinātnieki un citi speciālisti no Ukrainas, tādējādi Latvija atbalsta Ukrainas zinātnes jomas darbinieku nodarbinātību un sadarbību gan ar Latvijas, gan citiem Eiropas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"Ražošanas, inovāciju un infrastruktūras" sadaļa ir papildināta ar jaunu rindkopu: "Latvijā ir sākuši strādāt arī zinātnieki un citi speciālisti no Ukrainas, tādējādi Latvija atbalsta Ukrainas zinātnes jomas darbinieku nodarbinātību un sadarbību gan ar Latvijas, gan citiem Eiropas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42. lpp sadaļā “Laba veselība un labklājība” minēto statistiku par alkohola lietošanu, kurā minēts alkohola patēriņš uz personu no 15 gadu vecuma. Lūdzam izvērtēt minētā teikuma redakciju un iespēju statistiku norādīt no legālā alkohola lietošanas vecuma - 18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statistikas dati tiek iegūti pēc SPKC vispārpieņemtās metodoloģijas un tiek plaši pielietoti: https://statistika.spkc.gov.lv/Resources/PX/Databases/Health/Metadati/AbsolutaAlkoholaPaterina_metadati_lv.html.</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pirmajā e-lietas ieviešanas posmā, izveidojot vienotu elektronisku tiesvedības procesu tiek nodrošināta informācijas apmaiņu ne tikai starp tiesām, prokuratūru, procesa dalībniekiem un citām ar tiesvedību saistītu iestāžu informācijas sistēmām, bet arī starp nolēmumu izpildes iestādēm un procesa dalībniekiem. Attiecīgi iesakām papildināt progresa ziņojuma 4. punkta 16. apakšpunkta trešās rindkopas pirmo teikumu, izsakot to šādā redakcijā: "E-lieta ir viena no digitālās transformācijas iniciatīvām, kura vairākos posmos līdz 2026. gadam paredz pakāpenisku pāreju uz elektronisku izmeklēšanas, tiesvedības un nolēmumu izpildes procesu, pirmajā e-lietas ieviešanas posmā, izveidojot vienotu elektronisku tiesvedības procesu un nodrošinot informācijas apmaiņu starp tiesām, prokuratūru, nolēmumu izpildes iestādēm, procesa dalībniekiem un citām ar tiesvedību saistītu iestāžu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pārskatīt progresa ziņojuma 4. punkta 16. apakšpunkta ceturto rindkopu un vārda "komplicēts" lietojumu tajā, izvērtējot formulējuma korektumu, nepieciešamības gadījumā, dzēšot vai aizstājot vārdu "komplicēts".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punkta 16. apakšpunkta trešās rindkopas pirmais teikums izteikts šādā redakcijā: "E-lieta ir viena no digitālās transformācijas iniciatīvām, kura vairākos posmos līdz 2026. gadam paredz pakāpenisku pāreju uz elektronisku izmeklēšanas, tiesvedības un nolēmumu izpildes procesu, pirmajā e-lietas ieviešanas posmā, izveidojot vienotu elektronisku tiesvedības procesu un nodrošinot informācijas apmaiņu starp tiesām, prokuratūru, nolēmumu izpildes iestādēm, procesa dalībniekiem un citām ar tiesvedību saistītu iestāžu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punkta 16. apakšpunkta ceturtajā rindkopā izdzēsts vārds "komplicēts", un rindkopa izteikta šādā redakcijā: "Saziņa ar klientu padarīta pieejamāka un draudzīgāka, nodrošinot informācijas par pakalpojumiem tūlītēju sniegšanu jebkurā diennakts laikā, jo ieviesti virtuālie asistenti tīmekļa vietnē www.zemesgramata.lv, tīmekļa vietnē 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pārbaudīt un nepieciešamības gadījumā precizēt progresa ziņojuma 4. punkta 9. apakšpunktā veikto valsts kapitālsabiedrību, kas piedalījās Latvijas uzņēmumu inovācijas platformas izveidē, uzskaitījumu. Vēršam uzmanību tieši uz "Lattelecom", kas pašlaik zināms kā "TET". Tāpat vēršam uzmanību, ka pamatojoties uz Ministru kabineta 2022. gada 15. novembra rīkojumu Nr.808 "Par Pārresoru koordinācijas centra likvidāciju" ar 2023. gada 1. martu ir likvidēts Ministru prezidenta pakļautībā esošais Pārresoru koordinācijas centrs, pievienojot to Valsts kancelejai. Attiecīgi lūdzam papildināt progresa ziņojuma 4. punkta 9. apakšpunkta piezīmi par Pārresoru koordinācijas centru.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 vārds "Lattelecom" dzēsts un tā vietā ir norādīts "Tet". Ir ievietota atsauce ar skaidrojumu par Pārresoru koordinācijas centra likvidāciju un pievienošanu Valsts kancelejai ar 2023. gada 1. martu. Taču ņemot vērā, ka rindkopā informācija ir atspoguļota par 2018.-2022. gadu, kad Pārresoru koordinācijas centrs vēl darbojās, tekstā atstāts Pārresoru koordinācijas centra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precizējama informatīvā ziņojuma projekta 4.sadaļas 7.punktā “Pieejama un atjaunojama enerģija” (46.lpp) sniegtā informācija par </w:t>
            </w:r>
            <w:r w:rsidR="00000000" w:rsidRPr="00000000" w:rsidDel="00000000">
              <w:rPr>
                <w:u w:val="single"/>
                <w:rtl w:val="0"/>
              </w:rPr>
              <w:t xml:space="preserve">valdības apņemšanos turpināt atbalstu</w:t>
            </w:r>
            <w:r w:rsidR="00000000" w:rsidRPr="00000000" w:rsidDel="00000000">
              <w:rPr>
                <w:rtl w:val="0"/>
              </w:rPr>
              <w:t xml:space="preserve"> grūtībās nonākušu cilvēku atbalstam energoresursu sadārdzinājumu apstākļos, ņemot vērā, ka šobrīd valdība nav pieņēmusi attiecīgus lēmumus.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precizēts un izteikts šādā redakcijā: "Ņemot vērā energoresursu cenu kāpumu, lai nodrošinātu energoresursu pieejamību, tika ieviesti atbalsta instrumenti daļējai cenu kāpuma kompensēšanai un atbalsta pasākumi mazaizsargātām iedzīvotāju grupām aptuveni 820 milj. euro apmērā, un valdība lems par atbalsta programmu turpināšu energoresursu sadārdzinājumu apstākļos."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2.1.3.sadaļas “Veselības aprūpe” punktā “Veselības nozares digitalizācija” sniegto informāciju (24.lpp.), skaitļa  un vārda “966,4 tūkst.” vietā lietojot skaitli un vārdu “1,6 milj.”, jo atbilstoši MK 24.09.2021. sēdes prot. Nr.63 1.§ 2.punktam tika atbalstīta papildu valsts budžeta finansējuma piešķiršana 2022.gadam 49 844 124 </w:t>
            </w:r>
            <w:r w:rsidR="00000000" w:rsidRPr="00000000" w:rsidDel="00000000">
              <w:rPr>
                <w:i w:val="1"/>
                <w:rtl w:val="0"/>
              </w:rPr>
              <w:t xml:space="preserve">euro</w:t>
            </w:r>
            <w:r w:rsidR="00000000" w:rsidRPr="00000000" w:rsidDel="00000000">
              <w:rPr>
                <w:rtl w:val="0"/>
              </w:rPr>
              <w:t xml:space="preserve"> apmērā Veselības ministrijas prioritārā pasākuma “Veselības aprūpes pakalpojumu onkoloģijas jomā uzlabošana, tai skaitā aprīkojums BKUS, RAKUS, PSKUS” īstenošanai, </w:t>
            </w:r>
            <w:r w:rsidR="00000000" w:rsidRPr="00000000" w:rsidDel="00000000">
              <w:rPr>
                <w:u w:val="single"/>
                <w:rtl w:val="0"/>
              </w:rPr>
              <w:t xml:space="preserve">tai skaitā vēža reģistra izveidei 1 604 124 </w:t>
            </w:r>
            <w:r w:rsidR="00000000" w:rsidRPr="00000000" w:rsidDel="00000000">
              <w:rPr>
                <w:i w:val="1"/>
                <w:u w:val="single"/>
                <w:rtl w:val="0"/>
              </w:rPr>
              <w:t xml:space="preserve">euro </w:t>
            </w:r>
            <w:r w:rsidR="00000000" w:rsidRPr="00000000" w:rsidDel="00000000">
              <w:rPr>
                <w:u w:val="single"/>
                <w:rtl w:val="0"/>
              </w:rPr>
              <w:t xml:space="preserve">apmērā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skaitļā 966,4 tūkst. euro ir ievietota atsauce ar detalizētu skaidrojumu: "Atbilstoši MK 24.09.2021. sēdes prot. Nr.63 1.§ 2.punktam tika atbalstīta papildu valsts budžeta finansējuma piešķiršana 2022. gadam 49,8 milj. euro apmērā VM prioritārā pasākuma “Veselības aprūpes pakalpojumu onkoloģijas jomā uzlabošana, tai skaitā aprīkojums BKUS, RAKUS, PSKUS” īstenošanai, tai skaitā vēža reģistra izveidei 1,6 milj. euro apmērā. Attiecīgi pirmās kārtas faktiskās izstrādes izmaksas sastādīja 966,4 tūkst.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2.1.3.sadaļas “Veselības aprūpe” punktā “Veselības aprūpes kvalitātes un efektivitātes uzlabošana” sniegto informāciju (21.lpp.), skaitļa “2,8” vietā lietojot skaitli “2,9” un skaitļa “5,4” vietā lietojot skaitli “5,5”, jo atbilstoši MK 13.01.2023. sēdes protokola Nr.2 1.§ 2.punktam tika atbalstīta papildu valsts budžeta finansējuma piešķiršana 2023.gadam </w:t>
            </w:r>
            <w:r w:rsidR="00000000" w:rsidRPr="00000000" w:rsidDel="00000000">
              <w:rPr>
                <w:u w:val="single"/>
                <w:rtl w:val="0"/>
              </w:rPr>
              <w:t xml:space="preserve">2 880 657 </w:t>
            </w:r>
            <w:r w:rsidR="00000000" w:rsidRPr="00000000" w:rsidDel="00000000">
              <w:rPr>
                <w:i w:val="1"/>
                <w:u w:val="single"/>
                <w:rtl w:val="0"/>
              </w:rPr>
              <w:t xml:space="preserve">euro</w:t>
            </w:r>
            <w:r w:rsidR="00000000" w:rsidRPr="00000000" w:rsidDel="00000000">
              <w:rPr>
                <w:u w:val="single"/>
                <w:rtl w:val="0"/>
              </w:rPr>
              <w:t xml:space="preserve"> apmērā</w:t>
            </w:r>
            <w:r w:rsidR="00000000" w:rsidRPr="00000000" w:rsidDel="00000000">
              <w:rPr>
                <w:rtl w:val="0"/>
              </w:rPr>
              <w:t xml:space="preserve"> Veselības ministrijas prioritārā pasākuma “Nodrošināt vispārējās aprūpes māsas profesijas ieviešanu, tai skaitā veicinot māsu nodarbinātību profesijā” īstenošanai un </w:t>
            </w:r>
            <w:r w:rsidR="00000000" w:rsidRPr="00000000" w:rsidDel="00000000">
              <w:rPr>
                <w:u w:val="single"/>
                <w:rtl w:val="0"/>
              </w:rPr>
              <w:t xml:space="preserve">5 456 760 </w:t>
            </w:r>
            <w:r w:rsidR="00000000" w:rsidRPr="00000000" w:rsidDel="00000000">
              <w:rPr>
                <w:i w:val="1"/>
                <w:u w:val="single"/>
                <w:rtl w:val="0"/>
              </w:rPr>
              <w:t xml:space="preserve">euro</w:t>
            </w:r>
            <w:r w:rsidR="00000000" w:rsidRPr="00000000" w:rsidDel="00000000">
              <w:rPr>
                <w:u w:val="single"/>
                <w:rtl w:val="0"/>
              </w:rPr>
              <w:t xml:space="preserve"> apmērā</w:t>
            </w:r>
            <w:r w:rsidR="00000000" w:rsidRPr="00000000" w:rsidDel="00000000">
              <w:rPr>
                <w:rtl w:val="0"/>
              </w:rPr>
              <w:t xml:space="preserve"> Veselības ministrijas prioritārā pasākuma “Personāla pieejamības uzlabošana Neatliekamās medicīniskās palīdzības dienestā”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Skaitļi precizēti un attiecīgie teikumi izteikti šādā redakcijā: "Ņemot vērā valstī nepietiekamo māsu skaitu, 2023. gadā papildu 2,9 milj. euro no valsts budžeta paredzēts novirzīt vispārējās aprūpes māsas kvalifikācijas iegūšanai, nodrošinot māszinību izglītības programmas apguvi lielākam studējošo skaitam augstskolās, tādējādi ilgtermiņā nodrošinot papildu māsu ienākšanu ārstniecības iestādēs un uzlabojot veselības aprūpes pakalpojumu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5,5 milj. euro paredzēts novirzīt personāla pieejamības uzlabošanai Neatliekamās medicīniskās palīdzības dienestā."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2.1.3.sadaļas “Veselības aprūpe” punktā “Veselības aprūpes cilvēkresursu piesaiste un atalgojuma palielināšana” nepieciešams precizēt otrās rindkopas pēdējo teikumu (20.lpp.), salāgojot to ar informatīvā ziņojuma “Par jaunas ārstniecības personu darba samaksas kārtības izstrādāšanu” VI sadaļā "Finansējums ārstniecības personu darba samaksai atbilstoši domnīcā izstrādātajam modelim” (MK 20.09.2022. sēdes prot. Nr.48 77.§) norādīto, t.i. svītrot finansējuma sadalījumu pa gadiem un norādīt, ka 2023. - 2027.gadam papildu nepieciešamais indikatīvi novērtētais finansējums pret 2022.gadu ir 335,267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precizēts un izteikts šādā redakcijā: "Tam papildu nepieciešamais indikatīvi novērtētais finansējums pret 2022. gadu ir 335,3 milj.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anotācijā precizēt atsauces uz Eiropas Savienības tiesību aktiem, noformējot tās atbilstoši Ministru kabineta 2009. gada 3. februāra noteikumu Nr. 108 „Normatīvo aktu projektu sagatavošanas noteikumi” 170.-172. punktam, piemēram, Komisijas 2022. gada 12. decembra Īstenošanas direktīva (ES) 2022/2438, ar ko attiecībā uz Savienības reglamentētajiem nekarantīnas kaitīgajiem organismiem uz dekoratīvo augu pavairošanas materiāla, augļaugu pavairošanas materiāla un uz augļu ražošanai paredzētiem augļaugiem groza Direktīvu 93/49/EEK un Īstenošanas direktīvu 2014/98/ES. Minētais attiecas piemēram uz progresa ziņojumā minēto "ES Padomes 2018. gada 22. maija ieteikumu par pamatkompetencēm mūžizglītībā".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ES Padomes ieteikuma numuru: "Saskaņā ar ES Padomes 2018. gada 22. maija ieteikumu (2018/C 189/01) par pamatkompetencēm mūžizglītībā, šīs kompetences ir iekļautas profesionālās izglītības saturā kā atsevišķs modulis "Zaļās prasmes"."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atsauces uz Ministru kabineta noteikumiem un rīkojumiem atbilstoši Ministru kabineta 2009.gada 3.februāra noteikumiem Nr.108 "Normatīvo aktu projektu sagatavošanas noteikumi" un ievērot konsekvenci to pierakstā. Norādām, ka daļa, tiek pierakstīta korekti, citiem tiek pierakstīts tikai nosaukums, citos gadījumos nosaukums tiek papildinās ar zemsvītras piezīmi, kas satur konkrētāku informāciju. Attiecīgi iesakām ieviest vienotu pierakstu visiem Ministru kabineta noteikumiem un rīkojumiem, nepieciešamības gadījumā, atbilstoši juridiskās tehnikas prasībām piesakot saīsinājumus (pirmajā vietā juridiskajā tekstā, kur lietots pilnais normatīvā akta nosaukums), piemēram, Ministru kabineta 2022. gada 26. maija rīkojums Nr. 359 "Sabiedrības veselības pamatnostādnes 2021.–2027. gadam" (turpmāk – veselības pamatnostādnes) vai Ministru kabineta 2021. gada 6. jūlija noteikumi Nr. 503 "Noteikumi par aizdevumiem ar kapitāla atlaidi investīciju projektiem komersantiem konkurētspējas veicināšanai"  (turpmāk – noteikumi Nr.503). Attiecīgi iesakām pārskatīt progresa ziņojumā lietotos normatīvo aktu nosaukumus un veikt nepieciešamos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pievērst uzmanību atsaucei uz Ministru kabineta 2020. gada 4. februāra rīkojumu Nr. 46 "Par Latvijas Nacionālo enerģētikas un klimata plānu 2021.-2030. gadam", tieši tajā norādītajam apstiprināšanas datumam, kas atbilstoši oficiālajai informācijai ir 2020. gada 4. februāris, nevis 28.janvāris, kā minēts progresa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uz Ministru kabineta noteikumiem un rīkojumiem atspoguļotas atbilstoši Ministru kabineta 2009.gada 3.februāra noteikumiem Nr.108 "Normatīvo aktu projektu sagatavošanas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Latvijas Nacionālā enerģētikas un klimata plāna 2021.-2030. gadam apstiprināšanas datums.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konsekventi veikt saīsinājumu pieteikšanu. Norādām, ka daļa saīsinājumu šobrīd definēti sadaļā "Saīsinājumi, mērvienības un nosacītie apzīmējumi", citi tiek skaidroti tekstā aiz skaidrojamā vārda lietojot "()", citi tiek skaidroti zemsvītras piezīmēs. Citi, savukārt, netiek skaidroti, piemēram, saīsinājums "ESF", "TB", '"ALTUM", "hospis", "zaļais koridors", "Latvijas jaunās valdības Deklarācija"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juridiskās tehnikas prasībām, saīsinājumus piesaka pirmajā vietā juridiskajā tekstā, kur lietots attiecīgais saīsināmais jēdziens vai termins, piemēram, Rīgas Austrumu klīniskā universitātes slimnīca (turpmāk – RAKUS).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pieteiktie saīsinājumi konsekventi lietojami tālāk dokumenta tekstā. Attiecīgi iesakām pārskatīt progresa ziņojumā pieteiktos saīsinājumus, lietotos terminus un veikt nepieciešamos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Saīsinājumi pārskatīti un precizēti. Hospis un "Zaļais koridors" nav saīsinājumi.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skaidrot izmaiņas plānotajā finansējumā produktivitātes veicināšanai (2.3. apakšpunktā – “Atbalsts Krievijas militārās agresijas radīto seku mazināšanai”). 2021.–2027. gada plānošanas perioda Eiropas Savienības fondu uzraudzības komitejas 26.01.2023. sēdē tika sniegta informācija, ka produktivitātes veicināšanai plānots finansējums 520,8 milj. EUR apmērā (nevis 543,6 milj.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finansējumu precizēta uz 520,8 milj.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2.1.2.sadaļā “Publiskās investīcijas zaļās un digitālās pārkārtošanas veicināšanai”, 17.lpp. norādīto atbalstāmo komersantu skaitu uzņēmumu digitālās transformācijas sekmēšanai, vēršam uzmanību, ka Atveseļošanas fonda 2.2.1.1.i. investīcijas “Atbalsts Digitālo inovāciju centru un reģionālo kontaktpunktu izveidei” ietvaros plānots atbalstīt 7000 atbalsta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Progresa ziņojuma tekstā norādīts plānotais komersantu un uzņēmumu darbinieku skaits, un tas nav 7000, kas ir kopējais atbalsta saņēmēju skaits, jo ne visi 7000 atbalsta saņēmēji būs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17. lp. tiek norādīts: </w:t>
            </w:r>
            <w:r w:rsidR="00000000" w:rsidRPr="00000000" w:rsidDel="00000000">
              <w:rPr>
                <w:i w:val="1"/>
                <w:rtl w:val="0"/>
              </w:rPr>
              <w:t xml:space="preserve">"Uzņēmumu digitālās transformācijas sekmēšanai kopumā tiks ieviestas piecas jaunas AF investīcijas, no kurām trīs savu darbību turpinās ES Kohēzijas politikas programmas 2021.–2027. gadam pasākumu ietvaros."</w:t>
            </w:r>
            <w:r w:rsidR="00000000" w:rsidRPr="00000000" w:rsidDel="00000000">
              <w:rPr>
                <w:rtl w:val="0"/>
              </w:rPr>
              <w:t xml:space="preserve">. Lūdzam izvērtēt, vai šeit nebūtu jāiekļauj arī 2.2.1.5.i investīcija </w:t>
            </w:r>
            <w:r w:rsidR="00000000" w:rsidRPr="00000000" w:rsidDel="00000000">
              <w:rPr>
                <w:i w:val="1"/>
                <w:rtl w:val="0"/>
              </w:rPr>
              <w:t xml:space="preserve">"Mediju nozares uzņēmumu digitālās transformācijas veicināšana"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Rindkopa papildināta ar teikumu: "Tāpat plānots veicināt mediju nozares uzņēmumu digitālo transformāciju, īstenojot Latvijas ANM plāna 2.2.1.5.i. investīciju “Mediju nozares uzņēmumu digitālās transformācijas veicināšana” ar plānoto finansējumu 3,7 milj.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iespēju nodaļu par divpadsmito Ilgtspējīgas attīstības mērķi papildināt ar vēl vienu rindkopu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MVU investīcijas savu resursu efektīvākā izmantošanā pakalpojumos un ražošanā, ES kohēzijas politikas programmas 2021.–2027. gadam ietvaros tiks īstenots pasākums “Aprites ekonomikas principu ieviešana” (Kohēzijas fonda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milj. euro), kurā atbalsts tiks piešķirts ekodizaina principu, atkritumu samazināšanas, “safe by design”, slēgtu materiālu ciklu, ekoinovāciju u.c. aprites ekonomikas tehnoloģisko risinājumu un procesu ieviešanai, kā arī jaunu projektu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par divpadsmito Ilgtspējīgas attīstības mērķi papildināta ar vēl vienu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MVU investīcijas savu resursu efektīvākā izmantošanā pakalpojumos un ražošanā, ES kohēzijas politikas programmas 2021.–2027. gadam ietvaros tiks īstenots pasākums “Aprites ekonomikas principu ieviešana” (Kohēzijas fonda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milj. euro), kurā atbalsts tiks piešķirts ekodizaina principu, atkritumu samazināšanas, “safe by design”, slēgtu materiālu ciklu, ekoinovāciju u.c. aprites ekonomikas tehnoloģisko risinājumu un procesu ieviešanai, kā arī jaunu projektu izveidei."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iespēju dzēst pirmo un ceturto rindkopu 49.lappusē (nodaļā par devīto Ilgtspējīgas attīstības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un ceturtā rindkopa 49.lappusē ir dzēsta (nodaļā par devīto Ilgtspējīgas attīstības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ievada pēdējo rindkopu 10.lappusē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Piecas savstarpēji cieši saistītās jomas – drošība, izglītība, enerģētika, konkurētspēja un dzīves kvalitāte ikkatram, cilvēka un sabiedrības veselība - ir fiskālās politikas specifiskie mērķi jeb vidēja termiņa budžeta politikas prioritārie attīstības virzieni, kuros mērķēti īstenojami NAP2027 uzdevumi, lai īstenotu plašu ekonomikas transformāciju.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 rindkopa 10.lappusē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"Piecas savstarpēji cieši saistītās jomas – drošība, izglītība, enerģētika, konkurētspēja un dzīves kvalitāte ikkatram, cilvēka un sabiedrības veselība - ir fiskālās politikas specifiskie mērķi jeb vidēja termiņa budžeta politikas prioritārie attīstības virzieni, kuros mērķēti īstenojami NAP2027 uzdevumi, lai īstenotu plašu ekonomikas transformāciju."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ievada sesto rindkopu 5.lappusē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2020. gadā  2. jūlijā apstiprinātais Nacionālais attīstības plāns 2021.-2027.gadam nosaka Latvijas prioritātes laika posmam līdz 2027.gadam, liekot pamatus Eiropas fondu programmēšanai un valsts budžeta prioritātēm. Saeimas 2022. gada 14.decembrī apstiprinātā Ministru kabineta (turpmāk – MK) Valdības deklarācija nosaka valdības virsmērķi -  Latvijas ekonomikas transformācija labākai dzīvei Latvijā un galvenās prioritātes. Valdības apņemšanās nosaka akcentus NAP2027 īstenošanai tuvākajos gados un ir cieši saistītas ar ES Padomes rekomendācijām Latvijai: 1. drošība, 2. izglītība, 3. enerģētika, 4. konkurētspēja, 5. dzīves kvalitāte, cilvēka un sabiedrības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Ievada sestā rindkopa 5.lappusē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2020. gadā 2. jūlijā apstiprinātais NAP2027 nosaka Latvijas prioritātes laika posmam līdz 2027.gadam, liekot pamatus Eiropas fondu programmēšanai un valsts budžeta prioritātēm. Saeimas 2022. gada 14.decembrī apstiprinātā MK Valdības deklarācija nosaka valdības virsmērķi -  Latvijas ekonomikas transformācija labākai dzīvei Latvijā un galvenās prioritātes. Valdības apņemšanās nosaka akcentus NAP2027 īstenošanai tuvākajos gados un ir cieši saistītas ar ES Padomes rekomendācijām Latvijai: 1. drošība, 2. izglītība, 3. enerģētika, 4. konkurētspēja, 5. dzīves kvalitāte, cilvēka un sabiedrības veselība."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ievada pirmo rindkopu 4.lappusē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sagatavojusi divpadsmito Progresa ziņojumu par Latvijas nacionālās reformu programmas īstenošanu[1] (turpmāk – Progresa ziņojums par Latvijas NRP īstenošanu), kas ir cieši saistīts ar Latvijas Stabilitātes programmu 2023.-2026. gadam un Latvijas Atveseļošanas un noturības plānu, kā arī Nacionālo attīstības plānu 2021.-2027.gadam un Ministru kabineta deklarāciju par iecerēto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Ievada pirmā rindkopa 4.lappusē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sagatavojusi divpadsmito Progresa ziņojumu par Latvijas nacionālās reformu programmas īstenošanu[1] (turpmāk – Progresa ziņojums par Latvijas NRP īstenošanu), kas ir cieši saistīts ar Latvijas Stabilitātes programmu 2023.-2026. gadam un Latvijas Atveseļošanas un noturības plānu, kā arī Nacionālo attīstības plānu 2021.-2027.gadam (turpmāk - NAP2027) un Ministru kabineta (turpmāk - MK) deklarāciju par iecerēto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un precizēt ziņojuma 23. lp. norādīto teikumu: </w:t>
            </w:r>
            <w:r w:rsidR="00000000" w:rsidRPr="00000000" w:rsidDel="00000000">
              <w:rPr>
                <w:i w:val="1"/>
                <w:rtl w:val="0"/>
              </w:rPr>
              <w:t xml:space="preserve">"2023. gadā paredzēts izstrādāt atbalsta saņemšanas nosacījumus ESF fondu ietvaros, lai saņemtu atbalstu ieguldījumiem visu līmeņu ārstniecības iestāžu infrastruktūrā.", </w:t>
            </w:r>
            <w:r w:rsidR="00000000" w:rsidRPr="00000000" w:rsidDel="00000000">
              <w:rPr>
                <w:rtl w:val="0"/>
              </w:rPr>
              <w:t xml:space="preserve">ņemot vērā, ka no Eiropas Sociālā fonda netiek finansēti infrastruktūras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precizēts un izteikts šādā redakcijā: "2023. gadā paredzēts izstrādāt atbalsta saņemšanas nosacījumus ES fondu ietvaros, lai saņemtu atbalstu ieguldījumiem visu līmeņu ārstniecības iestāžu infrastruktūrā."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pārskatīt programmu/ investīciju nosaukumus, lai tie atbilst Atveseļošanas un noturības mehānisma plānam, piemēram, ziņojuma 17. lp. tiek minēta programma </w:t>
            </w:r>
            <w:r w:rsidR="00000000" w:rsidRPr="00000000" w:rsidDel="00000000">
              <w:rPr>
                <w:i w:val="1"/>
                <w:rtl w:val="0"/>
              </w:rPr>
              <w:t xml:space="preserve">"Atbalsts jaunu digitālu produktu un pakalpojumu ieviešanai uzņēmējdarbībā”</w:t>
            </w:r>
            <w:r w:rsidR="00000000" w:rsidRPr="00000000" w:rsidDel="00000000">
              <w:rPr>
                <w:rtl w:val="0"/>
              </w:rPr>
              <w:t xml:space="preserve">, taču atbilstoši Atveseļošanas un noturības mehānisma plānam programmas nosaukums ir</w:t>
            </w:r>
            <w:r w:rsidR="00000000" w:rsidRPr="00000000" w:rsidDel="00000000">
              <w:rPr>
                <w:i w:val="1"/>
                <w:rtl w:val="0"/>
              </w:rPr>
              <w:t xml:space="preserve"> "Atbalsts jaunu produktu un pakalpojumu ieviešanai uzņēmējdarbībā".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un noturības mehānisma plāna programmas nosaukums precizēts uz "Atbalsts jaunu produktu un pakalpojumu ieviešanai uzņēmējdarbībā".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ziņojumā attiecībā uz Atveseļošanas un noturības mehānismu un tā plānu izmantot vienotu terminoloģiju, jo šobrīd dokumentā tiek lietoti šādi apzīmējumi: </w:t>
            </w:r>
            <w:r w:rsidR="00000000" w:rsidRPr="00000000" w:rsidDel="00000000">
              <w:rPr>
                <w:i w:val="1"/>
                <w:rtl w:val="0"/>
              </w:rPr>
              <w:t xml:space="preserve">"AF", "ANM", " Atveseļošanas un noturības plāns", "Atveseļošanas instrumenta programma", "ANM plāns".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ir atspoguļota vienota atsauce uz Atveseļošanas un noturības mehānismu (ANM).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4.nodaļas “Progress ANO Ilgtspējīgas attīstības mērķu sasniegšanā” 9.punkta “Ražošana, inovācija un infrastruktūra” teikumu: “Tiks turpināti ieguldījumi valsts autoceļu sakārtošanā, stiprināta dzelzceļa kā sabiedriskā transporta loma, kā arī turpināsies elektronisko pakalpojumu kvalitātes un pieejamības  uzlabošana.” un izteikt to jaunā redakcijā, ņemot vērā apstiprinātajā ES kohēzijas politikas programmā 2021.-2027.gadam plānotos ieguldījumus.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pārbūvēt valsts galvenos autoceļus TEN-T tīklā, izbūvēt jaunus valsts galveno autoceļu posmus, modernizēt/izveidot jaunu TEN-T tīkla dzelzceļa infrastruktūru, modernizēt dzelzceļa pasažieru infrastruktūru, izbūvēt/pārbūvēt Rīgas pilsētas transporta infrastruktūru, nodrošinot integrētas transporta sistēmas veidošanu, attīstīt valstspilsētu maģistrālās ielas un esošos maršrutus, attīstīt lielo ostu publisko infrastruktūru, kā arī attīstīt augstas veiktspējas tīklu infrastruktūru pēdējās jūdzes pieslēgumu nodrošināšanai, izbūvēt vidējās jūdzes optiskā tīkla infrastruktūru, izveidot elektronisko sakaru tīklu pasīvo infrastruktūru 5G savienojamības izvēršanai gar TEN-T tīkla sauszemes transporta ceļiem, kā arī nodrošināt valsts elektronisko sakaru pakalpojumu centra kiberaizsardzību.”.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izteikts šādā redakcijā: "Plānots pārbūvēt valsts galvenos autoceļus TEN-T tīklā, izbūvēt jaunus valsts galveno autoceļu posmus, modernizēt/izveidot jaunu TEN-T tīkla dzelzceļa infrastruktūru, modernizēt dzelzceļa pasažieru infrastruktūru, izbūvēt/pārbūvēt Rīgas pilsētas transporta infrastruktūru, nodrošinot integrētas transporta sistēmas veidošanu, attīstīt valstspilsētu maģistrālās ielas un esošos maršrutus, attīstīt lielo ostu publisko infrastruktūru, kā arī attīstīt augstas veiktspējas tīklu infrastruktūru pēdējās jūdzes pieslēgumu nodrošināšanai, izbūvēt vidējās jūdzes optiskā tīkla infrastruktūru, izveidot elektronisko sakaru tīklu pasīvo infrastruktūru 5G savienojamības izvēršanai gar TEN-T tīkla sauszemes transporta ceļiem, kā arī nodrošināt valsts elektronisko sakaru pakalpojumu centra kiberaizsardzību."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atzinuma 6.punktā sniegto priekšlikumu par 2.1.2.nodaļu “Publiskās investīcijas zaļās un digitālās pārkārtošanas veicināšanai”, lūdzam papildināt informatīvā ziņojuma 4.nodaļas “Progress ANO Ilgtspējīgas attīstības mērķu sasniegšanā” 13.punktu “Rīcība klimata jomā” ar teikumu par pasākumiem, kas tiek īstenoti energoefektivitātes uzlabošanai, alternatīvo degvielu un AER tehnoloģiju izmantošanas veicināšanai transportā.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“Detalizētāka informācija par konkrētajiem pasākumiem, kas tiek īstenoti energoefektivitātes uzlabošanai, alternatīvo degvielu un AER tehnoloģiju izmantošanas veicināšanai transportā ir atspoguļota Progresa ziņojuma 2.1.2.nodaļā.”.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4.nodaļas “Progress ANO Ilgtspējīgas attīstības mērķu sasniegšanā” 13.punkta “Rīcība klimata jomā” 4.rindkopa papildināta ar teikumu: "Detalizētāka informācija par konkrētajiem pasākumiem, kas tiek īstenoti energoefektivitātes uzlabošanai, alternatīvo degvielu un AER tehnoloģiju izmantošanas veicināšanai transportā ir atspoguļota Progresa ziņojuma 2.1.2.nodaļā."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atzinuma 6.punktā sniegto priekšlikumu par 2.1.2.nodaļu “Publiskās investīcijas zaļās un digitālās pārkārtošanas veicināšanai”, lūdzam papildināt informatīvā ziņojuma 2.4.nodaļas “Enerģētikas politika” apakšnodaļu “Īstenotās un plānotās atbalsta programmas” ar teikumu par pasākumiem, kas tiek īstenoti energoefektivitātes uzlabošanai, alternatīvo degvielu  un AER tehnoloģiju izmantošanas veicināšanai transportā.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“Detalizētāka informācija par konkrētajiem pasākumiem, kas tiek īstenoti energoefektivitātes uzlabošanai, alternatīvo degvielu un AER tehnoloģiju izmantošanas veicināšanai transportā ir atspoguļota Progresa ziņojuma 2.1.2.nodaļā.”.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2.4.nodaļas “Enerģētikas politika” apakšnodaļas “Īstenotās un plānotās atbalsta programmas” 4.rindkopa precizēta, papildināta un izteikta šādā redakcijā: "Latvijā tiek īstenotas atbalsta programmas energoefektivitātes veicināšanai, t.sk. pašvaldību ēkās un infrastruktūrā, pašvaldību autobusu parku atjaunošanai, alternatīvo degvielu un AER tehnoloģiju izmantošanas veicināšanai transportā u.tml. (detalizētāk skat. 2.1.2.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2.1.2.nodaļā “Publiskās investīcijas zaļās un digitālās pārkārtošanas veicināšanai” sniegto informāciju par pasākumiem zaļās pārkārtošanas veicināšanai ēku energoefektivitātes, vides un “zaļo prasmju” jomās, lūdzam papildināt nodaļu aiz teikuma “Šīm trim investīciju programmām 2022. gadā tika sasniegti Latvijas Atveseļošanas un noturības mehānisma plānā noteiktie atskaites punkti – MK noteikumu stāšanās spēkā.” ar informāciju par veiktajām un plānotajām investīcijām energoefektivitātes uzlabošanai, alternatīvo degvielu un AER tehnoloģiju izmantošanas veicināšanai transportā.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turpinājās ANM reformas “Rīgas metropoles areāla transporta sistēmas zaļināšana” investīciju ieviešanas normatīvā regulējuma izstrāde, ko plānots pabeigt 2023.gadā”.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2.1.2.nodaļas 3.rindkopa papildināta ar teikumu: "2022. gadā turpinājās ANM reformas “Rīgas metropoles areāla transporta sistēmas zaļināšana” investīciju ieviešanas normatīvā regulējuma izstrāde, ko plānots pabeigt 2023.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2.1.2.nodaļā “Publiskās investīcijas zaļās un digitālās pārkārtošanas veicināšanai” sniegto informāciju par pasākumiem zaļās pārkārtošanas veicināšanai ēku energoefektivitātes, vides un “zaļo prasmju” jomās, lūdzam papildināt nodaļu aiz teikuma “Latvija turpina ES struktūrfondu un Kohēzijas fonda 2014.–2020. gada plānošanas perioda darbības programmas “Izaugsme un nodarbinātība" īstenošanu, jo līdz 2023. gada beigām ir jāpabeidz uzsākto projektu īstenošana un jāsasniedz programmā un projektos noteiktie mērķi un rādītāji.” ar informāciju par veiktajām un plānotajām investīcijām energoefektivitātes uzlabošanai, alternatīvo degvielu un AER tehnoloģiju izmantošanas veicināšanai transportā.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videi draudzīga sabiedriskā transporta izmantošanu un pasažieru skaita pieaugumu videi draudzīgā sabiedriskajā transportā, ES fondu 2014.-2020.gada plānošanas periodā projektu īstenošanai no KF finansējuma paredzēti 286,53 milj. EUR. Līdz 2023.gadam kopumā paredzēts pārbūvēt esošās tramvaja līnijas 21,3 km garumā un izbūvēt jaunas tramvaja līnijas 4,22 km garumā, iegādāties 26 jaunus tramvaja sastāvus, 23 jaunus elektrovilcienus un 145 videi draudzīgus sabiedriskos autobusus.”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2.1.2.nodaļas 4.rindkopa papildināta ar teikumu: "Lai veicinātu videi draudzīga sabiedriskā transporta izmantošanu un pasažieru skaita pieaugumu videi draudzīgā sabiedriskajā transportā, ES fondu 2014.–2020. gada plānošanas periodā projektu īstenošanai no Kohēzijas fonda finansējuma paredzēti 286,53 milj. euro. Līdz 2023. gadam kopumā paredzēts pārbūvēt esošās tramvaja līnijas 21,3 km garumā un izbūvēt jaunas tramvaja līnijas 4,22 km garumā, iegādāties 26 jaunus tramvaja sastāvus, 23 jaunus elektrovilcienus un 145 videi draudzīgus sabiedriskos autobusus."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2.1.2.nodaļā “Publiskās investīcijas zaļās un digitālās pārkārtošanas veicināšanai” sniegto informāciju par pasākumiem zaļās pārkārtošanas veicināšanai ēku energoefektivitātes, vides un “zaļo prasmju” jomās, lūdzam papildināt nodaļu aiz teikuma “ES kohēzijas politikas programmā 2021.–2027. gadam klimata pārmaiņu mazināšanas un pielāgošanās klimata pārmaiņu un vides aizsardzības un attīstības prioritātēm plānotais finansējums līdz 2029. gadam ir 844.17 milj. euro.” ar informāciju par veiktajām un plānotajām investīcijām energoefektivitātes uzlabošanai, alternatīvo degvielu un AER tehnoloģiju izmantošanas veicināšanai transportā.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kohēzijas politikas programmā 2021.-2027.gadam plānoti vairāki pasākumi energoefektivitātes uzlabošanai, alternatīvo degvielu un AER tehnoloģiju izmantošanas veicināšanai transportā: multimodālu sabiedriskā transporta mezglu izveide, mikromobilitātes infrastruktūras attīstība, ETL lieljaudas uzlādes punktu TEN-T pamattīklā izbūve, bezemisiju vilcienu iegāde, kā arī dzelzceļa elektrificētā tīkla modernizācija un attīstība, lai nodrošinātu ērtus un integrētus dažāda transporta veida savienojumus vienkopus, veicinot reģionu sasniedzamību un mainot iedzīvotāju pārvietošanās paradumus. Plānotais ES fondu finansējums šiem pasākumiem līdz 2029.gadam ir 380,0 milj.euro.”.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2.1.2.nodaļas 9.rindkopa papildināta ar teikumu: "ES kohēzijas politikas programmā 2021.–2027. gadam plānoti vairāki pasākumi energoefektivitātes uzlabošanai, alternatīvo degvielu un AER tehnoloģiju izmantošanas veicināšanai transportā: multimodālu sabiedriskā transporta mezglu izveide, mikromobilitātes infrastruktūras attīstība, elektrisko transportlīdzekļu lieljaudas uzlādes punktu TEN-T pamattīklā izbūve, bezemisiju vilcienu iegāde, kā arī dzelzceļa elektrificētā tīkla modernizācija un attīstība, lai nodrošinātu ērtus un integrētus dažāda transporta veida savienojumus vienkopus, veicinot reģionu sasniedzamību un mainot iedzīvotāju pārvietošanās paradumus. Plānotais ES fondu finansējums šiem pasākumiem līdz 2029. gadam ir 380 milj.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55. lp. teikumā "Valsts pārvaldes attīstības sekmēšanai izstrādāts Valsts pārvaldes modernizācijas plāns 2023.–2027. gadam, kurš ir saskaņošanas procesā un drīzumā tiks iesniegts apstiprināšanai MK" lūdzam svītrot vārdus "saskaņošanas procesā un drīzumā tiks".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55. lp. teikumā "Valsts pārvaldes attīstības sekmēšanai izstrādāts Valsts pārvaldes modernizācijas plāns 2023.–2027. gadam, kurš ir saskaņošanas procesā un drīzumā tiks iesniegts apstiprināšanai MK" svītroti vārdi "saskaņošanas procesā un drīzumā tiks".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55.lapaspusē 43. zemsvītras atsaucē likuma nosaukumu, vārdus "Likumu par pašvaldībām" aizstājot ar vārdiem "likumu "Par pašvaldībām"" atbilstoši Saeimā 1994.gada 19.maijā pieņemtā likuma nosaukumam.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pieņemts 2022. gada 20. oktobrī, aizstāja 1994. gada 19. maijā pieņemto likumu "Par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ir precizēta un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pieņemts 2022. gada 20. oktobrī, aizstāja 1994. gada 19. maijā pieņemto likumu “Par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Progresa ziņojums par Latvijas nacionālās reformu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50.lpp 38. zemsvītras atsauci ar specifiskā atbalsta mērķa pasākumu 13.1.3.3. “Teritoriju revitalizācija uzņēmējdarbības veicināšanai pašvaldībās”.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3.3.1. SAM “Palielināt privāto investīciju apjomu reģionos, veicot ieguldījumus uzņēmējdarbības attīstībai atbilstoši pašvaldību attīstības programmās noteiktajai teritoriju ekonomiskajai specializācijai un balstoties uz vietējo uzņēmēju vajadzībām”; 5.6.2. SAM “Teritoriju revitalizācija, reģenerējot degradētās teritorijas atbilstoši pašvaldību integrētajām attīstības programmām”; </w:t>
            </w:r>
            <w:r w:rsidR="00000000" w:rsidRPr="00000000" w:rsidDel="00000000">
              <w:rPr>
                <w:u w:val="single"/>
                <w:rtl w:val="0"/>
              </w:rPr>
              <w:t xml:space="preserve">13.1.3.3. SAM pasākums “Teritoriju revitalizācija uzņēmējdarbības veicināšanai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Zemsvītras atsauce ir precizēta un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SAM “Palielināt privāto investīciju apjomu reģionos, veicot ieguldījumus uzņēmējdarbības attīstībai atbilstoši pašvaldību attīstības programmās noteiktajai teritoriju ekonomiskajai specializācijai un balstoties uz vietējo uzņēmēju vajadzībām”; 5.6.2. SAM “Teritoriju revitalizācija, reģenerējot degradētās teritorijas atbilstoši pašvaldību integrētajām attīstības programmām”; 13.1.3.3. SAM pasākums “Teritoriju revitalizācija uzņēmējdarbības veicināšanai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23-TA-835</w:t>
    </w:r>
    <w:r>
      <w:br/>
    </w:r>
    <w:r w:rsidR="00000000" w:rsidRPr="00000000" w:rsidDel="00000000">
      <w:rPr>
        <w:rtl w:val="0"/>
      </w:rPr>
      <w:t xml:space="preserve">21.04.2023. 14.08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23-TA-835</w:t>
    </w:r>
    <w:r>
      <w:br/>
    </w:r>
    <w:r w:rsidR="00000000" w:rsidRPr="00000000" w:rsidDel="00000000">
      <w:rPr>
        <w:rtl w:val="0"/>
      </w:rPr>
      <w:t xml:space="preserve">21.04.2023. 14.08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Izziņa_23-TA-835.docx</dc:title>
</cp:coreProperties>
</file>

<file path=docProps/custom.xml><?xml version="1.0" encoding="utf-8"?>
<Properties xmlns="http://schemas.openxmlformats.org/officeDocument/2006/custom-properties" xmlns:vt="http://schemas.openxmlformats.org/officeDocument/2006/docPropsVTypes"/>
</file>