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A3AE1" w14:textId="77777777" w:rsidR="00201CE5" w:rsidRPr="00B136B5" w:rsidRDefault="00201CE5" w:rsidP="001870F8">
      <w:pPr>
        <w:pStyle w:val="GaramondTeksts"/>
        <w:spacing w:line="240" w:lineRule="auto"/>
        <w:rPr>
          <w:sz w:val="32"/>
        </w:rPr>
      </w:pPr>
    </w:p>
    <w:p w14:paraId="16C19006" w14:textId="77777777" w:rsidR="00201CE5" w:rsidRPr="00B136B5" w:rsidRDefault="00201CE5" w:rsidP="001870F8">
      <w:pPr>
        <w:pStyle w:val="GaramondTeksts"/>
        <w:spacing w:line="240" w:lineRule="auto"/>
        <w:ind w:left="993"/>
        <w:rPr>
          <w:b/>
          <w:bCs/>
          <w:sz w:val="48"/>
        </w:rPr>
      </w:pPr>
    </w:p>
    <w:p w14:paraId="1ABEF832" w14:textId="2F5AE187" w:rsidR="00201CE5" w:rsidRDefault="00201CE5" w:rsidP="001870F8">
      <w:pPr>
        <w:pStyle w:val="GaramondTeksts"/>
        <w:spacing w:line="240" w:lineRule="auto"/>
        <w:ind w:left="993"/>
        <w:rPr>
          <w:b/>
          <w:bCs/>
          <w:sz w:val="48"/>
        </w:rPr>
      </w:pPr>
    </w:p>
    <w:p w14:paraId="2B444A9E" w14:textId="77777777" w:rsidR="00201CE5" w:rsidRDefault="00201CE5" w:rsidP="001870F8">
      <w:pPr>
        <w:pStyle w:val="GaramondTeksts"/>
        <w:spacing w:line="240" w:lineRule="auto"/>
        <w:ind w:left="993"/>
        <w:rPr>
          <w:b/>
          <w:bCs/>
          <w:sz w:val="48"/>
        </w:rPr>
      </w:pPr>
    </w:p>
    <w:p w14:paraId="345B4F01" w14:textId="77777777" w:rsidR="006669C5" w:rsidRDefault="006669C5" w:rsidP="001870F8">
      <w:pPr>
        <w:pStyle w:val="GaramondTeksts"/>
        <w:spacing w:line="240" w:lineRule="auto"/>
        <w:ind w:left="993"/>
        <w:rPr>
          <w:b/>
          <w:bCs/>
          <w:sz w:val="48"/>
        </w:rPr>
      </w:pPr>
    </w:p>
    <w:p w14:paraId="067C0212" w14:textId="5A6FD8E1" w:rsidR="001B7720" w:rsidRDefault="001B7720" w:rsidP="001B7720">
      <w:pPr>
        <w:pStyle w:val="GaramondTeksts"/>
        <w:spacing w:line="240" w:lineRule="auto"/>
        <w:ind w:left="992"/>
        <w:contextualSpacing/>
        <w:rPr>
          <w:b/>
          <w:bCs/>
          <w:sz w:val="48"/>
        </w:rPr>
      </w:pPr>
      <w:r>
        <w:rPr>
          <w:b/>
          <w:bCs/>
          <w:sz w:val="48"/>
        </w:rPr>
        <w:t>P</w:t>
      </w:r>
      <w:r w:rsidRPr="001B7720">
        <w:rPr>
          <w:b/>
          <w:bCs/>
          <w:sz w:val="48"/>
        </w:rPr>
        <w:t>rojekta “</w:t>
      </w:r>
      <w:bookmarkStart w:id="0" w:name="_Hlk184981606"/>
      <w:r w:rsidR="00282746" w:rsidRPr="00282746">
        <w:rPr>
          <w:b/>
          <w:bCs/>
          <w:sz w:val="48"/>
        </w:rPr>
        <w:t xml:space="preserve">Eiropas Jūras </w:t>
      </w:r>
      <w:proofErr w:type="spellStart"/>
      <w:r w:rsidR="00282746" w:rsidRPr="00282746">
        <w:rPr>
          <w:b/>
          <w:bCs/>
          <w:sz w:val="48"/>
        </w:rPr>
        <w:t>vienloga</w:t>
      </w:r>
      <w:proofErr w:type="spellEnd"/>
      <w:r w:rsidR="00282746" w:rsidRPr="00282746">
        <w:rPr>
          <w:b/>
          <w:bCs/>
          <w:sz w:val="48"/>
        </w:rPr>
        <w:t xml:space="preserve"> sistēmas </w:t>
      </w:r>
      <w:proofErr w:type="spellStart"/>
      <w:r w:rsidR="00282746" w:rsidRPr="00282746">
        <w:rPr>
          <w:b/>
          <w:bCs/>
          <w:sz w:val="48"/>
        </w:rPr>
        <w:t>EMSWe</w:t>
      </w:r>
      <w:proofErr w:type="spellEnd"/>
      <w:r w:rsidR="00282746" w:rsidRPr="00282746">
        <w:rPr>
          <w:b/>
          <w:bCs/>
          <w:sz w:val="48"/>
        </w:rPr>
        <w:t xml:space="preserve"> ieviešana</w:t>
      </w:r>
      <w:bookmarkEnd w:id="0"/>
      <w:r w:rsidR="00452098">
        <w:rPr>
          <w:b/>
          <w:bCs/>
          <w:sz w:val="48"/>
        </w:rPr>
        <w:t>”</w:t>
      </w:r>
    </w:p>
    <w:p w14:paraId="75EF4891" w14:textId="12C90E86" w:rsidR="00201CE5" w:rsidRPr="00245EDE" w:rsidRDefault="001B7720" w:rsidP="001870F8">
      <w:pPr>
        <w:pStyle w:val="GaramondTeksts"/>
        <w:spacing w:line="240" w:lineRule="auto"/>
        <w:ind w:left="993"/>
        <w:rPr>
          <w:b/>
          <w:bCs/>
          <w:sz w:val="48"/>
        </w:rPr>
      </w:pPr>
      <w:r>
        <w:rPr>
          <w:b/>
          <w:bCs/>
          <w:sz w:val="48"/>
        </w:rPr>
        <w:t>izmaksu un ieguvumu analīze</w:t>
      </w:r>
    </w:p>
    <w:p w14:paraId="77BFD337" w14:textId="77777777" w:rsidR="00201CE5" w:rsidRPr="00245EDE" w:rsidRDefault="00201CE5" w:rsidP="001870F8">
      <w:pPr>
        <w:pStyle w:val="GaramondTeksts"/>
        <w:spacing w:line="240" w:lineRule="auto"/>
        <w:ind w:left="993"/>
        <w:rPr>
          <w:b/>
          <w:bCs/>
          <w:sz w:val="48"/>
        </w:rPr>
      </w:pPr>
    </w:p>
    <w:p w14:paraId="1516DE98" w14:textId="0578ADE2" w:rsidR="00201CE5" w:rsidRPr="00B136B5" w:rsidRDefault="00282746" w:rsidP="001870F8">
      <w:pPr>
        <w:pStyle w:val="GaramondTeksts"/>
        <w:spacing w:line="240" w:lineRule="auto"/>
        <w:ind w:left="993"/>
        <w:rPr>
          <w:b/>
          <w:sz w:val="48"/>
        </w:rPr>
      </w:pPr>
      <w:r>
        <w:rPr>
          <w:b/>
          <w:bCs/>
          <w:sz w:val="48"/>
        </w:rPr>
        <w:t>IIA formas aprēķina un aizpildīšanas metodika</w:t>
      </w:r>
    </w:p>
    <w:p w14:paraId="1C53D34A" w14:textId="07F736FB" w:rsidR="00201CE5" w:rsidRDefault="00201CE5" w:rsidP="00E90178">
      <w:pPr>
        <w:pStyle w:val="GaramondTeksts"/>
        <w:spacing w:line="240" w:lineRule="auto"/>
        <w:ind w:left="993"/>
        <w:rPr>
          <w:sz w:val="36"/>
        </w:rPr>
      </w:pPr>
      <w:r w:rsidRPr="00B136B5">
        <w:rPr>
          <w:sz w:val="36"/>
        </w:rPr>
        <w:t>20</w:t>
      </w:r>
      <w:r w:rsidR="00DE7469">
        <w:rPr>
          <w:sz w:val="36"/>
        </w:rPr>
        <w:t>2</w:t>
      </w:r>
      <w:r w:rsidR="00B7068D">
        <w:rPr>
          <w:sz w:val="36"/>
        </w:rPr>
        <w:t>5</w:t>
      </w:r>
      <w:r w:rsidRPr="00B136B5">
        <w:rPr>
          <w:sz w:val="36"/>
        </w:rPr>
        <w:t xml:space="preserve">. </w:t>
      </w:r>
      <w:r w:rsidRPr="0090475F">
        <w:rPr>
          <w:sz w:val="36"/>
        </w:rPr>
        <w:t xml:space="preserve">gada </w:t>
      </w:r>
      <w:r w:rsidR="00282746" w:rsidRPr="0090475F">
        <w:rPr>
          <w:sz w:val="36"/>
        </w:rPr>
        <w:t>1</w:t>
      </w:r>
      <w:r w:rsidR="0090475F" w:rsidRPr="0090475F">
        <w:rPr>
          <w:sz w:val="36"/>
        </w:rPr>
        <w:t>3</w:t>
      </w:r>
      <w:r w:rsidR="00B86981" w:rsidRPr="0090475F">
        <w:rPr>
          <w:sz w:val="36"/>
        </w:rPr>
        <w:t xml:space="preserve">. </w:t>
      </w:r>
      <w:r w:rsidR="00254483">
        <w:rPr>
          <w:sz w:val="36"/>
        </w:rPr>
        <w:t>februāris</w:t>
      </w:r>
    </w:p>
    <w:p w14:paraId="63822BC2" w14:textId="77777777" w:rsidR="001B7720" w:rsidRDefault="001B7720" w:rsidP="00E90178">
      <w:pPr>
        <w:pStyle w:val="GaramondTeksts"/>
        <w:spacing w:line="240" w:lineRule="auto"/>
        <w:ind w:left="993"/>
        <w:rPr>
          <w:sz w:val="36"/>
        </w:rPr>
      </w:pPr>
    </w:p>
    <w:p w14:paraId="352C2FDC" w14:textId="77777777" w:rsidR="001B7720" w:rsidRDefault="001B7720" w:rsidP="00E90178">
      <w:pPr>
        <w:pStyle w:val="GaramondTeksts"/>
        <w:spacing w:line="240" w:lineRule="auto"/>
        <w:ind w:left="993"/>
        <w:rPr>
          <w:sz w:val="36"/>
        </w:rPr>
      </w:pPr>
    </w:p>
    <w:p w14:paraId="7B34D639" w14:textId="77777777" w:rsidR="001B7720" w:rsidRDefault="001B7720" w:rsidP="00E90178">
      <w:pPr>
        <w:pStyle w:val="GaramondTeksts"/>
        <w:spacing w:line="240" w:lineRule="auto"/>
        <w:ind w:left="993"/>
        <w:rPr>
          <w:sz w:val="36"/>
        </w:rPr>
      </w:pPr>
    </w:p>
    <w:p w14:paraId="350B379A" w14:textId="77777777" w:rsidR="001B7720" w:rsidRDefault="001B7720" w:rsidP="00E90178">
      <w:pPr>
        <w:pStyle w:val="GaramondTeksts"/>
        <w:spacing w:line="240" w:lineRule="auto"/>
        <w:ind w:left="993"/>
        <w:rPr>
          <w:sz w:val="36"/>
        </w:rPr>
      </w:pPr>
    </w:p>
    <w:p w14:paraId="0A60E232" w14:textId="77777777" w:rsidR="001B7720" w:rsidRDefault="001B7720" w:rsidP="00E90178">
      <w:pPr>
        <w:pStyle w:val="GaramondTeksts"/>
        <w:spacing w:line="240" w:lineRule="auto"/>
        <w:ind w:left="993"/>
        <w:rPr>
          <w:sz w:val="36"/>
        </w:rPr>
      </w:pPr>
    </w:p>
    <w:p w14:paraId="3753BD49" w14:textId="77777777" w:rsidR="00282746" w:rsidRDefault="00282746" w:rsidP="00E90178">
      <w:pPr>
        <w:pStyle w:val="GaramondTeksts"/>
        <w:spacing w:line="240" w:lineRule="auto"/>
        <w:ind w:left="993"/>
        <w:rPr>
          <w:sz w:val="36"/>
        </w:rPr>
      </w:pPr>
    </w:p>
    <w:p w14:paraId="3F6294D9" w14:textId="77777777" w:rsidR="00282746" w:rsidRDefault="00282746" w:rsidP="00E90178">
      <w:pPr>
        <w:pStyle w:val="GaramondTeksts"/>
        <w:spacing w:line="240" w:lineRule="auto"/>
        <w:ind w:left="993"/>
        <w:rPr>
          <w:sz w:val="36"/>
        </w:rPr>
      </w:pPr>
    </w:p>
    <w:p w14:paraId="23C09CA9" w14:textId="534C343F" w:rsidR="005175F3" w:rsidRPr="005175F3" w:rsidRDefault="005175F3" w:rsidP="005175F3">
      <w:pPr>
        <w:pStyle w:val="GaramondTeksts"/>
        <w:ind w:left="993"/>
        <w:rPr>
          <w:sz w:val="36"/>
        </w:rPr>
      </w:pPr>
      <w:r w:rsidRPr="005175F3">
        <w:rPr>
          <w:sz w:val="36"/>
        </w:rPr>
        <w:t>Pasūtītājs:</w:t>
      </w:r>
      <w:r w:rsidRPr="005175F3">
        <w:rPr>
          <w:sz w:val="36"/>
        </w:rPr>
        <w:tab/>
      </w:r>
      <w:r w:rsidR="00282746">
        <w:rPr>
          <w:sz w:val="36"/>
        </w:rPr>
        <w:t>Satiksmes ministrija</w:t>
      </w:r>
    </w:p>
    <w:p w14:paraId="77043B45" w14:textId="2F46C8E7" w:rsidR="001B7720" w:rsidRPr="00E90178" w:rsidRDefault="005175F3" w:rsidP="005175F3">
      <w:pPr>
        <w:pStyle w:val="GaramondTeksts"/>
        <w:spacing w:line="240" w:lineRule="auto"/>
        <w:ind w:left="993"/>
        <w:rPr>
          <w:sz w:val="36"/>
        </w:rPr>
        <w:sectPr w:rsidR="001B7720" w:rsidRPr="00E90178" w:rsidSect="005175F3">
          <w:headerReference w:type="default" r:id="rId11"/>
          <w:headerReference w:type="first" r:id="rId12"/>
          <w:footerReference w:type="first" r:id="rId13"/>
          <w:pgSz w:w="11906" w:h="16838"/>
          <w:pgMar w:top="1440" w:right="1134" w:bottom="1440" w:left="1985" w:header="709" w:footer="709" w:gutter="0"/>
          <w:cols w:space="708"/>
          <w:docGrid w:linePitch="360"/>
        </w:sectPr>
      </w:pPr>
      <w:r w:rsidRPr="005175F3">
        <w:rPr>
          <w:sz w:val="36"/>
        </w:rPr>
        <w:t>Izpildītājs:</w:t>
      </w:r>
      <w:r w:rsidRPr="005175F3">
        <w:rPr>
          <w:sz w:val="36"/>
        </w:rPr>
        <w:tab/>
        <w:t>SIA “Bizpro”</w:t>
      </w:r>
    </w:p>
    <w:p w14:paraId="72792093" w14:textId="77777777" w:rsidR="00830E94" w:rsidRDefault="00830E94" w:rsidP="00E90178">
      <w:pPr>
        <w:pStyle w:val="GaramondTeksts"/>
        <w:spacing w:line="240" w:lineRule="auto"/>
        <w:rPr>
          <w:b/>
          <w:bCs/>
          <w:sz w:val="32"/>
        </w:rPr>
      </w:pPr>
    </w:p>
    <w:p w14:paraId="0D37EFB6" w14:textId="77777777" w:rsidR="00201CE5" w:rsidRPr="00B136B5" w:rsidRDefault="00201CE5" w:rsidP="00E90178">
      <w:pPr>
        <w:pStyle w:val="GaramondTeksts"/>
        <w:spacing w:line="240" w:lineRule="auto"/>
        <w:rPr>
          <w:b/>
          <w:bCs/>
          <w:sz w:val="32"/>
        </w:rPr>
      </w:pPr>
      <w:r w:rsidRPr="00B136B5">
        <w:rPr>
          <w:b/>
          <w:bCs/>
          <w:sz w:val="32"/>
        </w:rPr>
        <w:t>Saturs</w:t>
      </w:r>
    </w:p>
    <w:p w14:paraId="578078E7" w14:textId="5171B23C" w:rsidR="00624C4A" w:rsidRDefault="00F9174B">
      <w:pPr>
        <w:pStyle w:val="TOC1"/>
        <w:rPr>
          <w:rFonts w:asciiTheme="minorHAnsi" w:eastAsiaTheme="minorEastAsia" w:hAnsiTheme="minorHAnsi" w:cstheme="minorBidi"/>
          <w:noProof/>
          <w:kern w:val="2"/>
          <w:sz w:val="24"/>
          <w14:ligatures w14:val="standardContextual"/>
        </w:rPr>
      </w:pPr>
      <w:r w:rsidRPr="00B136B5">
        <w:fldChar w:fldCharType="begin"/>
      </w:r>
      <w:r w:rsidR="00201CE5" w:rsidRPr="00B136B5">
        <w:instrText xml:space="preserve"> TOC \o "1-2" \h \z \u </w:instrText>
      </w:r>
      <w:r w:rsidRPr="00B136B5">
        <w:fldChar w:fldCharType="separate"/>
      </w:r>
      <w:hyperlink w:anchor="_Toc190169650" w:history="1">
        <w:r w:rsidR="00624C4A" w:rsidRPr="00EA2921">
          <w:rPr>
            <w:rStyle w:val="Hyperlink"/>
            <w:noProof/>
          </w:rPr>
          <w:t>1.</w:t>
        </w:r>
        <w:r w:rsidR="00624C4A">
          <w:rPr>
            <w:rFonts w:asciiTheme="minorHAnsi" w:eastAsiaTheme="minorEastAsia" w:hAnsiTheme="minorHAnsi" w:cstheme="minorBidi"/>
            <w:noProof/>
            <w:kern w:val="2"/>
            <w:sz w:val="24"/>
            <w14:ligatures w14:val="standardContextual"/>
          </w:rPr>
          <w:tab/>
        </w:r>
        <w:r w:rsidR="00624C4A" w:rsidRPr="00EA2921">
          <w:rPr>
            <w:rStyle w:val="Hyperlink"/>
            <w:noProof/>
          </w:rPr>
          <w:t>Kopsavilkums</w:t>
        </w:r>
        <w:r w:rsidR="00624C4A">
          <w:rPr>
            <w:noProof/>
            <w:webHidden/>
          </w:rPr>
          <w:tab/>
        </w:r>
        <w:r w:rsidR="00624C4A">
          <w:rPr>
            <w:noProof/>
            <w:webHidden/>
          </w:rPr>
          <w:fldChar w:fldCharType="begin"/>
        </w:r>
        <w:r w:rsidR="00624C4A">
          <w:rPr>
            <w:noProof/>
            <w:webHidden/>
          </w:rPr>
          <w:instrText xml:space="preserve"> PAGEREF _Toc190169650 \h </w:instrText>
        </w:r>
        <w:r w:rsidR="00624C4A">
          <w:rPr>
            <w:noProof/>
            <w:webHidden/>
          </w:rPr>
        </w:r>
        <w:r w:rsidR="00624C4A">
          <w:rPr>
            <w:noProof/>
            <w:webHidden/>
          </w:rPr>
          <w:fldChar w:fldCharType="separate"/>
        </w:r>
        <w:r w:rsidR="00624C4A">
          <w:rPr>
            <w:noProof/>
            <w:webHidden/>
          </w:rPr>
          <w:t>4</w:t>
        </w:r>
        <w:r w:rsidR="00624C4A">
          <w:rPr>
            <w:noProof/>
            <w:webHidden/>
          </w:rPr>
          <w:fldChar w:fldCharType="end"/>
        </w:r>
      </w:hyperlink>
    </w:p>
    <w:p w14:paraId="76AB2961" w14:textId="76129599" w:rsidR="00624C4A" w:rsidRDefault="00624C4A">
      <w:pPr>
        <w:pStyle w:val="TOC1"/>
        <w:rPr>
          <w:rFonts w:asciiTheme="minorHAnsi" w:eastAsiaTheme="minorEastAsia" w:hAnsiTheme="minorHAnsi" w:cstheme="minorBidi"/>
          <w:noProof/>
          <w:kern w:val="2"/>
          <w:sz w:val="24"/>
          <w14:ligatures w14:val="standardContextual"/>
        </w:rPr>
      </w:pPr>
      <w:hyperlink w:anchor="_Toc190169651" w:history="1">
        <w:r w:rsidRPr="00EA2921">
          <w:rPr>
            <w:rStyle w:val="Hyperlink"/>
            <w:noProof/>
          </w:rPr>
          <w:t>2.</w:t>
        </w:r>
        <w:r>
          <w:rPr>
            <w:rFonts w:asciiTheme="minorHAnsi" w:eastAsiaTheme="minorEastAsia" w:hAnsiTheme="minorHAnsi" w:cstheme="minorBidi"/>
            <w:noProof/>
            <w:kern w:val="2"/>
            <w:sz w:val="24"/>
            <w14:ligatures w14:val="standardContextual"/>
          </w:rPr>
          <w:tab/>
        </w:r>
        <w:r w:rsidRPr="00EA2921">
          <w:rPr>
            <w:rStyle w:val="Hyperlink"/>
            <w:noProof/>
          </w:rPr>
          <w:t>IIA formas apraksts</w:t>
        </w:r>
        <w:r>
          <w:rPr>
            <w:noProof/>
            <w:webHidden/>
          </w:rPr>
          <w:tab/>
        </w:r>
        <w:r>
          <w:rPr>
            <w:noProof/>
            <w:webHidden/>
          </w:rPr>
          <w:fldChar w:fldCharType="begin"/>
        </w:r>
        <w:r>
          <w:rPr>
            <w:noProof/>
            <w:webHidden/>
          </w:rPr>
          <w:instrText xml:space="preserve"> PAGEREF _Toc190169651 \h </w:instrText>
        </w:r>
        <w:r>
          <w:rPr>
            <w:noProof/>
            <w:webHidden/>
          </w:rPr>
        </w:r>
        <w:r>
          <w:rPr>
            <w:noProof/>
            <w:webHidden/>
          </w:rPr>
          <w:fldChar w:fldCharType="separate"/>
        </w:r>
        <w:r>
          <w:rPr>
            <w:noProof/>
            <w:webHidden/>
          </w:rPr>
          <w:t>5</w:t>
        </w:r>
        <w:r>
          <w:rPr>
            <w:noProof/>
            <w:webHidden/>
          </w:rPr>
          <w:fldChar w:fldCharType="end"/>
        </w:r>
      </w:hyperlink>
    </w:p>
    <w:p w14:paraId="1F5F6AEC" w14:textId="1D7FC465" w:rsidR="00624C4A" w:rsidRDefault="00624C4A">
      <w:pPr>
        <w:pStyle w:val="TOC2"/>
        <w:rPr>
          <w:rFonts w:asciiTheme="minorHAnsi" w:eastAsiaTheme="minorEastAsia" w:hAnsiTheme="minorHAnsi" w:cstheme="minorBidi"/>
          <w:kern w:val="2"/>
          <w:sz w:val="24"/>
          <w14:ligatures w14:val="standardContextual"/>
        </w:rPr>
      </w:pPr>
      <w:hyperlink w:anchor="_Toc190169652" w:history="1">
        <w:r w:rsidRPr="00EA2921">
          <w:rPr>
            <w:rStyle w:val="Hyperlink"/>
          </w:rPr>
          <w:t>2.1</w:t>
        </w:r>
        <w:r>
          <w:rPr>
            <w:rFonts w:asciiTheme="minorHAnsi" w:eastAsiaTheme="minorEastAsia" w:hAnsiTheme="minorHAnsi" w:cstheme="minorBidi"/>
            <w:kern w:val="2"/>
            <w:sz w:val="24"/>
            <w14:ligatures w14:val="standardContextual"/>
          </w:rPr>
          <w:tab/>
        </w:r>
        <w:r w:rsidRPr="00EA2921">
          <w:rPr>
            <w:rStyle w:val="Hyperlink"/>
          </w:rPr>
          <w:t>Dati</w:t>
        </w:r>
        <w:r>
          <w:rPr>
            <w:webHidden/>
          </w:rPr>
          <w:tab/>
        </w:r>
        <w:r>
          <w:rPr>
            <w:webHidden/>
          </w:rPr>
          <w:fldChar w:fldCharType="begin"/>
        </w:r>
        <w:r>
          <w:rPr>
            <w:webHidden/>
          </w:rPr>
          <w:instrText xml:space="preserve"> PAGEREF _Toc190169652 \h </w:instrText>
        </w:r>
        <w:r>
          <w:rPr>
            <w:webHidden/>
          </w:rPr>
        </w:r>
        <w:r>
          <w:rPr>
            <w:webHidden/>
          </w:rPr>
          <w:fldChar w:fldCharType="separate"/>
        </w:r>
        <w:r>
          <w:rPr>
            <w:webHidden/>
          </w:rPr>
          <w:t>5</w:t>
        </w:r>
        <w:r>
          <w:rPr>
            <w:webHidden/>
          </w:rPr>
          <w:fldChar w:fldCharType="end"/>
        </w:r>
      </w:hyperlink>
    </w:p>
    <w:p w14:paraId="2A959CCD" w14:textId="6890041C" w:rsidR="00624C4A" w:rsidRDefault="00624C4A">
      <w:pPr>
        <w:pStyle w:val="TOC2"/>
        <w:rPr>
          <w:rFonts w:asciiTheme="minorHAnsi" w:eastAsiaTheme="minorEastAsia" w:hAnsiTheme="minorHAnsi" w:cstheme="minorBidi"/>
          <w:kern w:val="2"/>
          <w:sz w:val="24"/>
          <w14:ligatures w14:val="standardContextual"/>
        </w:rPr>
      </w:pPr>
      <w:hyperlink w:anchor="_Toc190169653" w:history="1">
        <w:r w:rsidRPr="00EA2921">
          <w:rPr>
            <w:rStyle w:val="Hyperlink"/>
          </w:rPr>
          <w:t>2.2</w:t>
        </w:r>
        <w:r>
          <w:rPr>
            <w:rFonts w:asciiTheme="minorHAnsi" w:eastAsiaTheme="minorEastAsia" w:hAnsiTheme="minorHAnsi" w:cstheme="minorBidi"/>
            <w:kern w:val="2"/>
            <w:sz w:val="24"/>
            <w14:ligatures w14:val="standardContextual"/>
          </w:rPr>
          <w:tab/>
        </w:r>
        <w:r w:rsidRPr="00EA2921">
          <w:rPr>
            <w:rStyle w:val="Hyperlink"/>
          </w:rPr>
          <w:t>Dati par projektu</w:t>
        </w:r>
        <w:r>
          <w:rPr>
            <w:webHidden/>
          </w:rPr>
          <w:tab/>
        </w:r>
        <w:r>
          <w:rPr>
            <w:webHidden/>
          </w:rPr>
          <w:fldChar w:fldCharType="begin"/>
        </w:r>
        <w:r>
          <w:rPr>
            <w:webHidden/>
          </w:rPr>
          <w:instrText xml:space="preserve"> PAGEREF _Toc190169653 \h </w:instrText>
        </w:r>
        <w:r>
          <w:rPr>
            <w:webHidden/>
          </w:rPr>
        </w:r>
        <w:r>
          <w:rPr>
            <w:webHidden/>
          </w:rPr>
          <w:fldChar w:fldCharType="separate"/>
        </w:r>
        <w:r>
          <w:rPr>
            <w:webHidden/>
          </w:rPr>
          <w:t>5</w:t>
        </w:r>
        <w:r>
          <w:rPr>
            <w:webHidden/>
          </w:rPr>
          <w:fldChar w:fldCharType="end"/>
        </w:r>
      </w:hyperlink>
    </w:p>
    <w:p w14:paraId="48AD3FBC" w14:textId="11160F9B" w:rsidR="00624C4A" w:rsidRDefault="00624C4A">
      <w:pPr>
        <w:pStyle w:val="TOC2"/>
        <w:rPr>
          <w:rFonts w:asciiTheme="minorHAnsi" w:eastAsiaTheme="minorEastAsia" w:hAnsiTheme="minorHAnsi" w:cstheme="minorBidi"/>
          <w:kern w:val="2"/>
          <w:sz w:val="24"/>
          <w14:ligatures w14:val="standardContextual"/>
        </w:rPr>
      </w:pPr>
      <w:hyperlink w:anchor="_Toc190169654" w:history="1">
        <w:r w:rsidRPr="00EA2921">
          <w:rPr>
            <w:rStyle w:val="Hyperlink"/>
          </w:rPr>
          <w:t>2.3</w:t>
        </w:r>
        <w:r>
          <w:rPr>
            <w:rFonts w:asciiTheme="minorHAnsi" w:eastAsiaTheme="minorEastAsia" w:hAnsiTheme="minorHAnsi" w:cstheme="minorBidi"/>
            <w:kern w:val="2"/>
            <w:sz w:val="24"/>
            <w14:ligatures w14:val="standardContextual"/>
          </w:rPr>
          <w:tab/>
        </w:r>
        <w:r w:rsidRPr="00EA2921">
          <w:rPr>
            <w:rStyle w:val="Hyperlink"/>
          </w:rPr>
          <w:t>1.1.A. Iesniedzējs</w:t>
        </w:r>
        <w:r>
          <w:rPr>
            <w:webHidden/>
          </w:rPr>
          <w:tab/>
        </w:r>
        <w:r>
          <w:rPr>
            <w:webHidden/>
          </w:rPr>
          <w:fldChar w:fldCharType="begin"/>
        </w:r>
        <w:r>
          <w:rPr>
            <w:webHidden/>
          </w:rPr>
          <w:instrText xml:space="preserve"> PAGEREF _Toc190169654 \h </w:instrText>
        </w:r>
        <w:r>
          <w:rPr>
            <w:webHidden/>
          </w:rPr>
        </w:r>
        <w:r>
          <w:rPr>
            <w:webHidden/>
          </w:rPr>
          <w:fldChar w:fldCharType="separate"/>
        </w:r>
        <w:r>
          <w:rPr>
            <w:webHidden/>
          </w:rPr>
          <w:t>5</w:t>
        </w:r>
        <w:r>
          <w:rPr>
            <w:webHidden/>
          </w:rPr>
          <w:fldChar w:fldCharType="end"/>
        </w:r>
      </w:hyperlink>
    </w:p>
    <w:p w14:paraId="3972F247" w14:textId="57CA38F6" w:rsidR="00624C4A" w:rsidRDefault="00624C4A">
      <w:pPr>
        <w:pStyle w:val="TOC2"/>
        <w:rPr>
          <w:rFonts w:asciiTheme="minorHAnsi" w:eastAsiaTheme="minorEastAsia" w:hAnsiTheme="minorHAnsi" w:cstheme="minorBidi"/>
          <w:kern w:val="2"/>
          <w:sz w:val="24"/>
          <w14:ligatures w14:val="standardContextual"/>
        </w:rPr>
      </w:pPr>
      <w:hyperlink w:anchor="_Toc190169655" w:history="1">
        <w:r w:rsidRPr="00EA2921">
          <w:rPr>
            <w:rStyle w:val="Hyperlink"/>
          </w:rPr>
          <w:t>2.4</w:t>
        </w:r>
        <w:r>
          <w:rPr>
            <w:rFonts w:asciiTheme="minorHAnsi" w:eastAsiaTheme="minorEastAsia" w:hAnsiTheme="minorHAnsi" w:cstheme="minorBidi"/>
            <w:kern w:val="2"/>
            <w:sz w:val="24"/>
            <w14:ligatures w14:val="standardContextual"/>
          </w:rPr>
          <w:tab/>
        </w:r>
        <w:r w:rsidRPr="00EA2921">
          <w:rPr>
            <w:rStyle w:val="Hyperlink"/>
          </w:rPr>
          <w:t>2. DL invest.n.pl.BEZ pr.</w:t>
        </w:r>
        <w:r>
          <w:rPr>
            <w:webHidden/>
          </w:rPr>
          <w:tab/>
        </w:r>
        <w:r>
          <w:rPr>
            <w:webHidden/>
          </w:rPr>
          <w:fldChar w:fldCharType="begin"/>
        </w:r>
        <w:r>
          <w:rPr>
            <w:webHidden/>
          </w:rPr>
          <w:instrText xml:space="preserve"> PAGEREF _Toc190169655 \h </w:instrText>
        </w:r>
        <w:r>
          <w:rPr>
            <w:webHidden/>
          </w:rPr>
        </w:r>
        <w:r>
          <w:rPr>
            <w:webHidden/>
          </w:rPr>
          <w:fldChar w:fldCharType="separate"/>
        </w:r>
        <w:r>
          <w:rPr>
            <w:webHidden/>
          </w:rPr>
          <w:t>5</w:t>
        </w:r>
        <w:r>
          <w:rPr>
            <w:webHidden/>
          </w:rPr>
          <w:fldChar w:fldCharType="end"/>
        </w:r>
      </w:hyperlink>
    </w:p>
    <w:p w14:paraId="09C5659D" w14:textId="2F5227C6" w:rsidR="00624C4A" w:rsidRDefault="00624C4A">
      <w:pPr>
        <w:pStyle w:val="TOC2"/>
        <w:rPr>
          <w:rFonts w:asciiTheme="minorHAnsi" w:eastAsiaTheme="minorEastAsia" w:hAnsiTheme="minorHAnsi" w:cstheme="minorBidi"/>
          <w:kern w:val="2"/>
          <w:sz w:val="24"/>
          <w14:ligatures w14:val="standardContextual"/>
        </w:rPr>
      </w:pPr>
      <w:hyperlink w:anchor="_Toc190169656" w:history="1">
        <w:r w:rsidRPr="00EA2921">
          <w:rPr>
            <w:rStyle w:val="Hyperlink"/>
          </w:rPr>
          <w:t>2.5</w:t>
        </w:r>
        <w:r>
          <w:rPr>
            <w:rFonts w:asciiTheme="minorHAnsi" w:eastAsiaTheme="minorEastAsia" w:hAnsiTheme="minorHAnsi" w:cstheme="minorBidi"/>
            <w:kern w:val="2"/>
            <w:sz w:val="24"/>
            <w14:ligatures w14:val="standardContextual"/>
          </w:rPr>
          <w:tab/>
        </w:r>
        <w:r w:rsidRPr="00EA2921">
          <w:rPr>
            <w:rStyle w:val="Hyperlink"/>
          </w:rPr>
          <w:t>3. DL invest.n.pl.AR pr.</w:t>
        </w:r>
        <w:r>
          <w:rPr>
            <w:webHidden/>
          </w:rPr>
          <w:tab/>
        </w:r>
        <w:r>
          <w:rPr>
            <w:webHidden/>
          </w:rPr>
          <w:fldChar w:fldCharType="begin"/>
        </w:r>
        <w:r>
          <w:rPr>
            <w:webHidden/>
          </w:rPr>
          <w:instrText xml:space="preserve"> PAGEREF _Toc190169656 \h </w:instrText>
        </w:r>
        <w:r>
          <w:rPr>
            <w:webHidden/>
          </w:rPr>
        </w:r>
        <w:r>
          <w:rPr>
            <w:webHidden/>
          </w:rPr>
          <w:fldChar w:fldCharType="separate"/>
        </w:r>
        <w:r>
          <w:rPr>
            <w:webHidden/>
          </w:rPr>
          <w:t>5</w:t>
        </w:r>
        <w:r>
          <w:rPr>
            <w:webHidden/>
          </w:rPr>
          <w:fldChar w:fldCharType="end"/>
        </w:r>
      </w:hyperlink>
    </w:p>
    <w:p w14:paraId="74D7E703" w14:textId="375891FA" w:rsidR="00624C4A" w:rsidRDefault="00624C4A">
      <w:pPr>
        <w:pStyle w:val="TOC2"/>
        <w:rPr>
          <w:rFonts w:asciiTheme="minorHAnsi" w:eastAsiaTheme="minorEastAsia" w:hAnsiTheme="minorHAnsi" w:cstheme="minorBidi"/>
          <w:kern w:val="2"/>
          <w:sz w:val="24"/>
          <w14:ligatures w14:val="standardContextual"/>
        </w:rPr>
      </w:pPr>
      <w:hyperlink w:anchor="_Toc190169657" w:history="1">
        <w:r w:rsidRPr="00EA2921">
          <w:rPr>
            <w:rStyle w:val="Hyperlink"/>
          </w:rPr>
          <w:t>2.6</w:t>
        </w:r>
        <w:r>
          <w:rPr>
            <w:rFonts w:asciiTheme="minorHAnsi" w:eastAsiaTheme="minorEastAsia" w:hAnsiTheme="minorHAnsi" w:cstheme="minorBidi"/>
            <w:kern w:val="2"/>
            <w:sz w:val="24"/>
            <w14:ligatures w14:val="standardContextual"/>
          </w:rPr>
          <w:tab/>
        </w:r>
        <w:r w:rsidRPr="00EA2921">
          <w:rPr>
            <w:rStyle w:val="Hyperlink"/>
          </w:rPr>
          <w:t>4.DL Finansiālā ilgtspēja</w:t>
        </w:r>
        <w:r>
          <w:rPr>
            <w:webHidden/>
          </w:rPr>
          <w:tab/>
        </w:r>
        <w:r>
          <w:rPr>
            <w:webHidden/>
          </w:rPr>
          <w:fldChar w:fldCharType="begin"/>
        </w:r>
        <w:r>
          <w:rPr>
            <w:webHidden/>
          </w:rPr>
          <w:instrText xml:space="preserve"> PAGEREF _Toc190169657 \h </w:instrText>
        </w:r>
        <w:r>
          <w:rPr>
            <w:webHidden/>
          </w:rPr>
        </w:r>
        <w:r>
          <w:rPr>
            <w:webHidden/>
          </w:rPr>
          <w:fldChar w:fldCharType="separate"/>
        </w:r>
        <w:r>
          <w:rPr>
            <w:webHidden/>
          </w:rPr>
          <w:t>6</w:t>
        </w:r>
        <w:r>
          <w:rPr>
            <w:webHidden/>
          </w:rPr>
          <w:fldChar w:fldCharType="end"/>
        </w:r>
      </w:hyperlink>
    </w:p>
    <w:p w14:paraId="19C65A06" w14:textId="452A5525" w:rsidR="00624C4A" w:rsidRDefault="00624C4A">
      <w:pPr>
        <w:pStyle w:val="TOC2"/>
        <w:rPr>
          <w:rFonts w:asciiTheme="minorHAnsi" w:eastAsiaTheme="minorEastAsia" w:hAnsiTheme="minorHAnsi" w:cstheme="minorBidi"/>
          <w:kern w:val="2"/>
          <w:sz w:val="24"/>
          <w14:ligatures w14:val="standardContextual"/>
        </w:rPr>
      </w:pPr>
      <w:hyperlink w:anchor="_Toc190169658" w:history="1">
        <w:r w:rsidRPr="00EA2921">
          <w:rPr>
            <w:rStyle w:val="Hyperlink"/>
          </w:rPr>
          <w:t>2.7</w:t>
        </w:r>
        <w:r>
          <w:rPr>
            <w:rFonts w:asciiTheme="minorHAnsi" w:eastAsiaTheme="minorEastAsia" w:hAnsiTheme="minorHAnsi" w:cstheme="minorBidi"/>
            <w:kern w:val="2"/>
            <w:sz w:val="24"/>
            <w14:ligatures w14:val="standardContextual"/>
          </w:rPr>
          <w:tab/>
        </w:r>
        <w:r w:rsidRPr="00EA2921">
          <w:rPr>
            <w:rStyle w:val="Hyperlink"/>
          </w:rPr>
          <w:t>5.DL soc.econom. analīze</w:t>
        </w:r>
        <w:r>
          <w:rPr>
            <w:webHidden/>
          </w:rPr>
          <w:tab/>
        </w:r>
        <w:r>
          <w:rPr>
            <w:webHidden/>
          </w:rPr>
          <w:fldChar w:fldCharType="begin"/>
        </w:r>
        <w:r>
          <w:rPr>
            <w:webHidden/>
          </w:rPr>
          <w:instrText xml:space="preserve"> PAGEREF _Toc190169658 \h </w:instrText>
        </w:r>
        <w:r>
          <w:rPr>
            <w:webHidden/>
          </w:rPr>
        </w:r>
        <w:r>
          <w:rPr>
            <w:webHidden/>
          </w:rPr>
          <w:fldChar w:fldCharType="separate"/>
        </w:r>
        <w:r>
          <w:rPr>
            <w:webHidden/>
          </w:rPr>
          <w:t>6</w:t>
        </w:r>
        <w:r>
          <w:rPr>
            <w:webHidden/>
          </w:rPr>
          <w:fldChar w:fldCharType="end"/>
        </w:r>
      </w:hyperlink>
    </w:p>
    <w:p w14:paraId="69785C70" w14:textId="0FCFDA0B" w:rsidR="00624C4A" w:rsidRDefault="00624C4A">
      <w:pPr>
        <w:pStyle w:val="TOC2"/>
        <w:rPr>
          <w:rFonts w:asciiTheme="minorHAnsi" w:eastAsiaTheme="minorEastAsia" w:hAnsiTheme="minorHAnsi" w:cstheme="minorBidi"/>
          <w:kern w:val="2"/>
          <w:sz w:val="24"/>
          <w14:ligatures w14:val="standardContextual"/>
        </w:rPr>
      </w:pPr>
      <w:hyperlink w:anchor="_Toc190169659" w:history="1">
        <w:r w:rsidRPr="00EA2921">
          <w:rPr>
            <w:rStyle w:val="Hyperlink"/>
          </w:rPr>
          <w:t>2.8</w:t>
        </w:r>
        <w:r>
          <w:rPr>
            <w:rFonts w:asciiTheme="minorHAnsi" w:eastAsiaTheme="minorEastAsia" w:hAnsiTheme="minorHAnsi" w:cstheme="minorBidi"/>
            <w:kern w:val="2"/>
            <w:sz w:val="24"/>
            <w14:ligatures w14:val="standardContextual"/>
          </w:rPr>
          <w:tab/>
        </w:r>
        <w:r w:rsidRPr="00EA2921">
          <w:rPr>
            <w:rStyle w:val="Hyperlink"/>
          </w:rPr>
          <w:t>6. DL finanšu_analīze</w:t>
        </w:r>
        <w:r>
          <w:rPr>
            <w:webHidden/>
          </w:rPr>
          <w:tab/>
        </w:r>
        <w:r>
          <w:rPr>
            <w:webHidden/>
          </w:rPr>
          <w:fldChar w:fldCharType="begin"/>
        </w:r>
        <w:r>
          <w:rPr>
            <w:webHidden/>
          </w:rPr>
          <w:instrText xml:space="preserve"> PAGEREF _Toc190169659 \h </w:instrText>
        </w:r>
        <w:r>
          <w:rPr>
            <w:webHidden/>
          </w:rPr>
        </w:r>
        <w:r>
          <w:rPr>
            <w:webHidden/>
          </w:rPr>
          <w:fldChar w:fldCharType="separate"/>
        </w:r>
        <w:r>
          <w:rPr>
            <w:webHidden/>
          </w:rPr>
          <w:t>6</w:t>
        </w:r>
        <w:r>
          <w:rPr>
            <w:webHidden/>
          </w:rPr>
          <w:fldChar w:fldCharType="end"/>
        </w:r>
      </w:hyperlink>
    </w:p>
    <w:p w14:paraId="497F20BC" w14:textId="7A9387F4" w:rsidR="00624C4A" w:rsidRDefault="00624C4A">
      <w:pPr>
        <w:pStyle w:val="TOC2"/>
        <w:rPr>
          <w:rFonts w:asciiTheme="minorHAnsi" w:eastAsiaTheme="minorEastAsia" w:hAnsiTheme="minorHAnsi" w:cstheme="minorBidi"/>
          <w:kern w:val="2"/>
          <w:sz w:val="24"/>
          <w14:ligatures w14:val="standardContextual"/>
        </w:rPr>
      </w:pPr>
      <w:hyperlink w:anchor="_Toc190169660" w:history="1">
        <w:r w:rsidRPr="00EA2921">
          <w:rPr>
            <w:rStyle w:val="Hyperlink"/>
          </w:rPr>
          <w:t>2.9</w:t>
        </w:r>
        <w:r>
          <w:rPr>
            <w:rFonts w:asciiTheme="minorHAnsi" w:eastAsiaTheme="minorEastAsia" w:hAnsiTheme="minorHAnsi" w:cstheme="minorBidi"/>
            <w:kern w:val="2"/>
            <w:sz w:val="24"/>
            <w14:ligatures w14:val="standardContextual"/>
          </w:rPr>
          <w:tab/>
        </w:r>
        <w:r w:rsidRPr="00EA2921">
          <w:rPr>
            <w:rStyle w:val="Hyperlink"/>
          </w:rPr>
          <w:t>7. DL jut. analīze-Soc.</w:t>
        </w:r>
        <w:r>
          <w:rPr>
            <w:webHidden/>
          </w:rPr>
          <w:tab/>
        </w:r>
        <w:r>
          <w:rPr>
            <w:webHidden/>
          </w:rPr>
          <w:fldChar w:fldCharType="begin"/>
        </w:r>
        <w:r>
          <w:rPr>
            <w:webHidden/>
          </w:rPr>
          <w:instrText xml:space="preserve"> PAGEREF _Toc190169660 \h </w:instrText>
        </w:r>
        <w:r>
          <w:rPr>
            <w:webHidden/>
          </w:rPr>
        </w:r>
        <w:r>
          <w:rPr>
            <w:webHidden/>
          </w:rPr>
          <w:fldChar w:fldCharType="separate"/>
        </w:r>
        <w:r>
          <w:rPr>
            <w:webHidden/>
          </w:rPr>
          <w:t>6</w:t>
        </w:r>
        <w:r>
          <w:rPr>
            <w:webHidden/>
          </w:rPr>
          <w:fldChar w:fldCharType="end"/>
        </w:r>
      </w:hyperlink>
    </w:p>
    <w:p w14:paraId="2D17A34A" w14:textId="4B6FD8AC" w:rsidR="00624C4A" w:rsidRDefault="00624C4A">
      <w:pPr>
        <w:pStyle w:val="TOC2"/>
        <w:rPr>
          <w:rFonts w:asciiTheme="minorHAnsi" w:eastAsiaTheme="minorEastAsia" w:hAnsiTheme="minorHAnsi" w:cstheme="minorBidi"/>
          <w:kern w:val="2"/>
          <w:sz w:val="24"/>
          <w14:ligatures w14:val="standardContextual"/>
        </w:rPr>
      </w:pPr>
      <w:hyperlink w:anchor="_Toc190169661" w:history="1">
        <w:r w:rsidRPr="00EA2921">
          <w:rPr>
            <w:rStyle w:val="Hyperlink"/>
          </w:rPr>
          <w:t>2.10</w:t>
        </w:r>
        <w:r>
          <w:rPr>
            <w:rFonts w:asciiTheme="minorHAnsi" w:eastAsiaTheme="minorEastAsia" w:hAnsiTheme="minorHAnsi" w:cstheme="minorBidi"/>
            <w:kern w:val="2"/>
            <w:sz w:val="24"/>
            <w14:ligatures w14:val="standardContextual"/>
          </w:rPr>
          <w:tab/>
        </w:r>
        <w:r w:rsidRPr="00EA2921">
          <w:rPr>
            <w:rStyle w:val="Hyperlink"/>
          </w:rPr>
          <w:t>8. DL jut. analize-Fin.</w:t>
        </w:r>
        <w:r>
          <w:rPr>
            <w:webHidden/>
          </w:rPr>
          <w:tab/>
        </w:r>
        <w:r>
          <w:rPr>
            <w:webHidden/>
          </w:rPr>
          <w:fldChar w:fldCharType="begin"/>
        </w:r>
        <w:r>
          <w:rPr>
            <w:webHidden/>
          </w:rPr>
          <w:instrText xml:space="preserve"> PAGEREF _Toc190169661 \h </w:instrText>
        </w:r>
        <w:r>
          <w:rPr>
            <w:webHidden/>
          </w:rPr>
        </w:r>
        <w:r>
          <w:rPr>
            <w:webHidden/>
          </w:rPr>
          <w:fldChar w:fldCharType="separate"/>
        </w:r>
        <w:r>
          <w:rPr>
            <w:webHidden/>
          </w:rPr>
          <w:t>7</w:t>
        </w:r>
        <w:r>
          <w:rPr>
            <w:webHidden/>
          </w:rPr>
          <w:fldChar w:fldCharType="end"/>
        </w:r>
      </w:hyperlink>
    </w:p>
    <w:p w14:paraId="7EE0234C" w14:textId="07495CBC" w:rsidR="00624C4A" w:rsidRDefault="00624C4A">
      <w:pPr>
        <w:pStyle w:val="TOC2"/>
        <w:rPr>
          <w:rFonts w:asciiTheme="minorHAnsi" w:eastAsiaTheme="minorEastAsia" w:hAnsiTheme="minorHAnsi" w:cstheme="minorBidi"/>
          <w:kern w:val="2"/>
          <w:sz w:val="24"/>
          <w14:ligatures w14:val="standardContextual"/>
        </w:rPr>
      </w:pPr>
      <w:hyperlink w:anchor="_Toc190169662" w:history="1">
        <w:r w:rsidRPr="00EA2921">
          <w:rPr>
            <w:rStyle w:val="Hyperlink"/>
          </w:rPr>
          <w:t>2.11</w:t>
        </w:r>
        <w:r>
          <w:rPr>
            <w:rFonts w:asciiTheme="minorHAnsi" w:eastAsiaTheme="minorEastAsia" w:hAnsiTheme="minorHAnsi" w:cstheme="minorBidi"/>
            <w:kern w:val="2"/>
            <w:sz w:val="24"/>
            <w14:ligatures w14:val="standardContextual"/>
          </w:rPr>
          <w:tab/>
        </w:r>
        <w:r w:rsidRPr="00EA2921">
          <w:rPr>
            <w:rStyle w:val="Hyperlink"/>
          </w:rPr>
          <w:t>9. DL PI Fin.plans</w:t>
        </w:r>
        <w:r>
          <w:rPr>
            <w:webHidden/>
          </w:rPr>
          <w:tab/>
        </w:r>
        <w:r>
          <w:rPr>
            <w:webHidden/>
          </w:rPr>
          <w:fldChar w:fldCharType="begin"/>
        </w:r>
        <w:r>
          <w:rPr>
            <w:webHidden/>
          </w:rPr>
          <w:instrText xml:space="preserve"> PAGEREF _Toc190169662 \h </w:instrText>
        </w:r>
        <w:r>
          <w:rPr>
            <w:webHidden/>
          </w:rPr>
        </w:r>
        <w:r>
          <w:rPr>
            <w:webHidden/>
          </w:rPr>
          <w:fldChar w:fldCharType="separate"/>
        </w:r>
        <w:r>
          <w:rPr>
            <w:webHidden/>
          </w:rPr>
          <w:t>7</w:t>
        </w:r>
        <w:r>
          <w:rPr>
            <w:webHidden/>
          </w:rPr>
          <w:fldChar w:fldCharType="end"/>
        </w:r>
      </w:hyperlink>
    </w:p>
    <w:p w14:paraId="77B71D82" w14:textId="5D0D4ABC" w:rsidR="00624C4A" w:rsidRDefault="00624C4A">
      <w:pPr>
        <w:pStyle w:val="TOC2"/>
        <w:rPr>
          <w:rFonts w:asciiTheme="minorHAnsi" w:eastAsiaTheme="minorEastAsia" w:hAnsiTheme="minorHAnsi" w:cstheme="minorBidi"/>
          <w:kern w:val="2"/>
          <w:sz w:val="24"/>
          <w14:ligatures w14:val="standardContextual"/>
        </w:rPr>
      </w:pPr>
      <w:hyperlink w:anchor="_Toc190169663" w:history="1">
        <w:r w:rsidRPr="00EA2921">
          <w:rPr>
            <w:rStyle w:val="Hyperlink"/>
          </w:rPr>
          <w:t>2.12</w:t>
        </w:r>
        <w:r>
          <w:rPr>
            <w:rFonts w:asciiTheme="minorHAnsi" w:eastAsiaTheme="minorEastAsia" w:hAnsiTheme="minorHAnsi" w:cstheme="minorBidi"/>
            <w:kern w:val="2"/>
            <w:sz w:val="24"/>
            <w14:ligatures w14:val="standardContextual"/>
          </w:rPr>
          <w:tab/>
        </w:r>
        <w:r w:rsidRPr="00EA2921">
          <w:rPr>
            <w:rStyle w:val="Hyperlink"/>
          </w:rPr>
          <w:t>10. DL PI Budz.kops.</w:t>
        </w:r>
        <w:r>
          <w:rPr>
            <w:webHidden/>
          </w:rPr>
          <w:tab/>
        </w:r>
        <w:r>
          <w:rPr>
            <w:webHidden/>
          </w:rPr>
          <w:fldChar w:fldCharType="begin"/>
        </w:r>
        <w:r>
          <w:rPr>
            <w:webHidden/>
          </w:rPr>
          <w:instrText xml:space="preserve"> PAGEREF _Toc190169663 \h </w:instrText>
        </w:r>
        <w:r>
          <w:rPr>
            <w:webHidden/>
          </w:rPr>
        </w:r>
        <w:r>
          <w:rPr>
            <w:webHidden/>
          </w:rPr>
          <w:fldChar w:fldCharType="separate"/>
        </w:r>
        <w:r>
          <w:rPr>
            <w:webHidden/>
          </w:rPr>
          <w:t>7</w:t>
        </w:r>
        <w:r>
          <w:rPr>
            <w:webHidden/>
          </w:rPr>
          <w:fldChar w:fldCharType="end"/>
        </w:r>
      </w:hyperlink>
    </w:p>
    <w:p w14:paraId="46F3EAA7" w14:textId="23E75143" w:rsidR="00624C4A" w:rsidRDefault="00624C4A">
      <w:pPr>
        <w:pStyle w:val="TOC2"/>
        <w:rPr>
          <w:rFonts w:asciiTheme="minorHAnsi" w:eastAsiaTheme="minorEastAsia" w:hAnsiTheme="minorHAnsi" w:cstheme="minorBidi"/>
          <w:kern w:val="2"/>
          <w:sz w:val="24"/>
          <w14:ligatures w14:val="standardContextual"/>
        </w:rPr>
      </w:pPr>
      <w:hyperlink w:anchor="_Toc190169664" w:history="1">
        <w:r w:rsidRPr="00EA2921">
          <w:rPr>
            <w:rStyle w:val="Hyperlink"/>
          </w:rPr>
          <w:t>2.13</w:t>
        </w:r>
        <w:r>
          <w:rPr>
            <w:rFonts w:asciiTheme="minorHAnsi" w:eastAsiaTheme="minorEastAsia" w:hAnsiTheme="minorHAnsi" w:cstheme="minorBidi"/>
            <w:kern w:val="2"/>
            <w:sz w:val="24"/>
            <w14:ligatures w14:val="standardContextual"/>
          </w:rPr>
          <w:tab/>
        </w:r>
        <w:r w:rsidRPr="00EA2921">
          <w:rPr>
            <w:rStyle w:val="Hyperlink"/>
          </w:rPr>
          <w:t>11. DL 4.pielikums</w:t>
        </w:r>
        <w:r>
          <w:rPr>
            <w:webHidden/>
          </w:rPr>
          <w:tab/>
        </w:r>
        <w:r>
          <w:rPr>
            <w:webHidden/>
          </w:rPr>
          <w:fldChar w:fldCharType="begin"/>
        </w:r>
        <w:r>
          <w:rPr>
            <w:webHidden/>
          </w:rPr>
          <w:instrText xml:space="preserve"> PAGEREF _Toc190169664 \h </w:instrText>
        </w:r>
        <w:r>
          <w:rPr>
            <w:webHidden/>
          </w:rPr>
        </w:r>
        <w:r>
          <w:rPr>
            <w:webHidden/>
          </w:rPr>
          <w:fldChar w:fldCharType="separate"/>
        </w:r>
        <w:r>
          <w:rPr>
            <w:webHidden/>
          </w:rPr>
          <w:t>7</w:t>
        </w:r>
        <w:r>
          <w:rPr>
            <w:webHidden/>
          </w:rPr>
          <w:fldChar w:fldCharType="end"/>
        </w:r>
      </w:hyperlink>
    </w:p>
    <w:p w14:paraId="167DEE33" w14:textId="407C7489" w:rsidR="00624C4A" w:rsidRDefault="00624C4A">
      <w:pPr>
        <w:pStyle w:val="TOC2"/>
        <w:rPr>
          <w:rFonts w:asciiTheme="minorHAnsi" w:eastAsiaTheme="minorEastAsia" w:hAnsiTheme="minorHAnsi" w:cstheme="minorBidi"/>
          <w:kern w:val="2"/>
          <w:sz w:val="24"/>
          <w14:ligatures w14:val="standardContextual"/>
        </w:rPr>
      </w:pPr>
      <w:hyperlink w:anchor="_Toc190169665" w:history="1">
        <w:r w:rsidRPr="00EA2921">
          <w:rPr>
            <w:rStyle w:val="Hyperlink"/>
          </w:rPr>
          <w:t>2.14</w:t>
        </w:r>
        <w:r>
          <w:rPr>
            <w:rFonts w:asciiTheme="minorHAnsi" w:eastAsiaTheme="minorEastAsia" w:hAnsiTheme="minorHAnsi" w:cstheme="minorBidi"/>
            <w:kern w:val="2"/>
            <w:sz w:val="24"/>
            <w14:ligatures w14:val="standardContextual"/>
          </w:rPr>
          <w:tab/>
        </w:r>
        <w:r w:rsidRPr="00EA2921">
          <w:rPr>
            <w:rStyle w:val="Hyperlink"/>
          </w:rPr>
          <w:t>12. Kontroles lapa</w:t>
        </w:r>
        <w:r>
          <w:rPr>
            <w:webHidden/>
          </w:rPr>
          <w:tab/>
        </w:r>
        <w:r>
          <w:rPr>
            <w:webHidden/>
          </w:rPr>
          <w:fldChar w:fldCharType="begin"/>
        </w:r>
        <w:r>
          <w:rPr>
            <w:webHidden/>
          </w:rPr>
          <w:instrText xml:space="preserve"> PAGEREF _Toc190169665 \h </w:instrText>
        </w:r>
        <w:r>
          <w:rPr>
            <w:webHidden/>
          </w:rPr>
        </w:r>
        <w:r>
          <w:rPr>
            <w:webHidden/>
          </w:rPr>
          <w:fldChar w:fldCharType="separate"/>
        </w:r>
        <w:r>
          <w:rPr>
            <w:webHidden/>
          </w:rPr>
          <w:t>7</w:t>
        </w:r>
        <w:r>
          <w:rPr>
            <w:webHidden/>
          </w:rPr>
          <w:fldChar w:fldCharType="end"/>
        </w:r>
      </w:hyperlink>
    </w:p>
    <w:p w14:paraId="7827D2B8" w14:textId="6051218E" w:rsidR="00624C4A" w:rsidRDefault="00624C4A">
      <w:pPr>
        <w:pStyle w:val="TOC2"/>
        <w:rPr>
          <w:rFonts w:asciiTheme="minorHAnsi" w:eastAsiaTheme="minorEastAsia" w:hAnsiTheme="minorHAnsi" w:cstheme="minorBidi"/>
          <w:kern w:val="2"/>
          <w:sz w:val="24"/>
          <w14:ligatures w14:val="standardContextual"/>
        </w:rPr>
      </w:pPr>
      <w:hyperlink w:anchor="_Toc190169666" w:history="1">
        <w:r w:rsidRPr="00EA2921">
          <w:rPr>
            <w:rStyle w:val="Hyperlink"/>
          </w:rPr>
          <w:t>2.15</w:t>
        </w:r>
        <w:r>
          <w:rPr>
            <w:rFonts w:asciiTheme="minorHAnsi" w:eastAsiaTheme="minorEastAsia" w:hAnsiTheme="minorHAnsi" w:cstheme="minorBidi"/>
            <w:kern w:val="2"/>
            <w:sz w:val="24"/>
            <w14:ligatures w14:val="standardContextual"/>
          </w:rPr>
          <w:tab/>
        </w:r>
        <w:r w:rsidRPr="00EA2921">
          <w:rPr>
            <w:rStyle w:val="Hyperlink"/>
          </w:rPr>
          <w:t>Pieņēmumi</w:t>
        </w:r>
        <w:r>
          <w:rPr>
            <w:webHidden/>
          </w:rPr>
          <w:tab/>
        </w:r>
        <w:r>
          <w:rPr>
            <w:webHidden/>
          </w:rPr>
          <w:fldChar w:fldCharType="begin"/>
        </w:r>
        <w:r>
          <w:rPr>
            <w:webHidden/>
          </w:rPr>
          <w:instrText xml:space="preserve"> PAGEREF _Toc190169666 \h </w:instrText>
        </w:r>
        <w:r>
          <w:rPr>
            <w:webHidden/>
          </w:rPr>
        </w:r>
        <w:r>
          <w:rPr>
            <w:webHidden/>
          </w:rPr>
          <w:fldChar w:fldCharType="separate"/>
        </w:r>
        <w:r>
          <w:rPr>
            <w:webHidden/>
          </w:rPr>
          <w:t>7</w:t>
        </w:r>
        <w:r>
          <w:rPr>
            <w:webHidden/>
          </w:rPr>
          <w:fldChar w:fldCharType="end"/>
        </w:r>
      </w:hyperlink>
    </w:p>
    <w:p w14:paraId="2ACBE5E4" w14:textId="28369598" w:rsidR="00624C4A" w:rsidRDefault="00624C4A">
      <w:pPr>
        <w:pStyle w:val="TOC1"/>
        <w:rPr>
          <w:rFonts w:asciiTheme="minorHAnsi" w:eastAsiaTheme="minorEastAsia" w:hAnsiTheme="minorHAnsi" w:cstheme="minorBidi"/>
          <w:noProof/>
          <w:kern w:val="2"/>
          <w:sz w:val="24"/>
          <w14:ligatures w14:val="standardContextual"/>
        </w:rPr>
      </w:pPr>
      <w:hyperlink w:anchor="_Toc190169667" w:history="1">
        <w:r w:rsidRPr="00EA2921">
          <w:rPr>
            <w:rStyle w:val="Hyperlink"/>
            <w:noProof/>
          </w:rPr>
          <w:t>3.</w:t>
        </w:r>
        <w:r>
          <w:rPr>
            <w:rFonts w:asciiTheme="minorHAnsi" w:eastAsiaTheme="minorEastAsia" w:hAnsiTheme="minorHAnsi" w:cstheme="minorBidi"/>
            <w:noProof/>
            <w:kern w:val="2"/>
            <w:sz w:val="24"/>
            <w14:ligatures w14:val="standardContextual"/>
          </w:rPr>
          <w:tab/>
        </w:r>
        <w:r w:rsidRPr="00EA2921">
          <w:rPr>
            <w:rStyle w:val="Hyperlink"/>
            <w:noProof/>
          </w:rPr>
          <w:t>Projekta IIA apraksts</w:t>
        </w:r>
        <w:r>
          <w:rPr>
            <w:noProof/>
            <w:webHidden/>
          </w:rPr>
          <w:tab/>
        </w:r>
        <w:r>
          <w:rPr>
            <w:noProof/>
            <w:webHidden/>
          </w:rPr>
          <w:fldChar w:fldCharType="begin"/>
        </w:r>
        <w:r>
          <w:rPr>
            <w:noProof/>
            <w:webHidden/>
          </w:rPr>
          <w:instrText xml:space="preserve"> PAGEREF _Toc190169667 \h </w:instrText>
        </w:r>
        <w:r>
          <w:rPr>
            <w:noProof/>
            <w:webHidden/>
          </w:rPr>
        </w:r>
        <w:r>
          <w:rPr>
            <w:noProof/>
            <w:webHidden/>
          </w:rPr>
          <w:fldChar w:fldCharType="separate"/>
        </w:r>
        <w:r>
          <w:rPr>
            <w:noProof/>
            <w:webHidden/>
          </w:rPr>
          <w:t>9</w:t>
        </w:r>
        <w:r>
          <w:rPr>
            <w:noProof/>
            <w:webHidden/>
          </w:rPr>
          <w:fldChar w:fldCharType="end"/>
        </w:r>
      </w:hyperlink>
    </w:p>
    <w:p w14:paraId="6B3F17D8" w14:textId="2C58E53B" w:rsidR="00624C4A" w:rsidRDefault="00624C4A">
      <w:pPr>
        <w:pStyle w:val="TOC2"/>
        <w:rPr>
          <w:rFonts w:asciiTheme="minorHAnsi" w:eastAsiaTheme="minorEastAsia" w:hAnsiTheme="minorHAnsi" w:cstheme="minorBidi"/>
          <w:kern w:val="2"/>
          <w:sz w:val="24"/>
          <w14:ligatures w14:val="standardContextual"/>
        </w:rPr>
      </w:pPr>
      <w:hyperlink w:anchor="_Toc190169668" w:history="1">
        <w:r w:rsidRPr="00EA2921">
          <w:rPr>
            <w:rStyle w:val="Hyperlink"/>
          </w:rPr>
          <w:t>3.1</w:t>
        </w:r>
        <w:r>
          <w:rPr>
            <w:rFonts w:asciiTheme="minorHAnsi" w:eastAsiaTheme="minorEastAsia" w:hAnsiTheme="minorHAnsi" w:cstheme="minorBidi"/>
            <w:kern w:val="2"/>
            <w:sz w:val="24"/>
            <w14:ligatures w14:val="standardContextual"/>
          </w:rPr>
          <w:tab/>
        </w:r>
        <w:r w:rsidRPr="00EA2921">
          <w:rPr>
            <w:rStyle w:val="Hyperlink"/>
          </w:rPr>
          <w:t>Finanšu analīze</w:t>
        </w:r>
        <w:r>
          <w:rPr>
            <w:webHidden/>
          </w:rPr>
          <w:tab/>
        </w:r>
        <w:r>
          <w:rPr>
            <w:webHidden/>
          </w:rPr>
          <w:fldChar w:fldCharType="begin"/>
        </w:r>
        <w:r>
          <w:rPr>
            <w:webHidden/>
          </w:rPr>
          <w:instrText xml:space="preserve"> PAGEREF _Toc190169668 \h </w:instrText>
        </w:r>
        <w:r>
          <w:rPr>
            <w:webHidden/>
          </w:rPr>
        </w:r>
        <w:r>
          <w:rPr>
            <w:webHidden/>
          </w:rPr>
          <w:fldChar w:fldCharType="separate"/>
        </w:r>
        <w:r>
          <w:rPr>
            <w:webHidden/>
          </w:rPr>
          <w:t>9</w:t>
        </w:r>
        <w:r>
          <w:rPr>
            <w:webHidden/>
          </w:rPr>
          <w:fldChar w:fldCharType="end"/>
        </w:r>
      </w:hyperlink>
    </w:p>
    <w:p w14:paraId="6E82A643" w14:textId="31D64CAA" w:rsidR="00624C4A" w:rsidRDefault="00624C4A">
      <w:pPr>
        <w:pStyle w:val="TOC2"/>
        <w:rPr>
          <w:rFonts w:asciiTheme="minorHAnsi" w:eastAsiaTheme="minorEastAsia" w:hAnsiTheme="minorHAnsi" w:cstheme="minorBidi"/>
          <w:kern w:val="2"/>
          <w:sz w:val="24"/>
          <w14:ligatures w14:val="standardContextual"/>
        </w:rPr>
      </w:pPr>
      <w:hyperlink w:anchor="_Toc190169669" w:history="1">
        <w:r w:rsidRPr="00EA2921">
          <w:rPr>
            <w:rStyle w:val="Hyperlink"/>
          </w:rPr>
          <w:t>3.2</w:t>
        </w:r>
        <w:r>
          <w:rPr>
            <w:rFonts w:asciiTheme="minorHAnsi" w:eastAsiaTheme="minorEastAsia" w:hAnsiTheme="minorHAnsi" w:cstheme="minorBidi"/>
            <w:kern w:val="2"/>
            <w:sz w:val="24"/>
            <w14:ligatures w14:val="standardContextual"/>
          </w:rPr>
          <w:tab/>
        </w:r>
        <w:r w:rsidRPr="00EA2921">
          <w:rPr>
            <w:rStyle w:val="Hyperlink"/>
          </w:rPr>
          <w:t>Ekonomiskā analīze</w:t>
        </w:r>
        <w:r>
          <w:rPr>
            <w:webHidden/>
          </w:rPr>
          <w:tab/>
        </w:r>
        <w:r>
          <w:rPr>
            <w:webHidden/>
          </w:rPr>
          <w:fldChar w:fldCharType="begin"/>
        </w:r>
        <w:r>
          <w:rPr>
            <w:webHidden/>
          </w:rPr>
          <w:instrText xml:space="preserve"> PAGEREF _Toc190169669 \h </w:instrText>
        </w:r>
        <w:r>
          <w:rPr>
            <w:webHidden/>
          </w:rPr>
        </w:r>
        <w:r>
          <w:rPr>
            <w:webHidden/>
          </w:rPr>
          <w:fldChar w:fldCharType="separate"/>
        </w:r>
        <w:r>
          <w:rPr>
            <w:webHidden/>
          </w:rPr>
          <w:t>11</w:t>
        </w:r>
        <w:r>
          <w:rPr>
            <w:webHidden/>
          </w:rPr>
          <w:fldChar w:fldCharType="end"/>
        </w:r>
      </w:hyperlink>
    </w:p>
    <w:p w14:paraId="25314EA7" w14:textId="24721A10" w:rsidR="00624C4A" w:rsidRDefault="00624C4A">
      <w:pPr>
        <w:pStyle w:val="TOC2"/>
        <w:rPr>
          <w:rFonts w:asciiTheme="minorHAnsi" w:eastAsiaTheme="minorEastAsia" w:hAnsiTheme="minorHAnsi" w:cstheme="minorBidi"/>
          <w:kern w:val="2"/>
          <w:sz w:val="24"/>
          <w14:ligatures w14:val="standardContextual"/>
        </w:rPr>
      </w:pPr>
      <w:hyperlink w:anchor="_Toc190169670" w:history="1">
        <w:r w:rsidRPr="00EA2921">
          <w:rPr>
            <w:rStyle w:val="Hyperlink"/>
          </w:rPr>
          <w:t>3.3</w:t>
        </w:r>
        <w:r>
          <w:rPr>
            <w:rFonts w:asciiTheme="minorHAnsi" w:eastAsiaTheme="minorEastAsia" w:hAnsiTheme="minorHAnsi" w:cstheme="minorBidi"/>
            <w:kern w:val="2"/>
            <w:sz w:val="24"/>
            <w14:ligatures w14:val="standardContextual"/>
          </w:rPr>
          <w:tab/>
        </w:r>
        <w:r w:rsidRPr="00EA2921">
          <w:rPr>
            <w:rStyle w:val="Hyperlink"/>
          </w:rPr>
          <w:t>Jutīguma un risku analīze</w:t>
        </w:r>
        <w:r>
          <w:rPr>
            <w:webHidden/>
          </w:rPr>
          <w:tab/>
        </w:r>
        <w:r>
          <w:rPr>
            <w:webHidden/>
          </w:rPr>
          <w:fldChar w:fldCharType="begin"/>
        </w:r>
        <w:r>
          <w:rPr>
            <w:webHidden/>
          </w:rPr>
          <w:instrText xml:space="preserve"> PAGEREF _Toc190169670 \h </w:instrText>
        </w:r>
        <w:r>
          <w:rPr>
            <w:webHidden/>
          </w:rPr>
        </w:r>
        <w:r>
          <w:rPr>
            <w:webHidden/>
          </w:rPr>
          <w:fldChar w:fldCharType="separate"/>
        </w:r>
        <w:r>
          <w:rPr>
            <w:webHidden/>
          </w:rPr>
          <w:t>12</w:t>
        </w:r>
        <w:r>
          <w:rPr>
            <w:webHidden/>
          </w:rPr>
          <w:fldChar w:fldCharType="end"/>
        </w:r>
      </w:hyperlink>
    </w:p>
    <w:p w14:paraId="2380C07F" w14:textId="6FA32F50" w:rsidR="00201CE5" w:rsidRPr="00B136B5" w:rsidRDefault="00F9174B" w:rsidP="00E90178">
      <w:pPr>
        <w:pStyle w:val="GaramondTeksts"/>
        <w:spacing w:line="240" w:lineRule="auto"/>
      </w:pPr>
      <w:r w:rsidRPr="00B136B5">
        <w:fldChar w:fldCharType="end"/>
      </w:r>
      <w:r w:rsidR="00201CE5" w:rsidRPr="00B136B5">
        <w:br w:type="page"/>
      </w:r>
    </w:p>
    <w:p w14:paraId="2BE38F54" w14:textId="77777777" w:rsidR="00830E94" w:rsidRDefault="00830E94" w:rsidP="00E90178">
      <w:pPr>
        <w:pStyle w:val="GaramondTeksts"/>
        <w:spacing w:line="240" w:lineRule="auto"/>
        <w:rPr>
          <w:b/>
          <w:sz w:val="32"/>
        </w:rPr>
      </w:pPr>
      <w:bookmarkStart w:id="1" w:name="_Toc226893010"/>
    </w:p>
    <w:p w14:paraId="1D658EB9" w14:textId="595987EB" w:rsidR="00201CE5" w:rsidRPr="00B136B5" w:rsidRDefault="00201CE5" w:rsidP="00E90178">
      <w:pPr>
        <w:pStyle w:val="GaramondTeksts"/>
        <w:spacing w:line="240" w:lineRule="auto"/>
        <w:rPr>
          <w:b/>
          <w:sz w:val="32"/>
        </w:rPr>
      </w:pPr>
      <w:r w:rsidRPr="002E3076">
        <w:rPr>
          <w:b/>
          <w:sz w:val="32"/>
        </w:rPr>
        <w:t>Tabulu</w:t>
      </w:r>
      <w:r w:rsidR="001F6718">
        <w:rPr>
          <w:b/>
          <w:sz w:val="32"/>
        </w:rPr>
        <w:t xml:space="preserve"> </w:t>
      </w:r>
      <w:r w:rsidRPr="002E3076">
        <w:rPr>
          <w:b/>
          <w:sz w:val="32"/>
        </w:rPr>
        <w:t>saraksts</w:t>
      </w:r>
      <w:bookmarkEnd w:id="1"/>
    </w:p>
    <w:p w14:paraId="63748D47" w14:textId="24EDFFA2" w:rsidR="00624C4A" w:rsidRDefault="00F9174B">
      <w:pPr>
        <w:pStyle w:val="TableofFigures"/>
        <w:tabs>
          <w:tab w:val="right" w:leader="dot" w:pos="8777"/>
        </w:tabs>
        <w:rPr>
          <w:rFonts w:asciiTheme="minorHAnsi" w:eastAsiaTheme="minorEastAsia" w:hAnsiTheme="minorHAnsi" w:cstheme="minorBidi"/>
          <w:noProof/>
          <w:kern w:val="2"/>
          <w:sz w:val="24"/>
          <w14:ligatures w14:val="standardContextual"/>
        </w:rPr>
      </w:pPr>
      <w:r w:rsidRPr="00B136B5">
        <w:rPr>
          <w:b/>
          <w:bCs/>
          <w:sz w:val="32"/>
        </w:rPr>
        <w:fldChar w:fldCharType="begin"/>
      </w:r>
      <w:r w:rsidR="00201CE5" w:rsidRPr="00B136B5">
        <w:rPr>
          <w:b/>
          <w:bCs/>
          <w:sz w:val="32"/>
        </w:rPr>
        <w:instrText xml:space="preserve"> TOC \h \z \t "Tabulas virsraksts" \c </w:instrText>
      </w:r>
      <w:r w:rsidRPr="00B136B5">
        <w:rPr>
          <w:b/>
          <w:bCs/>
          <w:sz w:val="32"/>
        </w:rPr>
        <w:fldChar w:fldCharType="separate"/>
      </w:r>
      <w:hyperlink w:anchor="_Toc190169671" w:history="1">
        <w:r w:rsidR="00624C4A" w:rsidRPr="00ED2A37">
          <w:rPr>
            <w:rStyle w:val="Hyperlink"/>
            <w:noProof/>
          </w:rPr>
          <w:t>3</w:t>
        </w:r>
        <w:r w:rsidR="00624C4A" w:rsidRPr="00ED2A37">
          <w:rPr>
            <w:rStyle w:val="Hyperlink"/>
            <w:noProof/>
          </w:rPr>
          <w:noBreakHyphen/>
          <w:t>1. tabula. IT sistēmas ekspluatācijas un uzturēšanas izmaksas, EUR/gadā ar PVN</w:t>
        </w:r>
        <w:r w:rsidR="00624C4A">
          <w:rPr>
            <w:noProof/>
            <w:webHidden/>
          </w:rPr>
          <w:tab/>
        </w:r>
        <w:r w:rsidR="00624C4A">
          <w:rPr>
            <w:noProof/>
            <w:webHidden/>
          </w:rPr>
          <w:fldChar w:fldCharType="begin"/>
        </w:r>
        <w:r w:rsidR="00624C4A">
          <w:rPr>
            <w:noProof/>
            <w:webHidden/>
          </w:rPr>
          <w:instrText xml:space="preserve"> PAGEREF _Toc190169671 \h </w:instrText>
        </w:r>
        <w:r w:rsidR="00624C4A">
          <w:rPr>
            <w:noProof/>
            <w:webHidden/>
          </w:rPr>
        </w:r>
        <w:r w:rsidR="00624C4A">
          <w:rPr>
            <w:noProof/>
            <w:webHidden/>
          </w:rPr>
          <w:fldChar w:fldCharType="separate"/>
        </w:r>
        <w:r w:rsidR="00624C4A">
          <w:rPr>
            <w:noProof/>
            <w:webHidden/>
          </w:rPr>
          <w:t>10</w:t>
        </w:r>
        <w:r w:rsidR="00624C4A">
          <w:rPr>
            <w:noProof/>
            <w:webHidden/>
          </w:rPr>
          <w:fldChar w:fldCharType="end"/>
        </w:r>
      </w:hyperlink>
    </w:p>
    <w:p w14:paraId="095CD73B" w14:textId="4F02B02B" w:rsidR="00624C4A" w:rsidRDefault="00624C4A">
      <w:pPr>
        <w:pStyle w:val="TableofFigures"/>
        <w:tabs>
          <w:tab w:val="right" w:leader="dot" w:pos="8777"/>
        </w:tabs>
        <w:rPr>
          <w:rFonts w:asciiTheme="minorHAnsi" w:eastAsiaTheme="minorEastAsia" w:hAnsiTheme="minorHAnsi" w:cstheme="minorBidi"/>
          <w:noProof/>
          <w:kern w:val="2"/>
          <w:sz w:val="24"/>
          <w14:ligatures w14:val="standardContextual"/>
        </w:rPr>
      </w:pPr>
      <w:hyperlink w:anchor="_Toc190169672" w:history="1">
        <w:r w:rsidRPr="00ED2A37">
          <w:rPr>
            <w:rStyle w:val="Hyperlink"/>
            <w:noProof/>
          </w:rPr>
          <w:t>3</w:t>
        </w:r>
        <w:r w:rsidRPr="00ED2A37">
          <w:rPr>
            <w:rStyle w:val="Hyperlink"/>
            <w:noProof/>
          </w:rPr>
          <w:noBreakHyphen/>
          <w:t>2. tabula. Finanšu atdeves rādītāji</w:t>
        </w:r>
        <w:r>
          <w:rPr>
            <w:noProof/>
            <w:webHidden/>
          </w:rPr>
          <w:tab/>
        </w:r>
        <w:r>
          <w:rPr>
            <w:noProof/>
            <w:webHidden/>
          </w:rPr>
          <w:fldChar w:fldCharType="begin"/>
        </w:r>
        <w:r>
          <w:rPr>
            <w:noProof/>
            <w:webHidden/>
          </w:rPr>
          <w:instrText xml:space="preserve"> PAGEREF _Toc190169672 \h </w:instrText>
        </w:r>
        <w:r>
          <w:rPr>
            <w:noProof/>
            <w:webHidden/>
          </w:rPr>
        </w:r>
        <w:r>
          <w:rPr>
            <w:noProof/>
            <w:webHidden/>
          </w:rPr>
          <w:fldChar w:fldCharType="separate"/>
        </w:r>
        <w:r>
          <w:rPr>
            <w:noProof/>
            <w:webHidden/>
          </w:rPr>
          <w:t>10</w:t>
        </w:r>
        <w:r>
          <w:rPr>
            <w:noProof/>
            <w:webHidden/>
          </w:rPr>
          <w:fldChar w:fldCharType="end"/>
        </w:r>
      </w:hyperlink>
    </w:p>
    <w:p w14:paraId="49B99E44" w14:textId="31B1B2E8" w:rsidR="00624C4A" w:rsidRDefault="00624C4A">
      <w:pPr>
        <w:pStyle w:val="TableofFigures"/>
        <w:tabs>
          <w:tab w:val="right" w:leader="dot" w:pos="8777"/>
        </w:tabs>
        <w:rPr>
          <w:rFonts w:asciiTheme="minorHAnsi" w:eastAsiaTheme="minorEastAsia" w:hAnsiTheme="minorHAnsi" w:cstheme="minorBidi"/>
          <w:noProof/>
          <w:kern w:val="2"/>
          <w:sz w:val="24"/>
          <w14:ligatures w14:val="standardContextual"/>
        </w:rPr>
      </w:pPr>
      <w:hyperlink w:anchor="_Toc190169673" w:history="1">
        <w:r w:rsidRPr="00ED2A37">
          <w:rPr>
            <w:rStyle w:val="Hyperlink"/>
            <w:noProof/>
          </w:rPr>
          <w:t>3</w:t>
        </w:r>
        <w:r w:rsidRPr="00ED2A37">
          <w:rPr>
            <w:rStyle w:val="Hyperlink"/>
            <w:noProof/>
          </w:rPr>
          <w:noBreakHyphen/>
          <w:t>3. tabula. Sociālekonomiskās atdeves rādītāji</w:t>
        </w:r>
        <w:r>
          <w:rPr>
            <w:noProof/>
            <w:webHidden/>
          </w:rPr>
          <w:tab/>
        </w:r>
        <w:r>
          <w:rPr>
            <w:noProof/>
            <w:webHidden/>
          </w:rPr>
          <w:fldChar w:fldCharType="begin"/>
        </w:r>
        <w:r>
          <w:rPr>
            <w:noProof/>
            <w:webHidden/>
          </w:rPr>
          <w:instrText xml:space="preserve"> PAGEREF _Toc190169673 \h </w:instrText>
        </w:r>
        <w:r>
          <w:rPr>
            <w:noProof/>
            <w:webHidden/>
          </w:rPr>
        </w:r>
        <w:r>
          <w:rPr>
            <w:noProof/>
            <w:webHidden/>
          </w:rPr>
          <w:fldChar w:fldCharType="separate"/>
        </w:r>
        <w:r>
          <w:rPr>
            <w:noProof/>
            <w:webHidden/>
          </w:rPr>
          <w:t>12</w:t>
        </w:r>
        <w:r>
          <w:rPr>
            <w:noProof/>
            <w:webHidden/>
          </w:rPr>
          <w:fldChar w:fldCharType="end"/>
        </w:r>
      </w:hyperlink>
    </w:p>
    <w:p w14:paraId="70F97A81" w14:textId="46631D0A" w:rsidR="00624C4A" w:rsidRDefault="00624C4A">
      <w:pPr>
        <w:pStyle w:val="TableofFigures"/>
        <w:tabs>
          <w:tab w:val="right" w:leader="dot" w:pos="8777"/>
        </w:tabs>
        <w:rPr>
          <w:rFonts w:asciiTheme="minorHAnsi" w:eastAsiaTheme="minorEastAsia" w:hAnsiTheme="minorHAnsi" w:cstheme="minorBidi"/>
          <w:noProof/>
          <w:kern w:val="2"/>
          <w:sz w:val="24"/>
          <w14:ligatures w14:val="standardContextual"/>
        </w:rPr>
      </w:pPr>
      <w:hyperlink w:anchor="_Toc190169674" w:history="1">
        <w:r w:rsidRPr="00ED2A37">
          <w:rPr>
            <w:rStyle w:val="Hyperlink"/>
            <w:noProof/>
          </w:rPr>
          <w:t>3</w:t>
        </w:r>
        <w:r w:rsidRPr="00ED2A37">
          <w:rPr>
            <w:rStyle w:val="Hyperlink"/>
            <w:noProof/>
          </w:rPr>
          <w:noBreakHyphen/>
          <w:t>4. tabula. Kritisko mainīgo noteikšana</w:t>
        </w:r>
        <w:r>
          <w:rPr>
            <w:noProof/>
            <w:webHidden/>
          </w:rPr>
          <w:tab/>
        </w:r>
        <w:r>
          <w:rPr>
            <w:noProof/>
            <w:webHidden/>
          </w:rPr>
          <w:fldChar w:fldCharType="begin"/>
        </w:r>
        <w:r>
          <w:rPr>
            <w:noProof/>
            <w:webHidden/>
          </w:rPr>
          <w:instrText xml:space="preserve"> PAGEREF _Toc190169674 \h </w:instrText>
        </w:r>
        <w:r>
          <w:rPr>
            <w:noProof/>
            <w:webHidden/>
          </w:rPr>
        </w:r>
        <w:r>
          <w:rPr>
            <w:noProof/>
            <w:webHidden/>
          </w:rPr>
          <w:fldChar w:fldCharType="separate"/>
        </w:r>
        <w:r>
          <w:rPr>
            <w:noProof/>
            <w:webHidden/>
          </w:rPr>
          <w:t>13</w:t>
        </w:r>
        <w:r>
          <w:rPr>
            <w:noProof/>
            <w:webHidden/>
          </w:rPr>
          <w:fldChar w:fldCharType="end"/>
        </w:r>
      </w:hyperlink>
    </w:p>
    <w:p w14:paraId="2DDDA4F8" w14:textId="0E109DF8" w:rsidR="00624C4A" w:rsidRDefault="00624C4A">
      <w:pPr>
        <w:pStyle w:val="TableofFigures"/>
        <w:tabs>
          <w:tab w:val="right" w:leader="dot" w:pos="8777"/>
        </w:tabs>
        <w:rPr>
          <w:rFonts w:asciiTheme="minorHAnsi" w:eastAsiaTheme="minorEastAsia" w:hAnsiTheme="minorHAnsi" w:cstheme="minorBidi"/>
          <w:noProof/>
          <w:kern w:val="2"/>
          <w:sz w:val="24"/>
          <w14:ligatures w14:val="standardContextual"/>
        </w:rPr>
      </w:pPr>
      <w:hyperlink w:anchor="_Toc190169675" w:history="1">
        <w:r w:rsidRPr="00ED2A37">
          <w:rPr>
            <w:rStyle w:val="Hyperlink"/>
            <w:noProof/>
          </w:rPr>
          <w:t>3</w:t>
        </w:r>
        <w:r w:rsidRPr="00ED2A37">
          <w:rPr>
            <w:rStyle w:val="Hyperlink"/>
            <w:noProof/>
          </w:rPr>
          <w:noBreakHyphen/>
          <w:t>5. tabula. Pārslēgšanās punktu noteikšana</w:t>
        </w:r>
        <w:r>
          <w:rPr>
            <w:noProof/>
            <w:webHidden/>
          </w:rPr>
          <w:tab/>
        </w:r>
        <w:r>
          <w:rPr>
            <w:noProof/>
            <w:webHidden/>
          </w:rPr>
          <w:fldChar w:fldCharType="begin"/>
        </w:r>
        <w:r>
          <w:rPr>
            <w:noProof/>
            <w:webHidden/>
          </w:rPr>
          <w:instrText xml:space="preserve"> PAGEREF _Toc190169675 \h </w:instrText>
        </w:r>
        <w:r>
          <w:rPr>
            <w:noProof/>
            <w:webHidden/>
          </w:rPr>
        </w:r>
        <w:r>
          <w:rPr>
            <w:noProof/>
            <w:webHidden/>
          </w:rPr>
          <w:fldChar w:fldCharType="separate"/>
        </w:r>
        <w:r>
          <w:rPr>
            <w:noProof/>
            <w:webHidden/>
          </w:rPr>
          <w:t>13</w:t>
        </w:r>
        <w:r>
          <w:rPr>
            <w:noProof/>
            <w:webHidden/>
          </w:rPr>
          <w:fldChar w:fldCharType="end"/>
        </w:r>
      </w:hyperlink>
    </w:p>
    <w:p w14:paraId="2B0E8C8C" w14:textId="6DB569EF" w:rsidR="00624C4A" w:rsidRDefault="00624C4A">
      <w:pPr>
        <w:pStyle w:val="TableofFigures"/>
        <w:tabs>
          <w:tab w:val="right" w:leader="dot" w:pos="8777"/>
        </w:tabs>
        <w:rPr>
          <w:rFonts w:asciiTheme="minorHAnsi" w:eastAsiaTheme="minorEastAsia" w:hAnsiTheme="minorHAnsi" w:cstheme="minorBidi"/>
          <w:noProof/>
          <w:kern w:val="2"/>
          <w:sz w:val="24"/>
          <w14:ligatures w14:val="standardContextual"/>
        </w:rPr>
      </w:pPr>
      <w:hyperlink w:anchor="_Toc190169676" w:history="1">
        <w:r w:rsidRPr="00ED2A37">
          <w:rPr>
            <w:rStyle w:val="Hyperlink"/>
            <w:noProof/>
          </w:rPr>
          <w:t>3</w:t>
        </w:r>
        <w:r w:rsidRPr="00ED2A37">
          <w:rPr>
            <w:rStyle w:val="Hyperlink"/>
            <w:noProof/>
          </w:rPr>
          <w:noBreakHyphen/>
          <w:t>6. tabula. Projekta risku analīze</w:t>
        </w:r>
        <w:r>
          <w:rPr>
            <w:noProof/>
            <w:webHidden/>
          </w:rPr>
          <w:tab/>
        </w:r>
        <w:r>
          <w:rPr>
            <w:noProof/>
            <w:webHidden/>
          </w:rPr>
          <w:fldChar w:fldCharType="begin"/>
        </w:r>
        <w:r>
          <w:rPr>
            <w:noProof/>
            <w:webHidden/>
          </w:rPr>
          <w:instrText xml:space="preserve"> PAGEREF _Toc190169676 \h </w:instrText>
        </w:r>
        <w:r>
          <w:rPr>
            <w:noProof/>
            <w:webHidden/>
          </w:rPr>
        </w:r>
        <w:r>
          <w:rPr>
            <w:noProof/>
            <w:webHidden/>
          </w:rPr>
          <w:fldChar w:fldCharType="separate"/>
        </w:r>
        <w:r>
          <w:rPr>
            <w:noProof/>
            <w:webHidden/>
          </w:rPr>
          <w:t>14</w:t>
        </w:r>
        <w:r>
          <w:rPr>
            <w:noProof/>
            <w:webHidden/>
          </w:rPr>
          <w:fldChar w:fldCharType="end"/>
        </w:r>
      </w:hyperlink>
    </w:p>
    <w:p w14:paraId="54EC7899" w14:textId="68329127" w:rsidR="00201CE5" w:rsidRPr="00B136B5" w:rsidRDefault="00F9174B" w:rsidP="00E90178">
      <w:pPr>
        <w:pStyle w:val="GaramondTeksts"/>
        <w:spacing w:line="240" w:lineRule="auto"/>
        <w:rPr>
          <w:b/>
          <w:bCs/>
          <w:sz w:val="32"/>
        </w:rPr>
      </w:pPr>
      <w:r w:rsidRPr="00B136B5">
        <w:rPr>
          <w:b/>
          <w:bCs/>
          <w:sz w:val="32"/>
        </w:rPr>
        <w:fldChar w:fldCharType="end"/>
      </w:r>
    </w:p>
    <w:p w14:paraId="0A56F34D" w14:textId="682A9C6E" w:rsidR="00201CE5" w:rsidRPr="00B136B5" w:rsidRDefault="00201CE5" w:rsidP="00E90178">
      <w:pPr>
        <w:pStyle w:val="GaramondTeksts"/>
        <w:spacing w:line="240" w:lineRule="auto"/>
        <w:ind w:left="720" w:hanging="720"/>
      </w:pPr>
    </w:p>
    <w:p w14:paraId="2B85E058" w14:textId="77777777" w:rsidR="00201CE5" w:rsidRPr="00B136B5" w:rsidRDefault="00201CE5" w:rsidP="001870F8">
      <w:pPr>
        <w:pStyle w:val="GaramondTeksts"/>
        <w:spacing w:line="240" w:lineRule="auto"/>
        <w:rPr>
          <w:b/>
          <w:sz w:val="32"/>
        </w:rPr>
      </w:pPr>
      <w:bookmarkStart w:id="2" w:name="_Toc226893011"/>
      <w:r w:rsidRPr="00B136B5">
        <w:rPr>
          <w:b/>
          <w:sz w:val="32"/>
        </w:rPr>
        <w:t>Izmantotie saīsinājumi</w:t>
      </w:r>
      <w:bookmarkEnd w:id="2"/>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7087"/>
      </w:tblGrid>
      <w:tr w:rsidR="00201CE5" w:rsidRPr="00B136B5" w14:paraId="6782140C" w14:textId="77777777" w:rsidTr="00655473">
        <w:tc>
          <w:tcPr>
            <w:tcW w:w="1668" w:type="dxa"/>
            <w:vAlign w:val="center"/>
          </w:tcPr>
          <w:p w14:paraId="49FC562D" w14:textId="77777777" w:rsidR="00201CE5" w:rsidRPr="00B136B5" w:rsidRDefault="00201CE5" w:rsidP="00830E94">
            <w:pPr>
              <w:pStyle w:val="GaramondTeksts"/>
              <w:spacing w:before="60" w:after="60" w:line="240" w:lineRule="auto"/>
              <w:jc w:val="center"/>
              <w:rPr>
                <w:b/>
              </w:rPr>
            </w:pPr>
            <w:r w:rsidRPr="00B136B5">
              <w:rPr>
                <w:b/>
              </w:rPr>
              <w:t>Saīsinājums</w:t>
            </w:r>
          </w:p>
        </w:tc>
        <w:tc>
          <w:tcPr>
            <w:tcW w:w="7087" w:type="dxa"/>
            <w:vAlign w:val="center"/>
          </w:tcPr>
          <w:p w14:paraId="7082DDC0" w14:textId="77777777" w:rsidR="00201CE5" w:rsidRPr="00B136B5" w:rsidRDefault="00201CE5" w:rsidP="00830E94">
            <w:pPr>
              <w:pStyle w:val="GaramondTeksts"/>
              <w:spacing w:before="60" w:after="60" w:line="240" w:lineRule="auto"/>
              <w:jc w:val="center"/>
              <w:rPr>
                <w:b/>
              </w:rPr>
            </w:pPr>
            <w:smartTag w:uri="schemas-tilde-lv/tildestengine" w:element="veidnes">
              <w:smartTagPr>
                <w:attr w:name="id" w:val="-1"/>
                <w:attr w:name="baseform" w:val="Paskaidrojums"/>
                <w:attr w:name="text" w:val="Paskaidrojums"/>
              </w:smartTagPr>
              <w:r w:rsidRPr="00B136B5">
                <w:rPr>
                  <w:b/>
                </w:rPr>
                <w:t>Paskaidrojums</w:t>
              </w:r>
            </w:smartTag>
          </w:p>
        </w:tc>
      </w:tr>
      <w:tr w:rsidR="00201CE5" w:rsidRPr="00B136B5" w14:paraId="225A0B8F" w14:textId="77777777" w:rsidTr="00655473">
        <w:tc>
          <w:tcPr>
            <w:tcW w:w="1668" w:type="dxa"/>
          </w:tcPr>
          <w:p w14:paraId="740C3531" w14:textId="77777777" w:rsidR="00201CE5" w:rsidRPr="00B136B5" w:rsidRDefault="00201CE5" w:rsidP="00830E94">
            <w:pPr>
              <w:pStyle w:val="GaramondTeksts"/>
              <w:spacing w:before="60" w:after="60" w:line="240" w:lineRule="auto"/>
            </w:pPr>
            <w:r w:rsidRPr="00B136B5">
              <w:t>B/C</w:t>
            </w:r>
          </w:p>
        </w:tc>
        <w:tc>
          <w:tcPr>
            <w:tcW w:w="7087" w:type="dxa"/>
          </w:tcPr>
          <w:p w14:paraId="136199E8" w14:textId="03C88413" w:rsidR="00201CE5" w:rsidRPr="00B136B5" w:rsidRDefault="00201CE5" w:rsidP="00830E94">
            <w:pPr>
              <w:pStyle w:val="GaramondTeksts"/>
              <w:spacing w:before="60" w:after="60" w:line="240" w:lineRule="auto"/>
            </w:pPr>
            <w:r w:rsidRPr="00B136B5">
              <w:t xml:space="preserve">Ieguvumu – izmaksu </w:t>
            </w:r>
            <w:r w:rsidR="008562B3">
              <w:t>attiecība</w:t>
            </w:r>
          </w:p>
        </w:tc>
      </w:tr>
      <w:tr w:rsidR="009C25A4" w:rsidRPr="00B136B5" w14:paraId="7A052D2D" w14:textId="77777777" w:rsidTr="00655473">
        <w:tc>
          <w:tcPr>
            <w:tcW w:w="1668" w:type="dxa"/>
          </w:tcPr>
          <w:p w14:paraId="1AF71312" w14:textId="77215025" w:rsidR="009C25A4" w:rsidRPr="00B136B5" w:rsidRDefault="009C25A4" w:rsidP="00830E94">
            <w:pPr>
              <w:pStyle w:val="GaramondTeksts"/>
              <w:spacing w:before="60" w:after="60" w:line="240" w:lineRule="auto"/>
            </w:pPr>
            <w:r>
              <w:t>CFLA</w:t>
            </w:r>
          </w:p>
        </w:tc>
        <w:tc>
          <w:tcPr>
            <w:tcW w:w="7087" w:type="dxa"/>
          </w:tcPr>
          <w:p w14:paraId="13A347C6" w14:textId="355997E7" w:rsidR="009C25A4" w:rsidRPr="00B136B5" w:rsidRDefault="009C25A4" w:rsidP="00830E94">
            <w:pPr>
              <w:pStyle w:val="GaramondTeksts"/>
              <w:spacing w:before="60" w:after="60" w:line="240" w:lineRule="auto"/>
            </w:pPr>
            <w:r>
              <w:t>Centrālā finanšu un līgumu aģentūra</w:t>
            </w:r>
          </w:p>
        </w:tc>
      </w:tr>
      <w:tr w:rsidR="00201CE5" w:rsidRPr="00B136B5" w14:paraId="56855869" w14:textId="77777777" w:rsidTr="00655473">
        <w:tc>
          <w:tcPr>
            <w:tcW w:w="1668" w:type="dxa"/>
          </w:tcPr>
          <w:p w14:paraId="06B8C93C" w14:textId="77777777" w:rsidR="00201CE5" w:rsidRDefault="00201CE5" w:rsidP="00830E94">
            <w:pPr>
              <w:pStyle w:val="GaramondTeksts"/>
              <w:spacing w:before="60" w:after="60" w:line="240" w:lineRule="auto"/>
            </w:pPr>
            <w:r>
              <w:t>EK</w:t>
            </w:r>
          </w:p>
        </w:tc>
        <w:tc>
          <w:tcPr>
            <w:tcW w:w="7087" w:type="dxa"/>
          </w:tcPr>
          <w:p w14:paraId="7A0CC242" w14:textId="77777777" w:rsidR="00201CE5" w:rsidRDefault="00201CE5" w:rsidP="00830E94">
            <w:pPr>
              <w:pStyle w:val="GaramondTeksts"/>
              <w:spacing w:before="60" w:after="60" w:line="240" w:lineRule="auto"/>
              <w:rPr>
                <w:lang w:eastAsia="en-US"/>
              </w:rPr>
            </w:pPr>
            <w:r>
              <w:rPr>
                <w:lang w:eastAsia="en-US"/>
              </w:rPr>
              <w:t>Eiropas Komisija</w:t>
            </w:r>
          </w:p>
        </w:tc>
      </w:tr>
      <w:tr w:rsidR="00201CE5" w:rsidRPr="00B136B5" w14:paraId="1CD354A9" w14:textId="77777777" w:rsidTr="00655473">
        <w:tc>
          <w:tcPr>
            <w:tcW w:w="1668" w:type="dxa"/>
          </w:tcPr>
          <w:p w14:paraId="21128D3F" w14:textId="77777777" w:rsidR="00201CE5" w:rsidRPr="00B136B5" w:rsidRDefault="00201CE5" w:rsidP="00830E94">
            <w:pPr>
              <w:pStyle w:val="GaramondTeksts"/>
              <w:spacing w:before="60" w:after="60" w:line="240" w:lineRule="auto"/>
            </w:pPr>
            <w:r w:rsidRPr="00B136B5">
              <w:t>ES</w:t>
            </w:r>
          </w:p>
        </w:tc>
        <w:tc>
          <w:tcPr>
            <w:tcW w:w="7087" w:type="dxa"/>
          </w:tcPr>
          <w:p w14:paraId="5FC17C88" w14:textId="77777777" w:rsidR="00201CE5" w:rsidRPr="00B136B5" w:rsidRDefault="00201CE5" w:rsidP="00830E94">
            <w:pPr>
              <w:pStyle w:val="GaramondTeksts"/>
              <w:spacing w:before="60" w:after="60" w:line="240" w:lineRule="auto"/>
              <w:rPr>
                <w:lang w:eastAsia="en-US"/>
              </w:rPr>
            </w:pPr>
            <w:r w:rsidRPr="00B136B5">
              <w:rPr>
                <w:lang w:eastAsia="en-US"/>
              </w:rPr>
              <w:t xml:space="preserve">Eiropas </w:t>
            </w:r>
            <w:r>
              <w:rPr>
                <w:lang w:eastAsia="en-US"/>
              </w:rPr>
              <w:t>S</w:t>
            </w:r>
            <w:r w:rsidRPr="00B136B5">
              <w:rPr>
                <w:lang w:eastAsia="en-US"/>
              </w:rPr>
              <w:t>avienība</w:t>
            </w:r>
          </w:p>
        </w:tc>
      </w:tr>
      <w:tr w:rsidR="00C41563" w:rsidRPr="00B136B5" w14:paraId="0D17D008" w14:textId="77777777" w:rsidTr="00655473">
        <w:tc>
          <w:tcPr>
            <w:tcW w:w="1668" w:type="dxa"/>
          </w:tcPr>
          <w:p w14:paraId="6C545463" w14:textId="659476FB" w:rsidR="00C41563" w:rsidRPr="00B136B5" w:rsidRDefault="00C41563" w:rsidP="00830E94">
            <w:pPr>
              <w:pStyle w:val="GaramondTeksts"/>
              <w:spacing w:before="60" w:after="60" w:line="240" w:lineRule="auto"/>
            </w:pPr>
            <w:r>
              <w:t>E&amp;U</w:t>
            </w:r>
          </w:p>
        </w:tc>
        <w:tc>
          <w:tcPr>
            <w:tcW w:w="7087" w:type="dxa"/>
          </w:tcPr>
          <w:p w14:paraId="7A363839" w14:textId="786D2241" w:rsidR="00C41563" w:rsidRPr="00B136B5" w:rsidRDefault="00C41563" w:rsidP="00C41563">
            <w:pPr>
              <w:pStyle w:val="GaramondTeksts"/>
              <w:spacing w:before="60" w:after="60" w:line="240" w:lineRule="auto"/>
              <w:rPr>
                <w:lang w:eastAsia="en-US"/>
              </w:rPr>
            </w:pPr>
            <w:r>
              <w:rPr>
                <w:lang w:eastAsia="en-US"/>
              </w:rPr>
              <w:t>Ekspluatācija un uzturēšana</w:t>
            </w:r>
          </w:p>
        </w:tc>
      </w:tr>
      <w:tr w:rsidR="001A7B0A" w:rsidRPr="00B136B5" w14:paraId="5C428029" w14:textId="77777777" w:rsidTr="00655473">
        <w:tc>
          <w:tcPr>
            <w:tcW w:w="1668" w:type="dxa"/>
          </w:tcPr>
          <w:p w14:paraId="3EB68FD6" w14:textId="77777777" w:rsidR="001A7B0A" w:rsidRPr="00B136B5" w:rsidRDefault="001A7B0A" w:rsidP="00830E94">
            <w:pPr>
              <w:pStyle w:val="GaramondTeksts"/>
              <w:spacing w:before="60" w:after="60" w:line="240" w:lineRule="auto"/>
            </w:pPr>
            <w:r>
              <w:t>IIA</w:t>
            </w:r>
          </w:p>
        </w:tc>
        <w:tc>
          <w:tcPr>
            <w:tcW w:w="7087" w:type="dxa"/>
          </w:tcPr>
          <w:p w14:paraId="7CB8E552" w14:textId="77777777" w:rsidR="001A7B0A" w:rsidRPr="00B136B5" w:rsidRDefault="001A7B0A" w:rsidP="00830E94">
            <w:pPr>
              <w:pStyle w:val="GaramondTeksts"/>
              <w:spacing w:before="60" w:after="60" w:line="240" w:lineRule="auto"/>
              <w:rPr>
                <w:lang w:eastAsia="en-US"/>
              </w:rPr>
            </w:pPr>
            <w:r>
              <w:rPr>
                <w:lang w:eastAsia="en-US"/>
              </w:rPr>
              <w:t>Izmaksu ieguvumu analīze</w:t>
            </w:r>
          </w:p>
        </w:tc>
      </w:tr>
      <w:tr w:rsidR="00201CE5" w:rsidRPr="00B136B5" w14:paraId="3E7BB0B4" w14:textId="77777777" w:rsidTr="00655473">
        <w:tc>
          <w:tcPr>
            <w:tcW w:w="1668" w:type="dxa"/>
          </w:tcPr>
          <w:p w14:paraId="7E3B8B05" w14:textId="77777777" w:rsidR="00201CE5" w:rsidRPr="00B136B5" w:rsidRDefault="00201CE5" w:rsidP="00830E94">
            <w:pPr>
              <w:pStyle w:val="GaramondTeksts"/>
              <w:spacing w:before="60" w:after="60" w:line="240" w:lineRule="auto"/>
            </w:pPr>
            <w:r w:rsidRPr="00B136B5">
              <w:t>IRR</w:t>
            </w:r>
          </w:p>
        </w:tc>
        <w:tc>
          <w:tcPr>
            <w:tcW w:w="7087" w:type="dxa"/>
          </w:tcPr>
          <w:p w14:paraId="4D512EC2" w14:textId="77777777" w:rsidR="00201CE5" w:rsidRPr="00B136B5" w:rsidRDefault="00201CE5" w:rsidP="00830E94">
            <w:pPr>
              <w:pStyle w:val="GaramondTeksts"/>
              <w:spacing w:before="60" w:after="60" w:line="240" w:lineRule="auto"/>
            </w:pPr>
            <w:r w:rsidRPr="00B136B5">
              <w:rPr>
                <w:lang w:eastAsia="en-US"/>
              </w:rPr>
              <w:t>Finansiālā ienesīguma norma</w:t>
            </w:r>
          </w:p>
        </w:tc>
      </w:tr>
      <w:tr w:rsidR="00201CE5" w:rsidRPr="00B136B5" w14:paraId="3365D61D" w14:textId="77777777" w:rsidTr="00655473">
        <w:tc>
          <w:tcPr>
            <w:tcW w:w="1668" w:type="dxa"/>
          </w:tcPr>
          <w:p w14:paraId="2A36B645" w14:textId="77777777" w:rsidR="00201CE5" w:rsidRPr="00B136B5" w:rsidRDefault="00201CE5" w:rsidP="00830E94">
            <w:pPr>
              <w:pStyle w:val="GaramondTeksts"/>
              <w:spacing w:before="60" w:after="60" w:line="240" w:lineRule="auto"/>
            </w:pPr>
            <w:r w:rsidRPr="00B136B5">
              <w:t>MK</w:t>
            </w:r>
          </w:p>
        </w:tc>
        <w:tc>
          <w:tcPr>
            <w:tcW w:w="7087" w:type="dxa"/>
          </w:tcPr>
          <w:p w14:paraId="0FFB367B" w14:textId="77777777" w:rsidR="00201CE5" w:rsidRPr="00B136B5" w:rsidRDefault="00201CE5" w:rsidP="00830E94">
            <w:pPr>
              <w:pStyle w:val="GaramondTeksts"/>
              <w:spacing w:before="60" w:after="60" w:line="240" w:lineRule="auto"/>
            </w:pPr>
            <w:r w:rsidRPr="00B136B5">
              <w:t xml:space="preserve">Latvijas </w:t>
            </w:r>
            <w:r>
              <w:t>R</w:t>
            </w:r>
            <w:r w:rsidRPr="00B136B5">
              <w:t>epublikas Ministru kabinets</w:t>
            </w:r>
          </w:p>
        </w:tc>
      </w:tr>
      <w:tr w:rsidR="00201CE5" w:rsidRPr="00B136B5" w14:paraId="696CCFCF" w14:textId="77777777" w:rsidTr="00655473">
        <w:tc>
          <w:tcPr>
            <w:tcW w:w="1668" w:type="dxa"/>
          </w:tcPr>
          <w:p w14:paraId="64D3F0AC" w14:textId="77777777" w:rsidR="00201CE5" w:rsidRPr="00B136B5" w:rsidRDefault="00201CE5" w:rsidP="00830E94">
            <w:pPr>
              <w:pStyle w:val="GaramondTeksts"/>
              <w:spacing w:before="60" w:after="60" w:line="240" w:lineRule="auto"/>
            </w:pPr>
            <w:r w:rsidRPr="00B136B5">
              <w:t>NPV</w:t>
            </w:r>
          </w:p>
        </w:tc>
        <w:tc>
          <w:tcPr>
            <w:tcW w:w="7087" w:type="dxa"/>
          </w:tcPr>
          <w:p w14:paraId="31C4E408" w14:textId="77777777" w:rsidR="00201CE5" w:rsidRPr="00B136B5" w:rsidRDefault="00201CE5" w:rsidP="00830E94">
            <w:pPr>
              <w:pStyle w:val="GaramondTeksts"/>
              <w:spacing w:before="60" w:after="60" w:line="240" w:lineRule="auto"/>
            </w:pPr>
            <w:r>
              <w:t>Neto</w:t>
            </w:r>
            <w:r w:rsidRPr="00B136B5">
              <w:t xml:space="preserve"> pašreizējā vērtība</w:t>
            </w:r>
          </w:p>
        </w:tc>
      </w:tr>
      <w:tr w:rsidR="00201CE5" w:rsidRPr="00B136B5" w14:paraId="6423F67E" w14:textId="77777777" w:rsidTr="00655473">
        <w:tc>
          <w:tcPr>
            <w:tcW w:w="1668" w:type="dxa"/>
          </w:tcPr>
          <w:p w14:paraId="4BE2E574" w14:textId="77777777" w:rsidR="00201CE5" w:rsidRPr="00B136B5" w:rsidRDefault="00201CE5" w:rsidP="00830E94">
            <w:pPr>
              <w:pStyle w:val="GaramondTeksts"/>
              <w:spacing w:before="60" w:after="60" w:line="240" w:lineRule="auto"/>
            </w:pPr>
            <w:r w:rsidRPr="00B136B5">
              <w:t>PVN</w:t>
            </w:r>
          </w:p>
        </w:tc>
        <w:tc>
          <w:tcPr>
            <w:tcW w:w="7087" w:type="dxa"/>
          </w:tcPr>
          <w:p w14:paraId="5A89663C" w14:textId="77777777" w:rsidR="00201CE5" w:rsidRPr="00B136B5" w:rsidRDefault="00201CE5" w:rsidP="00830E94">
            <w:pPr>
              <w:pStyle w:val="GaramondTeksts"/>
              <w:spacing w:before="60" w:after="60" w:line="240" w:lineRule="auto"/>
            </w:pPr>
            <w:r w:rsidRPr="00B136B5">
              <w:t>Pievienotās vērtības nodoklis</w:t>
            </w:r>
          </w:p>
        </w:tc>
      </w:tr>
      <w:tr w:rsidR="00201CE5" w:rsidRPr="00B136B5" w14:paraId="25B38D68" w14:textId="77777777" w:rsidTr="00655473">
        <w:tc>
          <w:tcPr>
            <w:tcW w:w="1668" w:type="dxa"/>
          </w:tcPr>
          <w:p w14:paraId="52B432CA" w14:textId="77777777" w:rsidR="00201CE5" w:rsidRPr="00B136B5" w:rsidRDefault="00201CE5" w:rsidP="00830E94">
            <w:pPr>
              <w:pStyle w:val="GaramondTeksts"/>
              <w:spacing w:before="60" w:after="60" w:line="240" w:lineRule="auto"/>
            </w:pPr>
            <w:r>
              <w:t>SKF</w:t>
            </w:r>
          </w:p>
        </w:tc>
        <w:tc>
          <w:tcPr>
            <w:tcW w:w="7087" w:type="dxa"/>
          </w:tcPr>
          <w:p w14:paraId="660D4240" w14:textId="77777777" w:rsidR="00201CE5" w:rsidRPr="00B136B5" w:rsidRDefault="00201CE5" w:rsidP="00830E94">
            <w:pPr>
              <w:pStyle w:val="GaramondTeksts"/>
              <w:spacing w:before="60" w:after="60" w:line="240" w:lineRule="auto"/>
            </w:pPr>
            <w:r>
              <w:t>Standarta konversijas faktors</w:t>
            </w:r>
          </w:p>
        </w:tc>
      </w:tr>
      <w:tr w:rsidR="00616386" w:rsidRPr="00B136B5" w14:paraId="1C9157EB" w14:textId="77777777" w:rsidTr="00655473">
        <w:tc>
          <w:tcPr>
            <w:tcW w:w="1668" w:type="dxa"/>
          </w:tcPr>
          <w:p w14:paraId="3EC10EF6" w14:textId="44F7F6C1" w:rsidR="00616386" w:rsidRDefault="00616386" w:rsidP="00830E94">
            <w:pPr>
              <w:pStyle w:val="GaramondTeksts"/>
              <w:spacing w:before="60" w:after="60" w:line="240" w:lineRule="auto"/>
            </w:pPr>
            <w:r>
              <w:t>SKLOIS</w:t>
            </w:r>
          </w:p>
        </w:tc>
        <w:tc>
          <w:tcPr>
            <w:tcW w:w="7087" w:type="dxa"/>
          </w:tcPr>
          <w:p w14:paraId="0F67CF88" w14:textId="7C2440FB" w:rsidR="00616386" w:rsidRDefault="00616386" w:rsidP="00830E94">
            <w:pPr>
              <w:pStyle w:val="GaramondTeksts"/>
              <w:spacing w:before="60" w:after="60" w:line="240" w:lineRule="auto"/>
            </w:pPr>
            <w:r w:rsidRPr="00616386">
              <w:t>Starptautiskā kravu loģistikas un ostu informācijas sistēma</w:t>
            </w:r>
          </w:p>
        </w:tc>
      </w:tr>
      <w:tr w:rsidR="00201CE5" w:rsidRPr="00B136B5" w14:paraId="5EAB610D" w14:textId="77777777" w:rsidTr="00655473">
        <w:tc>
          <w:tcPr>
            <w:tcW w:w="1668" w:type="dxa"/>
          </w:tcPr>
          <w:p w14:paraId="26427BE5" w14:textId="77777777" w:rsidR="00201CE5" w:rsidRDefault="00201CE5" w:rsidP="00830E94">
            <w:pPr>
              <w:pStyle w:val="GaramondTeksts"/>
              <w:spacing w:before="60" w:after="60" w:line="240" w:lineRule="auto"/>
            </w:pPr>
            <w:r w:rsidRPr="00FB5D0A">
              <w:t>VSAOIe</w:t>
            </w:r>
          </w:p>
        </w:tc>
        <w:tc>
          <w:tcPr>
            <w:tcW w:w="7087" w:type="dxa"/>
          </w:tcPr>
          <w:p w14:paraId="5F97D3F6" w14:textId="77777777" w:rsidR="00201CE5" w:rsidRDefault="00201CE5" w:rsidP="00830E94">
            <w:pPr>
              <w:pStyle w:val="GaramondTeksts"/>
              <w:spacing w:before="60" w:after="60" w:line="240" w:lineRule="auto"/>
            </w:pPr>
            <w:r>
              <w:t>V</w:t>
            </w:r>
            <w:r w:rsidRPr="00FB5D0A">
              <w:t>alsts sociālās apdrošināšanas obligātās iemaksas</w:t>
            </w:r>
          </w:p>
        </w:tc>
      </w:tr>
    </w:tbl>
    <w:p w14:paraId="6FB72402" w14:textId="77777777" w:rsidR="00201CE5" w:rsidRPr="00B136B5" w:rsidRDefault="00201CE5" w:rsidP="001870F8">
      <w:pPr>
        <w:pStyle w:val="GaramondTeksts"/>
        <w:spacing w:line="240" w:lineRule="auto"/>
      </w:pPr>
    </w:p>
    <w:p w14:paraId="1C10B987" w14:textId="77777777" w:rsidR="00201CE5" w:rsidRPr="005175F3" w:rsidRDefault="00201CE5" w:rsidP="005175F3">
      <w:pPr>
        <w:pStyle w:val="Heading1"/>
      </w:pPr>
      <w:bookmarkStart w:id="3" w:name="_Toc190169650"/>
      <w:bookmarkStart w:id="4" w:name="_Toc226893013"/>
      <w:r w:rsidRPr="005175F3">
        <w:lastRenderedPageBreak/>
        <w:t>Kopsavilkums</w:t>
      </w:r>
      <w:bookmarkEnd w:id="3"/>
    </w:p>
    <w:p w14:paraId="71902399" w14:textId="72461140" w:rsidR="00613802" w:rsidRDefault="00616386" w:rsidP="00731EA5">
      <w:pPr>
        <w:pStyle w:val="StyleGaramondTekstsJustifiedAfter6ptLinespacingsin"/>
      </w:pPr>
      <w:r w:rsidRPr="00616386">
        <w:t>Projekta</w:t>
      </w:r>
      <w:r>
        <w:t xml:space="preserve"> “</w:t>
      </w:r>
      <w:r w:rsidRPr="00616386">
        <w:t>Eiropas Jūras vienloga sistēmas EMSWe ieviešana</w:t>
      </w:r>
      <w:r>
        <w:t>”</w:t>
      </w:r>
      <w:r w:rsidRPr="00616386">
        <w:t xml:space="preserve"> mērķis ir izstrādāt un ieviest nepieciešamos</w:t>
      </w:r>
      <w:r w:rsidRPr="00616386">
        <w:rPr>
          <w:rFonts w:ascii="Times New Roman" w:hAnsi="Times New Roman"/>
          <w:color w:val="414142"/>
          <w:szCs w:val="22"/>
        </w:rPr>
        <w:t xml:space="preserve"> </w:t>
      </w:r>
      <w:r>
        <w:rPr>
          <w:rFonts w:ascii="Times New Roman" w:hAnsi="Times New Roman"/>
          <w:color w:val="414142"/>
          <w:szCs w:val="22"/>
        </w:rPr>
        <w:t>s</w:t>
      </w:r>
      <w:r w:rsidRPr="00616386">
        <w:t>tarptautiskā</w:t>
      </w:r>
      <w:r>
        <w:t>s</w:t>
      </w:r>
      <w:r w:rsidRPr="00616386">
        <w:t xml:space="preserve"> kravu loģistikas un ostu informācijas sistēma</w:t>
      </w:r>
      <w:r>
        <w:t>s</w:t>
      </w:r>
      <w:r w:rsidRPr="00616386">
        <w:t xml:space="preserve"> </w:t>
      </w:r>
      <w:r>
        <w:t xml:space="preserve">(turpmāk – </w:t>
      </w:r>
      <w:r w:rsidRPr="00616386">
        <w:t>SKLOIS</w:t>
      </w:r>
      <w:r>
        <w:t>)</w:t>
      </w:r>
      <w:r w:rsidRPr="00616386">
        <w:t xml:space="preserve"> papildinājumus, lai izveidotu saskaņotu un visaptverošu Eiropas Jūras vienloga sistēmas vidi, saskaņojot ar pašreizējām valstu vienloga sistēmām un ieviešot</w:t>
      </w:r>
      <w:r>
        <w:t xml:space="preserve"> Eiropas Komisijas</w:t>
      </w:r>
      <w:r w:rsidRPr="00616386">
        <w:t xml:space="preserve"> </w:t>
      </w:r>
      <w:r>
        <w:t xml:space="preserve">(turpmāk – </w:t>
      </w:r>
      <w:r w:rsidRPr="00616386">
        <w:t>EK</w:t>
      </w:r>
      <w:r>
        <w:t>)</w:t>
      </w:r>
      <w:r w:rsidRPr="00616386">
        <w:t xml:space="preserve"> izstrādātās vienotās tehniskās prasības.  Projekta ietvaros nacionālajā sistēmā tiks izveidota jauna un vienkāršota ziņošanas vide, lai SKLOIS darbotos vienotajā Eiropas “jūras vienlogā”.</w:t>
      </w:r>
    </w:p>
    <w:p w14:paraId="7D6211CD" w14:textId="6B2C0E49" w:rsidR="008A622F" w:rsidRDefault="007455DD" w:rsidP="00461BE9">
      <w:pPr>
        <w:pStyle w:val="StyleGaramondTekstsJustifiedAfter6ptLinespacingsin"/>
      </w:pPr>
      <w:r>
        <w:t xml:space="preserve">Šajā ziņojumā veiktā projekta izmaksu ieguvumu analīze (turpmāk - IIA) ir </w:t>
      </w:r>
      <w:r w:rsidR="00405B08">
        <w:t>izstrādāta saskaņā ar</w:t>
      </w:r>
      <w:r w:rsidR="008A622F">
        <w:t>:</w:t>
      </w:r>
    </w:p>
    <w:p w14:paraId="5E85FDE8" w14:textId="7CE9C8A5" w:rsidR="007455DD" w:rsidRDefault="007455DD" w:rsidP="006620C3">
      <w:pPr>
        <w:pStyle w:val="StyleGaramondTekstsJustifiedAfter6ptLinespacingsin"/>
        <w:numPr>
          <w:ilvl w:val="0"/>
          <w:numId w:val="8"/>
        </w:numPr>
        <w:contextualSpacing/>
      </w:pPr>
      <w:r>
        <w:t>EK vadlīnij</w:t>
      </w:r>
      <w:r w:rsidR="00405B08">
        <w:t>ām</w:t>
      </w:r>
      <w:r>
        <w:t xml:space="preserve"> </w:t>
      </w:r>
      <w:r w:rsidRPr="00805FCE">
        <w:t>“Guide to Cost-Benefit Analysis of Investment Projects</w:t>
      </w:r>
      <w:r>
        <w:t xml:space="preserve">. </w:t>
      </w:r>
      <w:r w:rsidRPr="001A7B0A">
        <w:t>Economic appraisal tool for Cohesion Policy 2014-2020</w:t>
      </w:r>
      <w:r>
        <w:t>”</w:t>
      </w:r>
      <w:r w:rsidRPr="005D0467">
        <w:rPr>
          <w:vertAlign w:val="superscript"/>
        </w:rPr>
        <w:footnoteReference w:id="1"/>
      </w:r>
      <w:r>
        <w:t xml:space="preserve"> (turpmāk – EK vadl</w:t>
      </w:r>
      <w:r w:rsidR="008A622F">
        <w:t>īnijas);</w:t>
      </w:r>
    </w:p>
    <w:p w14:paraId="44024A4A" w14:textId="36FD72D7" w:rsidR="008A622F" w:rsidRDefault="005D0467" w:rsidP="006620C3">
      <w:pPr>
        <w:pStyle w:val="StyleGaramondTekstsJustifiedAfter6ptLinespacingsin"/>
        <w:numPr>
          <w:ilvl w:val="0"/>
          <w:numId w:val="8"/>
        </w:numPr>
        <w:ind w:left="714" w:hanging="357"/>
        <w:contextualSpacing/>
      </w:pPr>
      <w:r w:rsidRPr="005D0467">
        <w:t>EK ekonomiskā novērtējuma vadlīnij</w:t>
      </w:r>
      <w:r>
        <w:t>ām</w:t>
      </w:r>
      <w:r w:rsidRPr="005D0467">
        <w:t xml:space="preserve"> “Economic Appraisal Vademecum 2021-2027”</w:t>
      </w:r>
      <w:r>
        <w:rPr>
          <w:rStyle w:val="FootnoteReference"/>
        </w:rPr>
        <w:footnoteReference w:id="2"/>
      </w:r>
      <w:r>
        <w:t>;</w:t>
      </w:r>
    </w:p>
    <w:p w14:paraId="2350A408" w14:textId="12DECEB4" w:rsidR="005D0467" w:rsidRPr="0080455C" w:rsidRDefault="00616386" w:rsidP="006620C3">
      <w:pPr>
        <w:pStyle w:val="StyleGaramondTekstsJustifiedAfter6ptLinespacingsin"/>
        <w:numPr>
          <w:ilvl w:val="0"/>
          <w:numId w:val="8"/>
        </w:numPr>
      </w:pPr>
      <w:r>
        <w:t>EK dokumentu “</w:t>
      </w:r>
      <w:r w:rsidRPr="00616386">
        <w:t>Ietekmes novērtējums priekšlikumam Eiropas Parlamenta un Padomes Regulai, ar ko izveido Eiropas Jūras vienloga sistēmas vidi un atceļ Direktīvu 2010/65/ES</w:t>
      </w:r>
      <w:r>
        <w:t>”</w:t>
      </w:r>
      <w:r>
        <w:rPr>
          <w:rStyle w:val="FootnoteReference"/>
        </w:rPr>
        <w:footnoteReference w:id="3"/>
      </w:r>
      <w:r>
        <w:t xml:space="preserve"> (turpmāk – Ietekmes novērtējums)</w:t>
      </w:r>
      <w:r w:rsidR="005D0467">
        <w:t>.</w:t>
      </w:r>
    </w:p>
    <w:p w14:paraId="1B3F4D3B" w14:textId="5B357536" w:rsidR="00201CE5" w:rsidRDefault="00FF741C" w:rsidP="00461BE9">
      <w:pPr>
        <w:pStyle w:val="StyleGaramondTekstsJustifiedAfter6ptLinespacingsin"/>
      </w:pPr>
      <w:r>
        <w:t>Projekt</w:t>
      </w:r>
      <w:r w:rsidR="0009001D">
        <w:t>a īstenošana</w:t>
      </w:r>
      <w:r w:rsidR="0027605C">
        <w:t xml:space="preserve"> tiek plānota </w:t>
      </w:r>
      <w:r w:rsidR="0027605C" w:rsidRPr="005D0467">
        <w:t>202</w:t>
      </w:r>
      <w:r w:rsidR="005D0467" w:rsidRPr="005D0467">
        <w:t>5</w:t>
      </w:r>
      <w:r w:rsidR="0027605C" w:rsidRPr="005D0467">
        <w:t>. – 202</w:t>
      </w:r>
      <w:r w:rsidR="005D0467" w:rsidRPr="005D0467">
        <w:t>7</w:t>
      </w:r>
      <w:r w:rsidR="0027605C" w:rsidRPr="005D0467">
        <w:t>. gadā</w:t>
      </w:r>
      <w:r w:rsidR="00616386">
        <w:t xml:space="preserve">. </w:t>
      </w:r>
      <w:r w:rsidR="007455DD" w:rsidRPr="007455DD">
        <w:t>Projekta kopējās plānotās izmaksas ir</w:t>
      </w:r>
      <w:r w:rsidR="007455DD">
        <w:t xml:space="preserve"> </w:t>
      </w:r>
      <w:r w:rsidR="001A5B05">
        <w:t>2 </w:t>
      </w:r>
      <w:r w:rsidR="00A93EB8">
        <w:t>4</w:t>
      </w:r>
      <w:r w:rsidR="001A5B05">
        <w:t>80 000</w:t>
      </w:r>
      <w:r w:rsidR="005D0467">
        <w:t>,00</w:t>
      </w:r>
      <w:r w:rsidR="001A5B05">
        <w:t> </w:t>
      </w:r>
      <w:r w:rsidR="00205E7E">
        <w:t>EUR</w:t>
      </w:r>
      <w:r w:rsidR="00205E7E" w:rsidRPr="00205E7E">
        <w:t xml:space="preserve"> </w:t>
      </w:r>
      <w:r w:rsidR="003D781E">
        <w:t>ieskaitot</w:t>
      </w:r>
      <w:r w:rsidR="007455DD">
        <w:t xml:space="preserve"> PVN 21%</w:t>
      </w:r>
      <w:r w:rsidR="003D781E">
        <w:t xml:space="preserve"> un tā finansēšanai tiek plānots piesaistīt</w:t>
      </w:r>
      <w:r w:rsidR="007455DD" w:rsidRPr="007455DD">
        <w:t xml:space="preserve"> </w:t>
      </w:r>
      <w:r w:rsidR="002305D7">
        <w:t xml:space="preserve">ES </w:t>
      </w:r>
      <w:r w:rsidR="007455DD" w:rsidRPr="007455DD">
        <w:t>līdzfinansējum</w:t>
      </w:r>
      <w:r w:rsidR="003D781E">
        <w:t>u</w:t>
      </w:r>
      <w:r w:rsidR="001A5B05">
        <w:t xml:space="preserve"> 2 </w:t>
      </w:r>
      <w:r w:rsidR="00A93EB8">
        <w:t>10</w:t>
      </w:r>
      <w:r w:rsidR="001A5B05">
        <w:t>8 0</w:t>
      </w:r>
      <w:r w:rsidR="005D0467">
        <w:t>00</w:t>
      </w:r>
      <w:r w:rsidR="00B819B6" w:rsidRPr="00B819B6">
        <w:t>,00</w:t>
      </w:r>
      <w:r w:rsidR="002305D7" w:rsidRPr="002305D7">
        <w:t xml:space="preserve"> </w:t>
      </w:r>
      <w:r w:rsidR="00205E7E">
        <w:t>EUR</w:t>
      </w:r>
      <w:r w:rsidR="00201CE5">
        <w:t>.</w:t>
      </w:r>
    </w:p>
    <w:p w14:paraId="66827F69" w14:textId="1D78A664" w:rsidR="00136C9D" w:rsidRDefault="00136C9D" w:rsidP="00461BE9">
      <w:pPr>
        <w:pStyle w:val="StyleGaramondTekstsJustifiedAfter6ptLinespacingsin"/>
      </w:pPr>
      <w:r>
        <w:t>Projekta finanšu atdeve ir negatīva</w:t>
      </w:r>
      <w:r w:rsidR="009031D9">
        <w:t xml:space="preserve"> (FNPVc = </w:t>
      </w:r>
      <w:r w:rsidR="001A5B05" w:rsidRPr="001A5B05">
        <w:t xml:space="preserve">-4 427 359,92 </w:t>
      </w:r>
      <w:r w:rsidR="00205E7E">
        <w:t>EUR</w:t>
      </w:r>
      <w:r w:rsidR="009031D9">
        <w:t>)</w:t>
      </w:r>
      <w:r>
        <w:t xml:space="preserve">, kas apliecina nepieciešamību pēc ES līdzfinansējuma. </w:t>
      </w:r>
    </w:p>
    <w:p w14:paraId="0FE244C9" w14:textId="1520A84F" w:rsidR="00435FA5" w:rsidRDefault="00136C9D" w:rsidP="00461BE9">
      <w:pPr>
        <w:pStyle w:val="StyleGaramondTekstsJustifiedAfter6ptLinespacingsin"/>
      </w:pPr>
      <w:r>
        <w:t xml:space="preserve">Projekta </w:t>
      </w:r>
      <w:r w:rsidR="009031D9">
        <w:t xml:space="preserve">īstenošana radīs kvantitatīvos </w:t>
      </w:r>
      <w:r>
        <w:t>ekonomisk</w:t>
      </w:r>
      <w:r w:rsidR="009031D9">
        <w:t>os ieguvumus</w:t>
      </w:r>
      <w:r w:rsidR="00645ACE">
        <w:t xml:space="preserve"> sabiedrībai</w:t>
      </w:r>
      <w:r w:rsidR="002305D7">
        <w:t xml:space="preserve"> no</w:t>
      </w:r>
      <w:r w:rsidR="001A5B05" w:rsidRPr="001A5B05">
        <w:t xml:space="preserve"> samazināt</w:t>
      </w:r>
      <w:r w:rsidR="001A5B05">
        <w:t>a</w:t>
      </w:r>
      <w:r w:rsidR="001A5B05" w:rsidRPr="001A5B05">
        <w:t xml:space="preserve"> administratīv</w:t>
      </w:r>
      <w:r w:rsidR="001A5B05">
        <w:t>ā</w:t>
      </w:r>
      <w:r w:rsidR="001A5B05" w:rsidRPr="001A5B05">
        <w:t xml:space="preserve"> slog</w:t>
      </w:r>
      <w:r w:rsidR="001A5B05">
        <w:t>a</w:t>
      </w:r>
      <w:r w:rsidR="001A5B05" w:rsidRPr="001A5B05">
        <w:t xml:space="preserve"> kuģu operatoriem, ko izsaka kā ietaupīto laiku cilvēkstundās</w:t>
      </w:r>
      <w:r w:rsidR="002305D7">
        <w:t>.</w:t>
      </w:r>
      <w:r w:rsidR="00CA547F">
        <w:t xml:space="preserve"> </w:t>
      </w:r>
      <w:r w:rsidR="00FF79AF">
        <w:t>IIA</w:t>
      </w:r>
      <w:r w:rsidR="00435FA5">
        <w:t xml:space="preserve"> liecina, ka projekts sasniegs šādus ekonomiskās atdeves rādītājus:</w:t>
      </w:r>
    </w:p>
    <w:p w14:paraId="76758152" w14:textId="33858EDA" w:rsidR="00435FA5" w:rsidRPr="00CA143F" w:rsidRDefault="00435FA5" w:rsidP="006620C3">
      <w:pPr>
        <w:pStyle w:val="StyleGaramondTekstsJustifiedAfter6ptLinespacingsin"/>
        <w:numPr>
          <w:ilvl w:val="0"/>
          <w:numId w:val="8"/>
        </w:numPr>
        <w:contextualSpacing/>
      </w:pPr>
      <w:r>
        <w:t xml:space="preserve">Ekonomiskās naudas plūsmas neto pašreizējā vērtība (ENPV) = </w:t>
      </w:r>
      <w:r w:rsidR="00A93EB8" w:rsidRPr="00A93EB8">
        <w:t>1 528 085,36</w:t>
      </w:r>
      <w:r w:rsidR="008262F0">
        <w:t xml:space="preserve"> </w:t>
      </w:r>
      <w:r w:rsidR="00205E7E" w:rsidRPr="00CA143F">
        <w:t>EUR</w:t>
      </w:r>
      <w:r w:rsidR="00E141DC" w:rsidRPr="00CA143F">
        <w:t>;</w:t>
      </w:r>
    </w:p>
    <w:p w14:paraId="14EF30BC" w14:textId="1B50A754" w:rsidR="00435FA5" w:rsidRPr="00CA143F" w:rsidRDefault="00435FA5" w:rsidP="006620C3">
      <w:pPr>
        <w:pStyle w:val="StyleGaramondTekstsJustifiedAfter6ptLinespacingsin"/>
        <w:numPr>
          <w:ilvl w:val="0"/>
          <w:numId w:val="8"/>
        </w:numPr>
        <w:contextualSpacing/>
      </w:pPr>
      <w:r w:rsidRPr="00CA143F">
        <w:t xml:space="preserve">Ekonomiskā iekšējā ienesīguma norma (ERR) = </w:t>
      </w:r>
      <w:r w:rsidR="00A93EB8">
        <w:t>1</w:t>
      </w:r>
      <w:r w:rsidR="001A5B05">
        <w:t>6,9</w:t>
      </w:r>
      <w:r w:rsidR="00A93EB8">
        <w:t>7</w:t>
      </w:r>
      <w:r w:rsidRPr="00CA143F">
        <w:t>%;</w:t>
      </w:r>
    </w:p>
    <w:p w14:paraId="372D5F35" w14:textId="17ECB1F4" w:rsidR="00435FA5" w:rsidRPr="00CA143F" w:rsidRDefault="00435FA5" w:rsidP="006620C3">
      <w:pPr>
        <w:pStyle w:val="StyleGaramondTekstsJustifiedAfter6ptLinespacingsin"/>
        <w:numPr>
          <w:ilvl w:val="0"/>
          <w:numId w:val="8"/>
        </w:numPr>
        <w:ind w:left="714" w:hanging="357"/>
      </w:pPr>
      <w:r w:rsidRPr="00CA143F">
        <w:t xml:space="preserve">Ieguvumu un izmaksu attiecība (B/C) = </w:t>
      </w:r>
      <w:r w:rsidR="001A5B05">
        <w:t>1</w:t>
      </w:r>
      <w:r w:rsidR="00FC66EA">
        <w:t>,</w:t>
      </w:r>
      <w:r w:rsidR="00A93EB8">
        <w:t>95</w:t>
      </w:r>
      <w:r w:rsidRPr="00CA143F">
        <w:t>.</w:t>
      </w:r>
    </w:p>
    <w:p w14:paraId="2898675C" w14:textId="5B425359" w:rsidR="00201CE5" w:rsidRPr="00C4183E" w:rsidRDefault="009031D9" w:rsidP="00461BE9">
      <w:pPr>
        <w:pStyle w:val="StyleGaramondTekstsJustifiedAfter6ptLinespacingsin"/>
        <w:rPr>
          <w:b/>
          <w:bCs/>
        </w:rPr>
      </w:pPr>
      <w:r w:rsidRPr="00C4183E">
        <w:rPr>
          <w:b/>
          <w:bCs/>
        </w:rPr>
        <w:t xml:space="preserve">Projekta </w:t>
      </w:r>
      <w:r w:rsidR="00CA547F" w:rsidRPr="00C4183E">
        <w:rPr>
          <w:b/>
          <w:bCs/>
        </w:rPr>
        <w:t xml:space="preserve">IIA </w:t>
      </w:r>
      <w:r w:rsidRPr="00C4183E">
        <w:rPr>
          <w:b/>
          <w:bCs/>
        </w:rPr>
        <w:t xml:space="preserve">ļauj secināt, ka </w:t>
      </w:r>
      <w:r w:rsidR="00FF79AF" w:rsidRPr="00C4183E">
        <w:rPr>
          <w:b/>
          <w:bCs/>
        </w:rPr>
        <w:t>p</w:t>
      </w:r>
      <w:r w:rsidRPr="00C4183E">
        <w:rPr>
          <w:b/>
          <w:bCs/>
        </w:rPr>
        <w:t xml:space="preserve">rojekta ekonomiskie ieguvumi pārsniedz tā izmaksas un </w:t>
      </w:r>
      <w:r w:rsidR="00FF79AF" w:rsidRPr="00C4183E">
        <w:rPr>
          <w:b/>
          <w:bCs/>
        </w:rPr>
        <w:t>p</w:t>
      </w:r>
      <w:r w:rsidRPr="00C4183E">
        <w:rPr>
          <w:b/>
          <w:bCs/>
        </w:rPr>
        <w:t>rojekta īstenošana ir sabiedrībai izdevīga.</w:t>
      </w:r>
      <w:bookmarkEnd w:id="4"/>
    </w:p>
    <w:p w14:paraId="79C20E1C" w14:textId="743E3F69" w:rsidR="00201CE5" w:rsidRDefault="00613C0B" w:rsidP="005175F3">
      <w:pPr>
        <w:pStyle w:val="Heading1"/>
      </w:pPr>
      <w:bookmarkStart w:id="5" w:name="_Toc190169651"/>
      <w:r>
        <w:lastRenderedPageBreak/>
        <w:t>IIA formas apraksts</w:t>
      </w:r>
      <w:bookmarkEnd w:id="5"/>
    </w:p>
    <w:p w14:paraId="70AFE3B4" w14:textId="0459C249" w:rsidR="00613C0B" w:rsidRDefault="00613C0B" w:rsidP="00613C0B">
      <w:pPr>
        <w:pStyle w:val="StyleGaramondTekstsJustifiedAfter6ptLinespacingsin"/>
      </w:pPr>
      <w:r>
        <w:t>Projekta IIA ir izstrādāta, izmantojot Centrālās finanšu un līgumu aģentūras (turpmāk - CFLA)</w:t>
      </w:r>
      <w:r w:rsidR="009C25A4">
        <w:t xml:space="preserve"> izstrādāto aprēķinu modeli</w:t>
      </w:r>
      <w:r w:rsidR="003845EB">
        <w:t xml:space="preserve"> un ievērojot CFLA sagatavoto aprēķina modeļa aizpildīšanas metodiku</w:t>
      </w:r>
      <w:r w:rsidR="003845EB">
        <w:rPr>
          <w:rStyle w:val="FootnoteReference"/>
        </w:rPr>
        <w:footnoteReference w:id="4"/>
      </w:r>
      <w:r w:rsidR="003845EB">
        <w:t>.</w:t>
      </w:r>
    </w:p>
    <w:p w14:paraId="67D678CB" w14:textId="195DC523" w:rsidR="001B3EEB" w:rsidRDefault="001B3EEB" w:rsidP="001B3EEB">
      <w:pPr>
        <w:pStyle w:val="StyleGaramondTekstsJustifiedAfter6ptLinespacingsin"/>
      </w:pPr>
      <w:r>
        <w:t>Zemāk ir aprakstītas IIA modeļa sadaļas, to būtība</w:t>
      </w:r>
      <w:r w:rsidR="006E5965">
        <w:t>,</w:t>
      </w:r>
      <w:r>
        <w:t xml:space="preserve"> ievadāmie dati un/vai iegūtie rezultāti.</w:t>
      </w:r>
      <w:r w:rsidR="006E5965">
        <w:t xml:space="preserve"> Dzeltenā krāsā iekrāsotās šūnas aizpilda </w:t>
      </w:r>
      <w:r w:rsidR="00736942">
        <w:t>IIA izstrādātājs</w:t>
      </w:r>
      <w:r w:rsidR="006E5965">
        <w:t>, kamēr baltās šūnas pārsvarā tiek aprēķinātas un aizpildītas automātiski. Baltās šūnas ir iespējams labot, piemēram, lai ievadītu konkrētam projektam aktuālās budžeta pozīcijas, tomēr jāuzmanās, lai neizdzēsu vai kļūdaini neizlabotu formulas un saites uz citām modeļa sadaļām.</w:t>
      </w:r>
    </w:p>
    <w:p w14:paraId="1D2EFB05" w14:textId="1B616037" w:rsidR="001B3EEB" w:rsidRDefault="001B3EEB" w:rsidP="00736942">
      <w:pPr>
        <w:pStyle w:val="Heading2"/>
      </w:pPr>
      <w:bookmarkStart w:id="6" w:name="_Toc190169652"/>
      <w:r>
        <w:t>Dati</w:t>
      </w:r>
      <w:bookmarkEnd w:id="6"/>
    </w:p>
    <w:p w14:paraId="576A18FC" w14:textId="275A3226" w:rsidR="001B3EEB" w:rsidRDefault="001B3EEB" w:rsidP="009D7EB7">
      <w:pPr>
        <w:pStyle w:val="StyleGaramondTekstsJustifiedAfter6ptLinespacingsin"/>
      </w:pPr>
      <w:r>
        <w:t>Šajā sadaļā tiek ievadīta informācija, kura tiek izmantota citās modeļa sadaļās atrodamajām izvēlnēm.</w:t>
      </w:r>
      <w:r w:rsidR="00736942">
        <w:t xml:space="preserve"> Parasti tajā nekas nav jālabo.</w:t>
      </w:r>
    </w:p>
    <w:p w14:paraId="37242AC5" w14:textId="43F8B79F" w:rsidR="001B3EEB" w:rsidRDefault="001B3EEB" w:rsidP="00736942">
      <w:pPr>
        <w:pStyle w:val="Heading2"/>
      </w:pPr>
      <w:bookmarkStart w:id="7" w:name="_Toc190169653"/>
      <w:r>
        <w:t>Dati par projektu</w:t>
      </w:r>
      <w:bookmarkEnd w:id="7"/>
    </w:p>
    <w:p w14:paraId="2B74FF88" w14:textId="110CFD9D" w:rsidR="001B3EEB" w:rsidRDefault="001B3EEB" w:rsidP="001B3EEB">
      <w:pPr>
        <w:pStyle w:val="StyleGaramondTekstsJustifiedAfter6ptLinespacingsin"/>
        <w:spacing w:after="0"/>
      </w:pPr>
      <w:r>
        <w:t>Šajā sadaļā tiek ievadīti galvenā informācija par projektu, kā arī turpmākajā analīzē izmantojamie pieņēmumi: projekta uzsākšanas gads (nosaka gadu, ar kuru sāksies naudas plūsmas pārējās modeļa sadaļās), īstenošanas nozare un projekta dzīves cikla ilgums.</w:t>
      </w:r>
    </w:p>
    <w:p w14:paraId="17DAE7FE" w14:textId="2B6F1DA0" w:rsidR="001B3EEB" w:rsidRDefault="001B3EEB" w:rsidP="00736942">
      <w:pPr>
        <w:pStyle w:val="Heading2"/>
      </w:pPr>
      <w:bookmarkStart w:id="8" w:name="_Toc190169654"/>
      <w:r w:rsidRPr="001B3EEB">
        <w:t>1.1.A. Iesniedzējs</w:t>
      </w:r>
      <w:bookmarkEnd w:id="8"/>
    </w:p>
    <w:p w14:paraId="38F64AE5" w14:textId="09457564" w:rsidR="001B3EEB" w:rsidRDefault="001B3EEB" w:rsidP="009D7EB7">
      <w:pPr>
        <w:pStyle w:val="StyleGaramondTekstsJustifiedAfter6ptLinespacingsin"/>
      </w:pPr>
      <w:r>
        <w:t>Šajā sadaļā tiek ievadīts projekta budžets jeb tā ieguldījumu izmaksas sadalījumā par izmaksu pozīcijām, īstenošanas gadiem, attiecināmām vai ārpusprojekta izmaksām.</w:t>
      </w:r>
    </w:p>
    <w:p w14:paraId="544282DB" w14:textId="4124C807" w:rsidR="009D7EB7" w:rsidRDefault="009D7EB7" w:rsidP="009D7EB7">
      <w:pPr>
        <w:pStyle w:val="StyleGaramondTekstsJustifiedAfter6ptLinespacingsin"/>
      </w:pPr>
      <w:r>
        <w:t>Ja projekta īstenotājs</w:t>
      </w:r>
      <w:r w:rsidRPr="009D7EB7">
        <w:t xml:space="preserve"> </w:t>
      </w:r>
      <w:r>
        <w:t>atbilstoši LR normatīvajiem aktiem nodokļu politikas jomā nevar atgūt pievienotās vērtības nodokli (turpmāk - PVN) par ieguldījumu izmaksām, tad ieguldījum izmaksas norāda ar PVN. Ja PVN ir atgūstams, izmaksas norāda bez PVN.</w:t>
      </w:r>
    </w:p>
    <w:p w14:paraId="6A579DEB" w14:textId="1DD40F53" w:rsidR="001B3EEB" w:rsidRDefault="001B3EEB" w:rsidP="00736942">
      <w:pPr>
        <w:pStyle w:val="Heading2"/>
      </w:pPr>
      <w:bookmarkStart w:id="9" w:name="_Toc190169655"/>
      <w:r w:rsidRPr="001B3EEB">
        <w:t>2. DL invest.n.pl.BEZ pr.</w:t>
      </w:r>
      <w:bookmarkEnd w:id="9"/>
    </w:p>
    <w:p w14:paraId="739863AD" w14:textId="7AF70D89" w:rsidR="001B3EEB" w:rsidRDefault="001B3EEB" w:rsidP="009D7EB7">
      <w:pPr>
        <w:pStyle w:val="StyleGaramondTekstsJustifiedAfter6ptLinespacingsin"/>
      </w:pPr>
      <w:r>
        <w:t>Šajā sadaļā tiek ievadīti darbības ieņēmumi un izmaksas</w:t>
      </w:r>
      <w:r w:rsidR="002B1742">
        <w:t xml:space="preserve"> variantam</w:t>
      </w:r>
      <w:r>
        <w:t xml:space="preserve"> “bez projekta”, proti, paredzot, ka</w:t>
      </w:r>
      <w:r w:rsidR="009D7EB7">
        <w:t xml:space="preserve"> tiek saglabāta</w:t>
      </w:r>
      <w:r>
        <w:t xml:space="preserve"> esošā situācij</w:t>
      </w:r>
      <w:r w:rsidR="009D7EB7">
        <w:t>a.</w:t>
      </w:r>
      <w:r w:rsidR="002B1742">
        <w:t xml:space="preserve"> Ieņēmumus un izmaksas norāda visos projekta dzīves ciklā ietilpstošajos gados atbilstoši sadaļā “Dati par projektu” norādītajam projekta dzīves cikla ilgumam.</w:t>
      </w:r>
    </w:p>
    <w:p w14:paraId="047BFB49" w14:textId="7BCF3BB2" w:rsidR="009D7EB7" w:rsidRDefault="009D7EB7" w:rsidP="009D7EB7">
      <w:pPr>
        <w:pStyle w:val="StyleGaramondTekstsJustifiedAfter6ptLinespacingsin"/>
      </w:pPr>
      <w:r>
        <w:t>Ja ieguldījumu izmaksas iepriekšējā nodaļā tika norādītas ar PVN, tad arī šajā sadaļā ieņēmumus un izmaksas norāda ar PVN.</w:t>
      </w:r>
    </w:p>
    <w:p w14:paraId="3B984B7D" w14:textId="7A938B0E" w:rsidR="001B3EEB" w:rsidRDefault="00BA277A" w:rsidP="00736942">
      <w:pPr>
        <w:pStyle w:val="Heading2"/>
      </w:pPr>
      <w:bookmarkStart w:id="10" w:name="_Toc190169656"/>
      <w:r w:rsidRPr="00BA277A">
        <w:t>3. DL invest.n.pl.AR pr.</w:t>
      </w:r>
      <w:bookmarkEnd w:id="10"/>
    </w:p>
    <w:p w14:paraId="4A9D103B" w14:textId="0DD25F9C" w:rsidR="002B1742" w:rsidRDefault="002B1742" w:rsidP="002B1742">
      <w:pPr>
        <w:pStyle w:val="StyleGaramondTekstsJustifiedAfter6ptLinespacingsin"/>
      </w:pPr>
      <w:r>
        <w:t>Šajā sadaļā tiek ievadīti darbības ieņēmumi un izmaksas variantam “ar projektu”, proti, ieņēmumi un izmaksas, kādas tās būs pateicoties projekta īstenošanai.</w:t>
      </w:r>
      <w:r w:rsidRPr="002B1742">
        <w:t xml:space="preserve"> </w:t>
      </w:r>
      <w:r>
        <w:t>Ieņēmumus un izmaksas norāda visos projekta dzīves ciklā ietilpstošajos gados</w:t>
      </w:r>
      <w:r w:rsidR="005571FC">
        <w:t xml:space="preserve"> (identisks ilgums kā iepriekšējā sadaļā)</w:t>
      </w:r>
      <w:r>
        <w:t>, sākot no 1. gada pēc projekta īstenošanas beigām.</w:t>
      </w:r>
    </w:p>
    <w:p w14:paraId="555484C6" w14:textId="67856CB0" w:rsidR="001B3EEB" w:rsidRDefault="002B1742" w:rsidP="002B1742">
      <w:pPr>
        <w:pStyle w:val="StyleGaramondTekstsJustifiedAfter6ptLinespacingsin"/>
      </w:pPr>
      <w:r>
        <w:t>Ja iepriekšējā nodaļā ieņēmumi un izmaksas tika norādītas ar PVN, tad arī šajā sadaļā ieņēmumus un izmaksas norāda ar PVN.</w:t>
      </w:r>
    </w:p>
    <w:p w14:paraId="1A27D084" w14:textId="0ECA3A7F" w:rsidR="002B1742" w:rsidRDefault="002B1742" w:rsidP="002B1742">
      <w:pPr>
        <w:pStyle w:val="StyleGaramondTekstsJustifiedAfter6ptLinespacingsin"/>
      </w:pPr>
      <w:r>
        <w:t xml:space="preserve">4.1. pozīcijā jānorāda projekta atlikusī vērtība, kura tiek aprēķināta sadaļā “Pieņēmumi”. Aprēķins var tikt veikts ar vienu no divām metodēm, atkarībā no tā, vai projekts rada darbības ieņēmumus, vai nē. </w:t>
      </w:r>
      <w:r>
        <w:lastRenderedPageBreak/>
        <w:t>Aprēķināto vērtību ievada projekta dzīves cikla pēdējā gadā.</w:t>
      </w:r>
      <w:r w:rsidR="005571FC">
        <w:t xml:space="preserve"> Ja aprēķinātā projekta atlikusī vērtība ir negatīva vai vienāda ar nulli, norāda nulles vērtību.</w:t>
      </w:r>
    </w:p>
    <w:p w14:paraId="59F2DE1F" w14:textId="004AB05F" w:rsidR="005571FC" w:rsidRDefault="005571FC" w:rsidP="00736942">
      <w:pPr>
        <w:pStyle w:val="Heading2"/>
      </w:pPr>
      <w:bookmarkStart w:id="11" w:name="_Toc190169657"/>
      <w:r w:rsidRPr="005571FC">
        <w:t>4.DL Finansiālā ilgtspēja</w:t>
      </w:r>
      <w:bookmarkEnd w:id="11"/>
    </w:p>
    <w:p w14:paraId="1A9C93F2" w14:textId="48F071B7" w:rsidR="005571FC" w:rsidRDefault="005571FC" w:rsidP="002B1742">
      <w:pPr>
        <w:pStyle w:val="StyleGaramondTekstsJustifiedAfter6ptLinespacingsin"/>
      </w:pPr>
      <w:r>
        <w:t>Šajā sadaļā tiek ievadīta projekta finansēšanas naudas plūsma. Ja projekts tiek līdzfinansēts ar ilgtermiņa aizdevumu, tad tā summu pa gadiem norāda 1.2. pozīcijā. 1.3. pozīcijā norāda projekta īstenotāja finansējumu ārpusprojekta un darbības izmaksu, kā arī aizdevuma pamatsummas un procentu segšanai. 1.5. un 1.6. pozīcijās tiek automātiski norādīts ES un valsts budžeta finansējums attiecināmām izmaksām.</w:t>
      </w:r>
    </w:p>
    <w:p w14:paraId="0CA467D3" w14:textId="78EF93C1" w:rsidR="005571FC" w:rsidRDefault="005571FC" w:rsidP="002B1742">
      <w:pPr>
        <w:pStyle w:val="StyleGaramondTekstsJustifiedAfter6ptLinespacingsin"/>
      </w:pPr>
      <w:r>
        <w:t>2.4. un 2.5. pozīcijās tiek norādītas ilgtermiņa aizdevuma, attiecīgi, pamatsummas un procentu atmaksa, kur</w:t>
      </w:r>
      <w:r w:rsidR="00AB3C7B">
        <w:t xml:space="preserve">u vērtības </w:t>
      </w:r>
      <w:r>
        <w:t>tiek aprēķināta</w:t>
      </w:r>
      <w:r w:rsidR="00AB3C7B">
        <w:t>s</w:t>
      </w:r>
      <w:r>
        <w:t xml:space="preserve"> sadaļā “Pieņēmumi”.</w:t>
      </w:r>
    </w:p>
    <w:p w14:paraId="31A14BE6" w14:textId="52D6461E" w:rsidR="00AB3C7B" w:rsidRDefault="00CE2536" w:rsidP="002B1742">
      <w:pPr>
        <w:pStyle w:val="StyleGaramondTekstsJustifiedAfter6ptLinespacingsin"/>
      </w:pPr>
      <w:r>
        <w:t>Jāpārliecinās, ka 4. pozīcijā “Kumulatīvā neto naudas plūsma” visos projekta dzīves cikla gados ir vērtības, kas nav mazākas par nulli. Ja kādā gadā ir negatīva vērtība, attiecīgā šūna automātiski iekrāsojas sarkana. Trūkstošais finansējums jāievada 1.3. pozīcijā.</w:t>
      </w:r>
    </w:p>
    <w:p w14:paraId="6C5924BD" w14:textId="48839461" w:rsidR="005571FC" w:rsidRDefault="003E5E6D" w:rsidP="00736942">
      <w:pPr>
        <w:pStyle w:val="Heading2"/>
      </w:pPr>
      <w:bookmarkStart w:id="12" w:name="_Toc190169658"/>
      <w:r w:rsidRPr="003E5E6D">
        <w:t>5.DL soc.econom. analīze</w:t>
      </w:r>
      <w:bookmarkEnd w:id="12"/>
    </w:p>
    <w:p w14:paraId="54FA2B8E" w14:textId="3A67068C" w:rsidR="005571FC" w:rsidRDefault="003E5E6D" w:rsidP="002B1742">
      <w:pPr>
        <w:pStyle w:val="StyleGaramondTekstsJustifiedAfter6ptLinespacingsin"/>
      </w:pPr>
      <w:r>
        <w:t>Šajā sadaļā tiek veikta projekta sociālekonomiskā analīze. 1. – 3. pozīcijā tiek ievadīti projekta radītie sociālekonomiskie ieguvumi, kā arī finanšu ieguvumi un sociālekonomskie zaudējumi, ja tādi ir. Ievadāmās vērtības tiek aprēķinātas sadaļā “Pieņēmumi”.</w:t>
      </w:r>
    </w:p>
    <w:p w14:paraId="5DD71A3E" w14:textId="4E14B33D" w:rsidR="003E5E6D" w:rsidRDefault="003E5E6D" w:rsidP="002B1742">
      <w:pPr>
        <w:pStyle w:val="StyleGaramondTekstsJustifiedAfter6ptLinespacingsin"/>
      </w:pPr>
      <w:r>
        <w:t>5. pozīcijā tiek aprēķinātas</w:t>
      </w:r>
      <w:r w:rsidR="005D2846">
        <w:t xml:space="preserve"> finanšu analīzē izmantoto ieguldījuma un darbības izmaksu</w:t>
      </w:r>
      <w:r>
        <w:t xml:space="preserve"> fiskālās korekcijas (</w:t>
      </w:r>
      <w:r w:rsidR="000F449A">
        <w:t xml:space="preserve">sociālekonomiskās analīzes metodikas </w:t>
      </w:r>
      <w:r w:rsidRPr="00C52DAC">
        <w:t>aprakst</w:t>
      </w:r>
      <w:r w:rsidR="000F449A" w:rsidRPr="00C52DAC">
        <w:t>s ir</w:t>
      </w:r>
      <w:r w:rsidRPr="00C52DAC">
        <w:t xml:space="preserve"> </w:t>
      </w:r>
      <w:r w:rsidR="00C52DAC" w:rsidRPr="00C52DAC">
        <w:fldChar w:fldCharType="begin"/>
      </w:r>
      <w:r w:rsidR="00C52DAC" w:rsidRPr="00C52DAC">
        <w:instrText xml:space="preserve"> REF _Ref185002978 \r \h </w:instrText>
      </w:r>
      <w:r w:rsidR="00C52DAC">
        <w:instrText xml:space="preserve"> \* MERGEFORMAT </w:instrText>
      </w:r>
      <w:r w:rsidR="00C52DAC" w:rsidRPr="00C52DAC">
        <w:fldChar w:fldCharType="separate"/>
      </w:r>
      <w:r w:rsidR="00C52DAC" w:rsidRPr="00C52DAC">
        <w:t>3.2.1</w:t>
      </w:r>
      <w:r w:rsidR="00C52DAC" w:rsidRPr="00C52DAC">
        <w:fldChar w:fldCharType="end"/>
      </w:r>
      <w:r w:rsidRPr="00C52DAC">
        <w:t>. nodaļā)</w:t>
      </w:r>
      <w:r w:rsidR="005D2846" w:rsidRPr="00C52DAC">
        <w:t>.</w:t>
      </w:r>
    </w:p>
    <w:p w14:paraId="26708EBE" w14:textId="48E406C1" w:rsidR="005D2846" w:rsidRDefault="005D2846" w:rsidP="002B1742">
      <w:pPr>
        <w:pStyle w:val="StyleGaramondTekstsJustifiedAfter6ptLinespacingsin"/>
      </w:pPr>
      <w:r>
        <w:t>6. pozīcijā ir redzami aprēķinātie projekta sociālekonomiskās atdeves rādītāji:</w:t>
      </w:r>
    </w:p>
    <w:p w14:paraId="4CAD95B6" w14:textId="4ECC1FE6" w:rsidR="005D2846" w:rsidRDefault="005D2846" w:rsidP="006620C3">
      <w:pPr>
        <w:pStyle w:val="StyleGaramondTekstsJustifiedAfter6ptLinespacingsin"/>
        <w:numPr>
          <w:ilvl w:val="0"/>
          <w:numId w:val="10"/>
        </w:numPr>
      </w:pPr>
      <w:r>
        <w:t>ekonomiskā neto pašreizējā vērtība (ENPV) – rāda projekta visa dzīves cikla neto naudas plūsmas diskontēto vērtību. ENPV jābūt pozitīvai, lai projektu varētu uzskatīt par sabiedrībai izdevīgu.</w:t>
      </w:r>
    </w:p>
    <w:p w14:paraId="3A554A8C" w14:textId="375A2503" w:rsidR="005D2846" w:rsidRDefault="005D2846" w:rsidP="006620C3">
      <w:pPr>
        <w:pStyle w:val="StyleGaramondTekstsJustifiedAfter6ptLinespacingsin"/>
        <w:numPr>
          <w:ilvl w:val="0"/>
          <w:numId w:val="10"/>
        </w:numPr>
      </w:pPr>
      <w:r>
        <w:t>Ekonomiskā ienesīguma norma (ERR) – rāda projekta vidējo gada ekonomisko atdevi procentos. ERR vērtībai ir jābūt lielākai par C3 šūnā norādīto r</w:t>
      </w:r>
      <w:r w:rsidRPr="005D2846">
        <w:t>eāl</w:t>
      </w:r>
      <w:r>
        <w:t>o</w:t>
      </w:r>
      <w:r w:rsidRPr="005D2846">
        <w:t xml:space="preserve"> sociāl</w:t>
      </w:r>
      <w:r>
        <w:t>o</w:t>
      </w:r>
      <w:r w:rsidRPr="005D2846">
        <w:t xml:space="preserve"> diskonta likm</w:t>
      </w:r>
      <w:r>
        <w:t>i (5%), lai projektu varētu uzskatīt par sabiedrībai izdevīgu.</w:t>
      </w:r>
    </w:p>
    <w:p w14:paraId="38803B6B" w14:textId="279AFF01" w:rsidR="005D2846" w:rsidRDefault="005D2846" w:rsidP="006620C3">
      <w:pPr>
        <w:pStyle w:val="StyleGaramondTekstsJustifiedAfter6ptLinespacingsin"/>
        <w:numPr>
          <w:ilvl w:val="0"/>
          <w:numId w:val="10"/>
        </w:numPr>
      </w:pPr>
      <w:r>
        <w:t>Ieguvumu un izmaksu attiecība (B/C) – rāda projekta radīto ieguvumu un izmaksu attiecību jeb dalījumu. B/C vērtībai ir jābūt lielākai par 1, lai projektu varētu uzskatīt par sabiedrībai izdevīgu.</w:t>
      </w:r>
    </w:p>
    <w:p w14:paraId="453904D1" w14:textId="0EB8A91F" w:rsidR="003E5E6D" w:rsidRDefault="00A6149A" w:rsidP="00736942">
      <w:pPr>
        <w:pStyle w:val="Heading2"/>
      </w:pPr>
      <w:bookmarkStart w:id="13" w:name="_Toc190169659"/>
      <w:r w:rsidRPr="00A6149A">
        <w:t>6. DL finanšu_analīze</w:t>
      </w:r>
      <w:bookmarkEnd w:id="13"/>
    </w:p>
    <w:p w14:paraId="067A0870" w14:textId="04192374" w:rsidR="005571FC" w:rsidRDefault="00A6149A" w:rsidP="002B1742">
      <w:pPr>
        <w:pStyle w:val="StyleGaramondTekstsJustifiedAfter6ptLinespacingsin"/>
      </w:pPr>
      <w:r>
        <w:t>Šajā sadaļā tiek automātiski izveidotas naudas plūsmas projekta kapitāla atdeves (FNPVk)</w:t>
      </w:r>
      <w:r w:rsidR="00E93015">
        <w:t xml:space="preserve"> un investīciju atdeves (FNPVc)</w:t>
      </w:r>
      <w:r>
        <w:t xml:space="preserve"> noteikšanai</w:t>
      </w:r>
      <w:r w:rsidR="00E93015">
        <w:t>.</w:t>
      </w:r>
      <w:r w:rsidR="009A0851">
        <w:t xml:space="preserve"> Valsts sektora investīciju projektos, īpaši tādos, kas nerada papildus ieņēmumus un/vai izmaksu ietaupījumus, finanšu atdeves rādītāji parasti ir negatīvi.</w:t>
      </w:r>
    </w:p>
    <w:p w14:paraId="52F90700" w14:textId="785FE6AA" w:rsidR="00E93015" w:rsidRDefault="00E93015" w:rsidP="002B1742">
      <w:pPr>
        <w:pStyle w:val="StyleGaramondTekstsJustifiedAfter6ptLinespacingsin"/>
      </w:pPr>
      <w:r>
        <w:t>FNPVc rādītājam</w:t>
      </w:r>
      <w:r w:rsidR="009A0851">
        <w:t xml:space="preserve"> obligāti</w:t>
      </w:r>
      <w:r>
        <w:t xml:space="preserve"> ir jābūt negatīvam, lai projekts varētu pretendēt uz ES finansējumu.</w:t>
      </w:r>
      <w:r w:rsidR="009A0851">
        <w:t xml:space="preserve"> FNPVk rādītājs drīkst būt pozitīvs.</w:t>
      </w:r>
    </w:p>
    <w:p w14:paraId="14D7381A" w14:textId="7136F29A" w:rsidR="009A0851" w:rsidRDefault="009A0851" w:rsidP="00736942">
      <w:pPr>
        <w:pStyle w:val="Heading2"/>
      </w:pPr>
      <w:bookmarkStart w:id="14" w:name="_Toc190169660"/>
      <w:r w:rsidRPr="009A0851">
        <w:t>7. DL jut. analīze-Soc.</w:t>
      </w:r>
      <w:bookmarkEnd w:id="14"/>
    </w:p>
    <w:p w14:paraId="2635F241" w14:textId="77777777" w:rsidR="0005248E" w:rsidRDefault="0005248E" w:rsidP="002B1742">
      <w:pPr>
        <w:pStyle w:val="StyleGaramondTekstsJustifiedAfter6ptLinespacingsin"/>
      </w:pPr>
      <w:r>
        <w:t>Šajā sadaļā tiek veikta projekta sociālekonomiskās atdeves rādītāju jutīguma analīze. Tiek noteikta projekta galveno pozīciju: investīciju izmaksu, darbības izmaksu un sociālekonomiskie ieguvumu iespējamo izmaiņu ietekme uz projekta sociālekonomisko atdevi.</w:t>
      </w:r>
    </w:p>
    <w:p w14:paraId="513C5448" w14:textId="58A5440D" w:rsidR="009A0851" w:rsidRDefault="0005248E" w:rsidP="002B1742">
      <w:pPr>
        <w:pStyle w:val="StyleGaramondTekstsJustifiedAfter6ptLinespacingsin"/>
      </w:pPr>
      <w:r>
        <w:t>Aprēķinu gaita un rezultāti ir aprakstīti sadaļas “</w:t>
      </w:r>
      <w:r w:rsidRPr="0005248E">
        <w:t>11. DL 4.pielikums</w:t>
      </w:r>
      <w:r>
        <w:t xml:space="preserve">” </w:t>
      </w:r>
      <w:r w:rsidRPr="0005248E">
        <w:t>III.</w:t>
      </w:r>
      <w:r>
        <w:t>2. punktā “Jutīguma analīze”.</w:t>
      </w:r>
    </w:p>
    <w:p w14:paraId="7E7E1AEA" w14:textId="61F7984A" w:rsidR="0005248E" w:rsidRDefault="009E2F25" w:rsidP="00736942">
      <w:pPr>
        <w:pStyle w:val="Heading2"/>
      </w:pPr>
      <w:bookmarkStart w:id="15" w:name="_Toc190169661"/>
      <w:r w:rsidRPr="009E2F25">
        <w:lastRenderedPageBreak/>
        <w:t>8. DL jut. analize-Fin.</w:t>
      </w:r>
      <w:bookmarkEnd w:id="15"/>
    </w:p>
    <w:p w14:paraId="426A3751" w14:textId="18915971" w:rsidR="009E2F25" w:rsidRDefault="009E2F25" w:rsidP="009E2F25">
      <w:pPr>
        <w:pStyle w:val="StyleGaramondTekstsJustifiedAfter6ptLinespacingsin"/>
      </w:pPr>
      <w:r>
        <w:t xml:space="preserve">Šajā sadaļā tiek veikta projekta </w:t>
      </w:r>
      <w:r w:rsidR="00AB5059">
        <w:t>finanšu</w:t>
      </w:r>
      <w:r>
        <w:t xml:space="preserve"> atdeves rādītāju jutīguma analīze. Tiek noteikta projekta galveno </w:t>
      </w:r>
      <w:r w:rsidR="00AB5059">
        <w:t xml:space="preserve">finanšu </w:t>
      </w:r>
      <w:r>
        <w:t>pozīciju: investīciju izmaksu</w:t>
      </w:r>
      <w:r w:rsidR="00AB5059">
        <w:t xml:space="preserve"> un</w:t>
      </w:r>
      <w:r>
        <w:t xml:space="preserve"> darbības izmaksu iespējamo izmaiņu ietekme uz projekta </w:t>
      </w:r>
      <w:r w:rsidR="00AB5059">
        <w:t xml:space="preserve">finanšu </w:t>
      </w:r>
      <w:r>
        <w:t>atdevi.</w:t>
      </w:r>
    </w:p>
    <w:p w14:paraId="24743531" w14:textId="7FD8F2CB" w:rsidR="009E2F25" w:rsidRDefault="009E2F25" w:rsidP="009E2F25">
      <w:pPr>
        <w:pStyle w:val="StyleGaramondTekstsJustifiedAfter6ptLinespacingsin"/>
      </w:pPr>
      <w:r>
        <w:t>Aprēķinu gaita un rezultāti ir aprakstīti sadaļas “</w:t>
      </w:r>
      <w:r w:rsidRPr="0005248E">
        <w:t>11. DL 4.pielikums</w:t>
      </w:r>
      <w:r>
        <w:t xml:space="preserve">” </w:t>
      </w:r>
      <w:r w:rsidRPr="0005248E">
        <w:t>III.</w:t>
      </w:r>
      <w:r>
        <w:t>2. punktā “Jutīguma analīze”.</w:t>
      </w:r>
    </w:p>
    <w:p w14:paraId="67D72544" w14:textId="05E1A344" w:rsidR="00865DEA" w:rsidRDefault="00865DEA" w:rsidP="00736942">
      <w:pPr>
        <w:pStyle w:val="Heading2"/>
      </w:pPr>
      <w:bookmarkStart w:id="16" w:name="_Toc190169662"/>
      <w:r w:rsidRPr="00865DEA">
        <w:t>9. DL PI Fin.plans</w:t>
      </w:r>
      <w:bookmarkEnd w:id="16"/>
    </w:p>
    <w:p w14:paraId="280D2D46" w14:textId="6D8ECA50" w:rsidR="00865DEA" w:rsidRDefault="00865DEA" w:rsidP="009E2F25">
      <w:pPr>
        <w:pStyle w:val="StyleGaramondTekstsJustifiedAfter6ptLinespacingsin"/>
      </w:pPr>
      <w:r>
        <w:t>Šajā sadaļā tiek automātiski izveidots projekta finansēšanas plāns. Ja šūnā T5 aprēķinātais ES finansējums ir lielāks kā projektam piešķirtais maksimālais ES finansējums, piešķirtais finansējuma apjoms ir jānorāda šūnā B19, un finansēšanas plāns tiks automātiski pārrēķināts.</w:t>
      </w:r>
    </w:p>
    <w:p w14:paraId="0B330196" w14:textId="4225D7FF" w:rsidR="009D5639" w:rsidRDefault="00266BC8" w:rsidP="00736942">
      <w:pPr>
        <w:pStyle w:val="Heading2"/>
      </w:pPr>
      <w:bookmarkStart w:id="17" w:name="_Toc190169663"/>
      <w:r w:rsidRPr="00266BC8">
        <w:t>10. DL PI Budz.kops.</w:t>
      </w:r>
      <w:bookmarkEnd w:id="17"/>
    </w:p>
    <w:p w14:paraId="621C9601" w14:textId="07FA4DB0" w:rsidR="009D5639" w:rsidRDefault="00266BC8" w:rsidP="009E2F25">
      <w:pPr>
        <w:pStyle w:val="StyleGaramondTekstsJustifiedAfter6ptLinespacingsin"/>
      </w:pPr>
      <w:r>
        <w:t>Šajā sadaļā tiek automātiski izveidots projekta budžeta kopsavilkums. Jāpievērš uzmanība, vai visās budžeta pozīcijās tiek korekti aprēķināts PVN (G kolonna). Piemēram, projekta personāla izmaksās netiek iekļauts PVN, ja vien šis pakalpojums netiek iepirkts ārpakalpojumā.</w:t>
      </w:r>
    </w:p>
    <w:p w14:paraId="47A992CB" w14:textId="2EBFF3E1" w:rsidR="00266BC8" w:rsidRDefault="006E5965" w:rsidP="00736942">
      <w:pPr>
        <w:pStyle w:val="Heading2"/>
      </w:pPr>
      <w:bookmarkStart w:id="18" w:name="_Toc190169664"/>
      <w:r w:rsidRPr="006E5965">
        <w:t>11. DL 4.pielikums</w:t>
      </w:r>
      <w:bookmarkEnd w:id="18"/>
    </w:p>
    <w:p w14:paraId="1B3DA820" w14:textId="15803B49" w:rsidR="006E5965" w:rsidRDefault="006E5965" w:rsidP="009E2F25">
      <w:pPr>
        <w:pStyle w:val="StyleGaramondTekstsJustifiedAfter6ptLinespacingsin"/>
      </w:pPr>
      <w:r>
        <w:t>Šī sadaļa ir projekta iesnieguma veidlapas 4. pielikums “</w:t>
      </w:r>
      <w:r w:rsidRPr="006E5965">
        <w:t>Projekta izmaksu efektivitātes novērtēšana</w:t>
      </w:r>
      <w:r>
        <w:t>”. Dzeltenā</w:t>
      </w:r>
      <w:r w:rsidR="009D2637">
        <w:t xml:space="preserve">s sadaļas aizpilda </w:t>
      </w:r>
      <w:r w:rsidR="0045042A">
        <w:t>modeļa lietotājs, kamēr baltās sadaļas aizpildās automātiski.</w:t>
      </w:r>
    </w:p>
    <w:p w14:paraId="0AB969F6" w14:textId="4449CDE0" w:rsidR="0045042A" w:rsidRDefault="00EE4FD4" w:rsidP="009E2F25">
      <w:pPr>
        <w:pStyle w:val="StyleGaramondTekstsJustifiedAfter6ptLinespacingsin"/>
      </w:pPr>
      <w:r>
        <w:t xml:space="preserve">I </w:t>
      </w:r>
      <w:r w:rsidR="00AC7C76">
        <w:t>no</w:t>
      </w:r>
      <w:r>
        <w:t>daļas “Finanšu analīze” 1. punktā tiek aprakstīti galvenie finanšu analīzē izmantotie pieņēmumi, izejas dati un secinājumi. 2. un 3. punktā tiek automātiski apkopoti finanšu atdeves rādītāji.</w:t>
      </w:r>
    </w:p>
    <w:p w14:paraId="1EB0C44F" w14:textId="4A5E3ABE" w:rsidR="000738A0" w:rsidRPr="00C52DAC" w:rsidRDefault="000738A0" w:rsidP="009E2F25">
      <w:pPr>
        <w:pStyle w:val="StyleGaramondTekstsJustifiedAfter6ptLinespacingsin"/>
      </w:pPr>
      <w:r>
        <w:t xml:space="preserve">Šī projekta finanšu analīzē </w:t>
      </w:r>
      <w:r w:rsidRPr="00C52DAC">
        <w:t xml:space="preserve">izmantotie izejas dati un pieņēmumi, kā arī tās rezultāti, ir aprakstīti </w:t>
      </w:r>
      <w:r w:rsidR="00C52DAC" w:rsidRPr="00C52DAC">
        <w:fldChar w:fldCharType="begin"/>
      </w:r>
      <w:r w:rsidR="00C52DAC" w:rsidRPr="00C52DAC">
        <w:instrText xml:space="preserve"> REF _Ref185003004 \r \h </w:instrText>
      </w:r>
      <w:r w:rsidR="00C52DAC">
        <w:instrText xml:space="preserve"> \* MERGEFORMAT </w:instrText>
      </w:r>
      <w:r w:rsidR="00C52DAC" w:rsidRPr="00C52DAC">
        <w:fldChar w:fldCharType="separate"/>
      </w:r>
      <w:r w:rsidR="00C52DAC" w:rsidRPr="00C52DAC">
        <w:t>3.1</w:t>
      </w:r>
      <w:r w:rsidR="00C52DAC" w:rsidRPr="00C52DAC">
        <w:fldChar w:fldCharType="end"/>
      </w:r>
      <w:r w:rsidRPr="00C52DAC">
        <w:t>.</w:t>
      </w:r>
      <w:r w:rsidR="00C52DAC">
        <w:t> </w:t>
      </w:r>
      <w:r w:rsidRPr="00C52DAC">
        <w:t>nodaļā.</w:t>
      </w:r>
    </w:p>
    <w:p w14:paraId="031DD12C" w14:textId="6C96E58F" w:rsidR="00EE4FD4" w:rsidRPr="00C52DAC" w:rsidRDefault="00EE4FD4" w:rsidP="009E2F25">
      <w:pPr>
        <w:pStyle w:val="StyleGaramondTekstsJustifiedAfter6ptLinespacingsin"/>
      </w:pPr>
      <w:r w:rsidRPr="00C52DAC">
        <w:t xml:space="preserve">II </w:t>
      </w:r>
      <w:r w:rsidR="00AC7C76" w:rsidRPr="00C52DAC">
        <w:t>no</w:t>
      </w:r>
      <w:r w:rsidRPr="00C52DAC">
        <w:t>daļas “Ekonomiskā analīze” 1. punktā tiek aprakstīti galvenie sociālekonomiskajā analīzē izmantotie pieņēmumi, izejas dati un secinājumi. 2. un 3. punktā tiek automātiski apkopoti sociālekonomiskās atdeves rādītāji.</w:t>
      </w:r>
    </w:p>
    <w:p w14:paraId="4398DE52" w14:textId="7C8888D5" w:rsidR="000738A0" w:rsidRPr="00C52DAC" w:rsidRDefault="000738A0" w:rsidP="000738A0">
      <w:pPr>
        <w:pStyle w:val="StyleGaramondTekstsJustifiedAfter6ptLinespacingsin"/>
      </w:pPr>
      <w:r w:rsidRPr="00C52DAC">
        <w:t xml:space="preserve">Šī projekta sociālekonomiskajā analīzē izmantotie izejas dati un pieņēmumi, kā arī tās rezultāti, ir aprakstīti </w:t>
      </w:r>
      <w:r w:rsidR="00C52DAC" w:rsidRPr="00C52DAC">
        <w:fldChar w:fldCharType="begin"/>
      </w:r>
      <w:r w:rsidR="00C52DAC" w:rsidRPr="00C52DAC">
        <w:instrText xml:space="preserve"> REF _Ref226372421 \r \h </w:instrText>
      </w:r>
      <w:r w:rsidR="00C52DAC">
        <w:instrText xml:space="preserve"> \* MERGEFORMAT </w:instrText>
      </w:r>
      <w:r w:rsidR="00C52DAC" w:rsidRPr="00C52DAC">
        <w:fldChar w:fldCharType="separate"/>
      </w:r>
      <w:r w:rsidR="00C52DAC" w:rsidRPr="00C52DAC">
        <w:t>3.2</w:t>
      </w:r>
      <w:r w:rsidR="00C52DAC" w:rsidRPr="00C52DAC">
        <w:fldChar w:fldCharType="end"/>
      </w:r>
      <w:r w:rsidRPr="00C52DAC">
        <w:t>. nodaļā.</w:t>
      </w:r>
    </w:p>
    <w:p w14:paraId="38AF3848" w14:textId="1C6ED829" w:rsidR="00EE4FD4" w:rsidRPr="00C52DAC" w:rsidRDefault="00AC7C76" w:rsidP="009E2F25">
      <w:pPr>
        <w:pStyle w:val="StyleGaramondTekstsJustifiedAfter6ptLinespacingsin"/>
      </w:pPr>
      <w:r w:rsidRPr="00C52DAC">
        <w:t xml:space="preserve">III nodaļas 1. punktā ar kvalitatīvās analīzes metodi </w:t>
      </w:r>
      <w:r w:rsidR="000738A0" w:rsidRPr="00C52DAC">
        <w:t>tiek izvērtēti</w:t>
      </w:r>
      <w:r w:rsidRPr="00C52DAC">
        <w:t xml:space="preserve"> galvenie riski, kas var negatīvi ietekmēt projekta ieviešanu.</w:t>
      </w:r>
    </w:p>
    <w:p w14:paraId="20871757" w14:textId="21181193" w:rsidR="00AC7C76" w:rsidRPr="00C52DAC" w:rsidRDefault="00AC7C76" w:rsidP="009E2F25">
      <w:pPr>
        <w:pStyle w:val="StyleGaramondTekstsJustifiedAfter6ptLinespacingsin"/>
      </w:pPr>
      <w:r w:rsidRPr="00C52DAC">
        <w:t>III nodaļas 2. punktā tiek aprakstīta jutīguma analīzes gaita un tās rezultāti, kuri tiek iegūti, izmantojot sadaļas “7. DL jut. analīze-Soc.” un “8. DL jut. analize-Fin.”.</w:t>
      </w:r>
    </w:p>
    <w:p w14:paraId="39EC9874" w14:textId="53C31FA2" w:rsidR="000738A0" w:rsidRDefault="000738A0" w:rsidP="000738A0">
      <w:pPr>
        <w:pStyle w:val="StyleGaramondTekstsJustifiedAfter6ptLinespacingsin"/>
      </w:pPr>
      <w:r w:rsidRPr="00C52DAC">
        <w:t xml:space="preserve">Šī projekta jutīguma analīzē izmantotie izejas dati un pieņēmumi, kā arī tās rezultāti, ir aprakstīti </w:t>
      </w:r>
      <w:r w:rsidR="00C52DAC" w:rsidRPr="00C52DAC">
        <w:fldChar w:fldCharType="begin"/>
      </w:r>
      <w:r w:rsidR="00C52DAC" w:rsidRPr="00C52DAC">
        <w:instrText xml:space="preserve"> REF _Ref185003032 \r \h </w:instrText>
      </w:r>
      <w:r w:rsidR="00C52DAC">
        <w:instrText xml:space="preserve"> \* MERGEFORMAT </w:instrText>
      </w:r>
      <w:r w:rsidR="00C52DAC" w:rsidRPr="00C52DAC">
        <w:fldChar w:fldCharType="separate"/>
      </w:r>
      <w:r w:rsidR="00C52DAC" w:rsidRPr="00C52DAC">
        <w:t>3.3</w:t>
      </w:r>
      <w:r w:rsidR="00C52DAC" w:rsidRPr="00C52DAC">
        <w:fldChar w:fldCharType="end"/>
      </w:r>
      <w:r w:rsidRPr="00C52DAC">
        <w:t>.</w:t>
      </w:r>
      <w:r w:rsidR="00C52DAC">
        <w:t> </w:t>
      </w:r>
      <w:r w:rsidRPr="00C52DAC">
        <w:t>nodaļā.</w:t>
      </w:r>
    </w:p>
    <w:p w14:paraId="66273B3B" w14:textId="6B00D7D4" w:rsidR="000738A0" w:rsidRDefault="00694F06" w:rsidP="00736942">
      <w:pPr>
        <w:pStyle w:val="Heading2"/>
      </w:pPr>
      <w:bookmarkStart w:id="19" w:name="_Toc190169665"/>
      <w:r w:rsidRPr="00694F06">
        <w:t>12. Kontroles lapa</w:t>
      </w:r>
      <w:bookmarkEnd w:id="19"/>
    </w:p>
    <w:p w14:paraId="29F221FD" w14:textId="12A9E1C0" w:rsidR="00694F06" w:rsidRDefault="00694F06" w:rsidP="009E2F25">
      <w:pPr>
        <w:pStyle w:val="StyleGaramondTekstsJustifiedAfter6ptLinespacingsin"/>
      </w:pPr>
      <w:r>
        <w:t xml:space="preserve">Šajā sadaļā tiek automātiski pārbaudīts, vai projekta atdeves rādītāji atbilst kritērijiem, tajā skaitā, vai projekta investīciju atdeve FNPVc </w:t>
      </w:r>
      <w:r w:rsidR="00802902">
        <w:t>ir negatīva</w:t>
      </w:r>
      <w:r>
        <w:t>, bet sociālekonomiskās atdeves rādītāji ENPV un ERR ir pozitīvi.</w:t>
      </w:r>
    </w:p>
    <w:p w14:paraId="72A968E7" w14:textId="6DE5467C" w:rsidR="00B95EFB" w:rsidRDefault="00B95EFB" w:rsidP="00736942">
      <w:pPr>
        <w:pStyle w:val="Heading2"/>
      </w:pPr>
      <w:bookmarkStart w:id="20" w:name="_Toc190169666"/>
      <w:r w:rsidRPr="00B95EFB">
        <w:t>Pieņēmumi</w:t>
      </w:r>
      <w:bookmarkEnd w:id="20"/>
    </w:p>
    <w:p w14:paraId="695116BB" w14:textId="56170D33" w:rsidR="00B95EFB" w:rsidRDefault="00B95EFB" w:rsidP="009E2F25">
      <w:pPr>
        <w:pStyle w:val="StyleGaramondTekstsJustifiedAfter6ptLinespacingsin"/>
      </w:pPr>
      <w:r>
        <w:t xml:space="preserve">Šajā sadaļā ir jānorāda visi </w:t>
      </w:r>
      <w:r w:rsidR="009F6B8D">
        <w:t>IIA</w:t>
      </w:r>
      <w:r>
        <w:t xml:space="preserve"> izmantotie izejas dati, to avoti, pieņēmumi un aprēķinu gaita, ja tā netiek veikta citās modeļa sadaļās.</w:t>
      </w:r>
    </w:p>
    <w:p w14:paraId="112B18C0" w14:textId="3D633988" w:rsidR="009F6B8D" w:rsidRDefault="009F6B8D" w:rsidP="009E2F25">
      <w:pPr>
        <w:pStyle w:val="StyleGaramondTekstsJustifiedAfter6ptLinespacingsin"/>
      </w:pPr>
      <w:r>
        <w:lastRenderedPageBreak/>
        <w:t>Sadaļas augšpusē, līdz 57. rindai ir CFLA izstrādātie rīki projekta atlikušās vērtības un ilgtermiņa aizdevumu atmaksas grafika aprēķinam. Dzeltenajās šūnās tiek ievadītas vērtības, kas attiecas uz konkrēto projektu, bet rezultāti tiek aprēķināti automātiski.</w:t>
      </w:r>
    </w:p>
    <w:p w14:paraId="6433F769" w14:textId="59174CB6" w:rsidR="009F6B8D" w:rsidRDefault="009F6B8D" w:rsidP="009E2F25">
      <w:pPr>
        <w:pStyle w:val="StyleGaramondTekstsJustifiedAfter6ptLinespacingsin"/>
      </w:pPr>
      <w:r>
        <w:t>Sadaļas turpinājumā IIA izstrādātājs ievada un apraksta visus izejas datus, pieņēmumus, kā arī veic un apraksta aprēķinus, kas attiecas uz konkrēto projektu.</w:t>
      </w:r>
    </w:p>
    <w:p w14:paraId="480794B3" w14:textId="6A957A49" w:rsidR="009F6B8D" w:rsidRDefault="00DE568A" w:rsidP="009E2F25">
      <w:pPr>
        <w:pStyle w:val="StyleGaramondTekstsJustifiedAfter6ptLinespacingsin"/>
      </w:pPr>
      <w:r>
        <w:t>Sākumā tiek ievadīts detalizēts</w:t>
      </w:r>
      <w:r w:rsidR="009F6B8D">
        <w:t xml:space="preserve"> projekta budžet</w:t>
      </w:r>
      <w:r>
        <w:t>s sadalījumā pa izmaksu pozīcijām un gadiem.</w:t>
      </w:r>
    </w:p>
    <w:p w14:paraId="113CE122" w14:textId="03489AE2" w:rsidR="00DE568A" w:rsidRDefault="00DE568A" w:rsidP="009E2F25">
      <w:pPr>
        <w:pStyle w:val="StyleGaramondTekstsJustifiedAfter6ptLinespacingsin"/>
      </w:pPr>
      <w:r>
        <w:t>Tālāk tiek ievadītas darbības variantiem “bez projekta” un “ar projektu”, un aprēķināta projekta ietekme uz darbības izmaksām.</w:t>
      </w:r>
    </w:p>
    <w:p w14:paraId="5C52E280" w14:textId="4D51AF3C" w:rsidR="00DE568A" w:rsidRDefault="00DE568A" w:rsidP="009E2F25">
      <w:pPr>
        <w:pStyle w:val="StyleGaramondTekstsJustifiedAfter6ptLinespacingsin"/>
      </w:pPr>
      <w:r>
        <w:t>Ja projekta rezultātā tā īstenotājam rodas papildus ieņēmumi, tad tiek aprakstīti un aprēķināti to avoti un apjoms.</w:t>
      </w:r>
    </w:p>
    <w:p w14:paraId="3C93B93D" w14:textId="77777777" w:rsidR="00DE568A" w:rsidRDefault="00DE568A" w:rsidP="009E2F25">
      <w:pPr>
        <w:pStyle w:val="StyleGaramondTekstsJustifiedAfter6ptLinespacingsin"/>
      </w:pPr>
      <w:r>
        <w:t>Noslēgumā tiek veiktas projekta sociālekonomiskai analīzei nepieciešamās darbības:</w:t>
      </w:r>
    </w:p>
    <w:p w14:paraId="56AF092F" w14:textId="6A391626" w:rsidR="00DE568A" w:rsidRDefault="00DE568A" w:rsidP="006620C3">
      <w:pPr>
        <w:pStyle w:val="StyleGaramondTekstsJustifiedAfter6ptLinespacingsin"/>
        <w:numPr>
          <w:ilvl w:val="0"/>
          <w:numId w:val="11"/>
        </w:numPr>
      </w:pPr>
      <w:r>
        <w:t>finanšu analīzē izmantoto projekta izmaksu koriģēšana ar fiskālajām korekcijām;</w:t>
      </w:r>
    </w:p>
    <w:p w14:paraId="7A601E41" w14:textId="17019706" w:rsidR="00DE568A" w:rsidRDefault="00DE568A" w:rsidP="006620C3">
      <w:pPr>
        <w:pStyle w:val="StyleGaramondTekstsJustifiedAfter6ptLinespacingsin"/>
        <w:numPr>
          <w:ilvl w:val="0"/>
          <w:numId w:val="11"/>
        </w:numPr>
      </w:pPr>
      <w:r>
        <w:t>sociālekonomisko ieguvumu noteikšana, apraksts, pamatojums, izejas datu ievadīšana, izmantoto pieņēmumu apraksts un rezultātu aprēķini.</w:t>
      </w:r>
    </w:p>
    <w:p w14:paraId="3A552AC6" w14:textId="77777777" w:rsidR="00B95EFB" w:rsidRDefault="00B95EFB" w:rsidP="009E2F25">
      <w:pPr>
        <w:pStyle w:val="StyleGaramondTekstsJustifiedAfter6ptLinespacingsin"/>
      </w:pPr>
    </w:p>
    <w:p w14:paraId="48D3AC55" w14:textId="77777777" w:rsidR="006E5965" w:rsidRDefault="006E5965" w:rsidP="009E2F25">
      <w:pPr>
        <w:pStyle w:val="StyleGaramondTekstsJustifiedAfter6ptLinespacingsin"/>
      </w:pPr>
    </w:p>
    <w:p w14:paraId="4B27B6B2" w14:textId="77777777" w:rsidR="00266BC8" w:rsidRDefault="00266BC8" w:rsidP="009E2F25">
      <w:pPr>
        <w:pStyle w:val="StyleGaramondTekstsJustifiedAfter6ptLinespacingsin"/>
      </w:pPr>
    </w:p>
    <w:p w14:paraId="59DFB6A5" w14:textId="77777777" w:rsidR="00865DEA" w:rsidRDefault="00865DEA" w:rsidP="009E2F25">
      <w:pPr>
        <w:pStyle w:val="StyleGaramondTekstsJustifiedAfter6ptLinespacingsin"/>
      </w:pPr>
    </w:p>
    <w:p w14:paraId="7C0BDF56" w14:textId="77777777" w:rsidR="00E93015" w:rsidRDefault="00E93015" w:rsidP="002B1742">
      <w:pPr>
        <w:pStyle w:val="StyleGaramondTekstsJustifiedAfter6ptLinespacingsin"/>
      </w:pPr>
    </w:p>
    <w:p w14:paraId="540A224C" w14:textId="77777777" w:rsidR="00E93015" w:rsidRDefault="00E93015" w:rsidP="002B1742">
      <w:pPr>
        <w:pStyle w:val="StyleGaramondTekstsJustifiedAfter6ptLinespacingsin"/>
      </w:pPr>
    </w:p>
    <w:p w14:paraId="6233DAFF" w14:textId="77777777" w:rsidR="00E93015" w:rsidRDefault="00E93015" w:rsidP="002B1742">
      <w:pPr>
        <w:pStyle w:val="StyleGaramondTekstsJustifiedAfter6ptLinespacingsin"/>
      </w:pPr>
    </w:p>
    <w:p w14:paraId="566A6A1B" w14:textId="77777777" w:rsidR="001B3EEB" w:rsidRPr="001B3EEB" w:rsidRDefault="001B3EEB" w:rsidP="001B3EEB"/>
    <w:p w14:paraId="63DD5B48" w14:textId="3F425499" w:rsidR="00201CE5" w:rsidRDefault="005E4109" w:rsidP="005175F3">
      <w:pPr>
        <w:pStyle w:val="Heading1"/>
      </w:pPr>
      <w:bookmarkStart w:id="21" w:name="_Toc226893024"/>
      <w:bookmarkStart w:id="22" w:name="_Ref272054420"/>
      <w:bookmarkStart w:id="23" w:name="_Ref427922398"/>
      <w:bookmarkStart w:id="24" w:name="_Toc190169667"/>
      <w:r>
        <w:lastRenderedPageBreak/>
        <w:t>Projekta IIA apraksts</w:t>
      </w:r>
      <w:bookmarkEnd w:id="21"/>
      <w:bookmarkEnd w:id="22"/>
      <w:bookmarkEnd w:id="23"/>
      <w:bookmarkEnd w:id="24"/>
    </w:p>
    <w:p w14:paraId="12DB8125" w14:textId="58594EEB" w:rsidR="005E4109" w:rsidRDefault="005E4109" w:rsidP="00461BE9">
      <w:pPr>
        <w:pStyle w:val="StyleGaramondTekstsJustifiedAfter6ptLinespacingsin"/>
      </w:pPr>
      <w:r>
        <w:t>Nākamajās nodaļās tiek aprakstītas projekta</w:t>
      </w:r>
      <w:r w:rsidR="00E22248">
        <w:t xml:space="preserve"> </w:t>
      </w:r>
      <w:r w:rsidR="00E22248" w:rsidRPr="00E22248">
        <w:t>“Eiropas Jūras vienloga sistēmas EMSWe ieviešana”</w:t>
      </w:r>
      <w:r>
        <w:t xml:space="preserve"> </w:t>
      </w:r>
      <w:r w:rsidR="00E22248">
        <w:t xml:space="preserve">galvenās </w:t>
      </w:r>
      <w:r>
        <w:t>IIA sastāvdaļas: finanšu analīze, sociālekonomiskā analīze un jutīguma un risku analīze.</w:t>
      </w:r>
    </w:p>
    <w:p w14:paraId="022E7E3E" w14:textId="77777777" w:rsidR="00E22248" w:rsidRDefault="00E22248" w:rsidP="00A7453A">
      <w:pPr>
        <w:pStyle w:val="Heading2"/>
      </w:pPr>
      <w:bookmarkStart w:id="25" w:name="_Ref185003004"/>
      <w:bookmarkStart w:id="26" w:name="_Toc190169668"/>
      <w:r>
        <w:t>Finanšu analīze</w:t>
      </w:r>
      <w:bookmarkEnd w:id="25"/>
      <w:bookmarkEnd w:id="26"/>
    </w:p>
    <w:p w14:paraId="32100E9E" w14:textId="2D5071E7" w:rsidR="00201CE5" w:rsidRPr="001A6638" w:rsidRDefault="00201CE5" w:rsidP="00E22248">
      <w:pPr>
        <w:pStyle w:val="Heading3"/>
        <w:numPr>
          <w:ilvl w:val="2"/>
          <w:numId w:val="4"/>
        </w:numPr>
        <w:spacing w:before="240" w:after="120"/>
      </w:pPr>
      <w:bookmarkStart w:id="27" w:name="_Ref185000849"/>
      <w:r w:rsidRPr="001A6638">
        <w:t>Īss metodikas un pieņēmumu apraksts</w:t>
      </w:r>
      <w:bookmarkEnd w:id="27"/>
    </w:p>
    <w:p w14:paraId="413C2786" w14:textId="77777777" w:rsidR="00E22248" w:rsidRPr="00215228" w:rsidRDefault="00E22248" w:rsidP="00E22248">
      <w:pPr>
        <w:pStyle w:val="StyleGaramondTekstsJustifiedAfter6ptLinespacingsin"/>
      </w:pPr>
      <w:r>
        <w:t>Finanšu analīzes mērķis ir noteikt projekta finanšu atdeves rādītājus un pārliecināties par tā finanšu ilgtspēju.</w:t>
      </w:r>
    </w:p>
    <w:p w14:paraId="2D0D83EA" w14:textId="1CC90DBB" w:rsidR="00201CE5" w:rsidRDefault="009340F4" w:rsidP="00461BE9">
      <w:pPr>
        <w:pStyle w:val="StyleGaramondTekstsJustifiedAfter6ptLinespacingsin"/>
      </w:pPr>
      <w:r>
        <w:t>Finanšu analīzes pamatā ir šāda metodika un galvenie pieņēmumi:</w:t>
      </w:r>
    </w:p>
    <w:p w14:paraId="47ECEC2A" w14:textId="47D57902" w:rsidR="00E4612D" w:rsidRDefault="00E4612D" w:rsidP="006620C3">
      <w:pPr>
        <w:pStyle w:val="StyleGaramondTekstsJustifiedAfter6ptLinespacingsin"/>
        <w:numPr>
          <w:ilvl w:val="0"/>
          <w:numId w:val="8"/>
        </w:numPr>
        <w:contextualSpacing/>
      </w:pPr>
      <w:r>
        <w:t>naudas plūsmas aprēķina visam projekta dzīves ciklam, kurš ilgst 15 gadus no projekta īstenošanas 1. gada (2025. – 2039. gads);</w:t>
      </w:r>
    </w:p>
    <w:p w14:paraId="672CF51A" w14:textId="73269BB9" w:rsidR="00E4612D" w:rsidRDefault="00E4612D" w:rsidP="006620C3">
      <w:pPr>
        <w:pStyle w:val="StyleGaramondTekstsJustifiedAfter6ptLinespacingsin"/>
        <w:numPr>
          <w:ilvl w:val="0"/>
          <w:numId w:val="8"/>
        </w:numPr>
        <w:contextualSpacing/>
      </w:pPr>
      <w:r>
        <w:t>finanšu aprēķinos norādītās investīciju un darbības izmaksas ietver pievienotās vērtības nodokli 21% apmērā, jo finansējuma saņēmējs nevar atgūt investīciju izmaksu PVN atbilstoši LR normatīvajiem aktiem nodokļu politikas jomā;</w:t>
      </w:r>
    </w:p>
    <w:p w14:paraId="42C3CB39" w14:textId="0F22E3AD" w:rsidR="00E4612D" w:rsidRDefault="00E4612D" w:rsidP="006620C3">
      <w:pPr>
        <w:pStyle w:val="StyleGaramondTekstsJustifiedAfter6ptLinespacingsin"/>
        <w:numPr>
          <w:ilvl w:val="0"/>
          <w:numId w:val="8"/>
        </w:numPr>
        <w:contextualSpacing/>
      </w:pPr>
      <w:r>
        <w:t>projekta naudas plūsma sastādīta salīdzināmās cenās (bāzes gads – 2024. gads) un diskontēta ar reālo finanšu diskonta likmi – 4%.</w:t>
      </w:r>
    </w:p>
    <w:p w14:paraId="6C582F4F" w14:textId="35FEEFC3" w:rsidR="00E4612D" w:rsidRDefault="00E4612D" w:rsidP="006620C3">
      <w:pPr>
        <w:pStyle w:val="StyleGaramondTekstsJustifiedAfter6ptLinespacingsin"/>
        <w:numPr>
          <w:ilvl w:val="0"/>
          <w:numId w:val="8"/>
        </w:numPr>
        <w:contextualSpacing/>
      </w:pPr>
      <w:r>
        <w:t>projekta investīciju periods ir 2025. - 2027. gads; pilna apjoma infrastruktūras ekspluatācija tiks uzsākta 2028. gadā;</w:t>
      </w:r>
    </w:p>
    <w:p w14:paraId="0E1BCF3B" w14:textId="25842CB4" w:rsidR="00E4612D" w:rsidRDefault="00E4612D" w:rsidP="006620C3">
      <w:pPr>
        <w:pStyle w:val="StyleGaramondTekstsJustifiedAfter6ptLinespacingsin"/>
        <w:numPr>
          <w:ilvl w:val="0"/>
          <w:numId w:val="8"/>
        </w:numPr>
        <w:contextualSpacing/>
      </w:pPr>
      <w:r>
        <w:t>projekta ietvaros izveidoto pamatlīdzekļu lietderīgās kalpošanas laiks:</w:t>
      </w:r>
    </w:p>
    <w:p w14:paraId="5BE9C2B4" w14:textId="0E2D368C" w:rsidR="00E4612D" w:rsidRDefault="00E22248" w:rsidP="006620C3">
      <w:pPr>
        <w:pStyle w:val="StyleGaramondTekstsJustifiedAfter6ptLinespacingsin"/>
        <w:numPr>
          <w:ilvl w:val="1"/>
          <w:numId w:val="8"/>
        </w:numPr>
        <w:contextualSpacing/>
      </w:pPr>
      <w:r w:rsidRPr="00E22248">
        <w:t>IT sistēmai (nemateriālie ieguldījumi) un datoraprīkojumam - 5 gadi (atbilst lineāram nolietojumam 20% gadā);</w:t>
      </w:r>
    </w:p>
    <w:p w14:paraId="39208ACF" w14:textId="36E3DCEE" w:rsidR="00587F79" w:rsidRDefault="00E22248" w:rsidP="006620C3">
      <w:pPr>
        <w:pStyle w:val="StyleGaramondTekstsJustifiedAfter6ptLinespacingsin"/>
        <w:numPr>
          <w:ilvl w:val="1"/>
          <w:numId w:val="8"/>
        </w:numPr>
        <w:contextualSpacing/>
      </w:pPr>
      <w:r w:rsidRPr="00E22248">
        <w:t>tiek pieņemts, ka ar IT sistēmas izveidi saistīto pakalpojumu izmaksas tiek iekļautas tās vērtībā un to nolietojums ir identisks – 5 gadi</w:t>
      </w:r>
      <w:r w:rsidR="00E4612D">
        <w:t>.</w:t>
      </w:r>
    </w:p>
    <w:p w14:paraId="6123EC1C" w14:textId="64434797" w:rsidR="009340F4" w:rsidRPr="0029315B" w:rsidRDefault="009340F4" w:rsidP="00583A72">
      <w:pPr>
        <w:pStyle w:val="Heading3"/>
        <w:numPr>
          <w:ilvl w:val="2"/>
          <w:numId w:val="4"/>
        </w:numPr>
        <w:spacing w:before="240" w:after="120"/>
      </w:pPr>
      <w:r>
        <w:t>Projekta investīciju izmaksas</w:t>
      </w:r>
    </w:p>
    <w:p w14:paraId="34E7F41E" w14:textId="6441C3CB" w:rsidR="00E021CE" w:rsidRDefault="00583A72" w:rsidP="00E021CE">
      <w:pPr>
        <w:pStyle w:val="StyleGaramondTekstsJustifiedAfter6ptLinespacingsin"/>
      </w:pPr>
      <w:r w:rsidRPr="00583A72">
        <w:t xml:space="preserve">Projekta kopējās plānotās izmaksas ir 2 </w:t>
      </w:r>
      <w:r w:rsidR="00CC778E">
        <w:t>4</w:t>
      </w:r>
      <w:r w:rsidRPr="00583A72">
        <w:t>80 000,00 EUR</w:t>
      </w:r>
      <w:r w:rsidR="006503AA">
        <w:t xml:space="preserve">. </w:t>
      </w:r>
      <w:r w:rsidRPr="00583A72">
        <w:t>Budžetā nav paredzētas ārpusprojekta izmaksas.</w:t>
      </w:r>
    </w:p>
    <w:p w14:paraId="2A80CF77" w14:textId="33A0EB0D" w:rsidR="00E661D1" w:rsidRDefault="00E021CE" w:rsidP="00E661D1">
      <w:pPr>
        <w:pStyle w:val="StyleGaramondTekstsJustifiedAfter6ptLinespacingsin"/>
      </w:pPr>
      <w:r>
        <w:t>P</w:t>
      </w:r>
      <w:r w:rsidR="00E661D1">
        <w:t>rojekta investīciju izmaks</w:t>
      </w:r>
      <w:r w:rsidR="00583A72">
        <w:t>u detalizēts uzskaitījums</w:t>
      </w:r>
      <w:r w:rsidR="00E661D1">
        <w:t xml:space="preserve"> sadalījumā pa</w:t>
      </w:r>
      <w:r w:rsidR="00693B89">
        <w:t xml:space="preserve"> </w:t>
      </w:r>
      <w:r w:rsidR="00583A72">
        <w:t>izmaksu pozīcijām</w:t>
      </w:r>
      <w:r>
        <w:t xml:space="preserve"> un īstenošanas</w:t>
      </w:r>
      <w:r w:rsidR="00E661D1">
        <w:t xml:space="preserve"> gadiem</w:t>
      </w:r>
      <w:r>
        <w:t xml:space="preserve"> ir IIA aprēķinu veidlapas sadaļā</w:t>
      </w:r>
      <w:r w:rsidR="00583A72">
        <w:t>s “Pieņēmumi” un</w:t>
      </w:r>
      <w:r>
        <w:t xml:space="preserve"> “</w:t>
      </w:r>
      <w:r w:rsidR="006F4DB8" w:rsidRPr="006F4DB8">
        <w:t>1.1.A. Iesniedzējs</w:t>
      </w:r>
      <w:r>
        <w:t>”.</w:t>
      </w:r>
    </w:p>
    <w:p w14:paraId="589F5227" w14:textId="19A854DC" w:rsidR="009340F4" w:rsidRPr="008C164C" w:rsidRDefault="009340F4" w:rsidP="006503AA">
      <w:pPr>
        <w:pStyle w:val="Heading3"/>
        <w:numPr>
          <w:ilvl w:val="2"/>
          <w:numId w:val="4"/>
        </w:numPr>
        <w:spacing w:before="240" w:after="120"/>
      </w:pPr>
      <w:r w:rsidRPr="008C164C">
        <w:t>Projekta finansējuma avoti</w:t>
      </w:r>
    </w:p>
    <w:p w14:paraId="731F92EF" w14:textId="68DED480" w:rsidR="009340F4" w:rsidRDefault="00F70011" w:rsidP="009340F4">
      <w:pPr>
        <w:pStyle w:val="StyleGaramondTekstsJustifiedAfter6ptLinespacingsin"/>
      </w:pPr>
      <w:r>
        <w:t>85% no p</w:t>
      </w:r>
      <w:r w:rsidR="009340F4">
        <w:t>rojekta attiecinām</w:t>
      </w:r>
      <w:r>
        <w:t>ām</w:t>
      </w:r>
      <w:r w:rsidR="009340F4">
        <w:t xml:space="preserve"> izmaks</w:t>
      </w:r>
      <w:r>
        <w:t>ām</w:t>
      </w:r>
      <w:r w:rsidR="009340F4">
        <w:t xml:space="preserve"> tiek plānots segt </w:t>
      </w:r>
      <w:r>
        <w:t>ar</w:t>
      </w:r>
      <w:r w:rsidR="009340F4">
        <w:t xml:space="preserve"> </w:t>
      </w:r>
      <w:r>
        <w:t>ES</w:t>
      </w:r>
      <w:r w:rsidR="009340F4">
        <w:t xml:space="preserve"> </w:t>
      </w:r>
      <w:r>
        <w:t>līdz</w:t>
      </w:r>
      <w:r w:rsidR="00910D97">
        <w:t>finansējum</w:t>
      </w:r>
      <w:r>
        <w:t>u</w:t>
      </w:r>
      <w:r w:rsidR="00910D97">
        <w:t xml:space="preserve"> </w:t>
      </w:r>
      <w:r>
        <w:t>–</w:t>
      </w:r>
      <w:r w:rsidR="00910D97">
        <w:t xml:space="preserve"> </w:t>
      </w:r>
      <w:r w:rsidR="006503AA" w:rsidRPr="006503AA">
        <w:t xml:space="preserve">2 </w:t>
      </w:r>
      <w:r w:rsidR="00CC778E">
        <w:t>10</w:t>
      </w:r>
      <w:r w:rsidR="006503AA" w:rsidRPr="006503AA">
        <w:t>8 000,00</w:t>
      </w:r>
      <w:r w:rsidR="00910D97" w:rsidRPr="00E021CE">
        <w:t xml:space="preserve"> </w:t>
      </w:r>
      <w:r w:rsidR="00910D97" w:rsidRPr="00CA143F">
        <w:t>EUR</w:t>
      </w:r>
      <w:r w:rsidR="00910D97">
        <w:t>.</w:t>
      </w:r>
    </w:p>
    <w:p w14:paraId="411052A6" w14:textId="094EB055" w:rsidR="009340F4" w:rsidRPr="00003468" w:rsidRDefault="006503AA" w:rsidP="00F70011">
      <w:pPr>
        <w:pStyle w:val="StyleGaramondTekstsJustifiedAfter6ptLinespacingsin"/>
      </w:pPr>
      <w:r>
        <w:t xml:space="preserve">Atlikušie 15% jeb </w:t>
      </w:r>
      <w:r w:rsidR="00CC778E">
        <w:t>372</w:t>
      </w:r>
      <w:r w:rsidRPr="006503AA">
        <w:t xml:space="preserve"> 000,00</w:t>
      </w:r>
      <w:r>
        <w:t xml:space="preserve"> EUR tiks finansēti no valsts budžeta līdzekļiem.</w:t>
      </w:r>
    </w:p>
    <w:p w14:paraId="04BC720D" w14:textId="21ABB1D9" w:rsidR="00201CE5" w:rsidRPr="00783B72" w:rsidRDefault="009340F4" w:rsidP="006503AA">
      <w:pPr>
        <w:pStyle w:val="Heading3"/>
        <w:numPr>
          <w:ilvl w:val="2"/>
          <w:numId w:val="4"/>
        </w:numPr>
        <w:spacing w:before="240" w:after="120"/>
      </w:pPr>
      <w:r w:rsidRPr="00783B72">
        <w:t>Darbības i</w:t>
      </w:r>
      <w:r w:rsidR="00201CE5" w:rsidRPr="00783B72">
        <w:t>zmaksas</w:t>
      </w:r>
    </w:p>
    <w:p w14:paraId="564D202F" w14:textId="2CB5C5C8" w:rsidR="000C33BF" w:rsidRDefault="00E43BF1" w:rsidP="00461BE9">
      <w:pPr>
        <w:pStyle w:val="StyleGaramondTekstsJustifiedAfter6ptLinespacingsin"/>
      </w:pPr>
      <w:r>
        <w:fldChar w:fldCharType="begin"/>
      </w:r>
      <w:r>
        <w:instrText xml:space="preserve"> REF _Ref459109687 \h </w:instrText>
      </w:r>
      <w:r w:rsidR="00655473">
        <w:instrText xml:space="preserve"> \* MERGEFORMAT </w:instrText>
      </w:r>
      <w:r>
        <w:fldChar w:fldCharType="separate"/>
      </w:r>
      <w:r w:rsidR="00FA452C">
        <w:rPr>
          <w:noProof/>
        </w:rPr>
        <w:t>3</w:t>
      </w:r>
      <w:r w:rsidR="00FA452C">
        <w:rPr>
          <w:noProof/>
        </w:rPr>
        <w:noBreakHyphen/>
        <w:t>1</w:t>
      </w:r>
      <w:r>
        <w:fldChar w:fldCharType="end"/>
      </w:r>
      <w:r>
        <w:t>. tabulā ir apkopotas</w:t>
      </w:r>
      <w:r w:rsidR="00312178">
        <w:t xml:space="preserve"> projektā iekļaut</w:t>
      </w:r>
      <w:r w:rsidR="00E61787">
        <w:t xml:space="preserve">ās </w:t>
      </w:r>
      <w:r w:rsidR="006503AA">
        <w:t>IT sistēmas</w:t>
      </w:r>
      <w:r w:rsidR="00E61787">
        <w:t xml:space="preserve"> </w:t>
      </w:r>
      <w:r>
        <w:t>ekspluatācijas un uzturēšanas (E&amp;U) izmaksa</w:t>
      </w:r>
      <w:r w:rsidR="00EE3903">
        <w:t xml:space="preserve">s </w:t>
      </w:r>
      <w:r w:rsidR="00312178">
        <w:t xml:space="preserve">pašlaik (“bez projekta”) </w:t>
      </w:r>
      <w:r w:rsidR="00EE3903">
        <w:t xml:space="preserve">un </w:t>
      </w:r>
      <w:r w:rsidR="00312178">
        <w:t>pēc pārbūves (“ar projektu”)</w:t>
      </w:r>
      <w:r>
        <w:t>, kā arī</w:t>
      </w:r>
      <w:r w:rsidR="005B153A">
        <w:t xml:space="preserve"> izmaksu samazinājums vai pieaugums</w:t>
      </w:r>
      <w:r>
        <w:t xml:space="preserve">, kas rodas </w:t>
      </w:r>
      <w:r w:rsidR="00312178">
        <w:t>projekta</w:t>
      </w:r>
      <w:r>
        <w:t xml:space="preserve"> rezultātā.</w:t>
      </w:r>
    </w:p>
    <w:bookmarkStart w:id="28" w:name="_Ref459109687"/>
    <w:p w14:paraId="3D1607A4" w14:textId="17841DA0" w:rsidR="00E43BF1" w:rsidRDefault="00D4727A" w:rsidP="00EB0528">
      <w:pPr>
        <w:pStyle w:val="Tabulasvirsraksts"/>
        <w:rPr>
          <w:noProof/>
        </w:rPr>
      </w:pPr>
      <w:r>
        <w:rPr>
          <w:noProof/>
        </w:rPr>
        <w:lastRenderedPageBreak/>
        <w:fldChar w:fldCharType="begin"/>
      </w:r>
      <w:r>
        <w:rPr>
          <w:noProof/>
        </w:rPr>
        <w:instrText xml:space="preserve"> STYLEREF 1 \s </w:instrText>
      </w:r>
      <w:r>
        <w:rPr>
          <w:noProof/>
        </w:rPr>
        <w:fldChar w:fldCharType="separate"/>
      </w:r>
      <w:bookmarkStart w:id="29" w:name="_Toc190169671"/>
      <w:r>
        <w:rPr>
          <w:noProof/>
        </w:rPr>
        <w:t>3</w:t>
      </w:r>
      <w:r>
        <w:rPr>
          <w:noProof/>
        </w:rPr>
        <w:fldChar w:fldCharType="end"/>
      </w:r>
      <w:r>
        <w:rPr>
          <w:noProof/>
        </w:rPr>
        <w:noBreakHyphen/>
      </w:r>
      <w:r>
        <w:rPr>
          <w:noProof/>
        </w:rPr>
        <w:fldChar w:fldCharType="begin"/>
      </w:r>
      <w:r>
        <w:rPr>
          <w:noProof/>
        </w:rPr>
        <w:instrText xml:space="preserve"> SEQ Tabula \* ARABIC \s 1 </w:instrText>
      </w:r>
      <w:r>
        <w:rPr>
          <w:noProof/>
        </w:rPr>
        <w:fldChar w:fldCharType="separate"/>
      </w:r>
      <w:r w:rsidR="00FA452C">
        <w:rPr>
          <w:noProof/>
        </w:rPr>
        <w:t>1</w:t>
      </w:r>
      <w:r>
        <w:rPr>
          <w:noProof/>
        </w:rPr>
        <w:fldChar w:fldCharType="end"/>
      </w:r>
      <w:bookmarkEnd w:id="28"/>
      <w:r w:rsidR="00E43BF1">
        <w:rPr>
          <w:noProof/>
        </w:rPr>
        <w:t xml:space="preserve">. tabula. </w:t>
      </w:r>
      <w:r w:rsidR="006503AA">
        <w:rPr>
          <w:noProof/>
        </w:rPr>
        <w:t>IT sistēmas</w:t>
      </w:r>
      <w:r w:rsidR="00344B8B">
        <w:rPr>
          <w:noProof/>
        </w:rPr>
        <w:t xml:space="preserve"> e</w:t>
      </w:r>
      <w:r w:rsidR="00E43BF1">
        <w:rPr>
          <w:noProof/>
        </w:rPr>
        <w:t>kspluatācijas un uzturēšanas izmaksas, EUR</w:t>
      </w:r>
      <w:r w:rsidR="00312178">
        <w:rPr>
          <w:noProof/>
        </w:rPr>
        <w:t>/</w:t>
      </w:r>
      <w:r w:rsidR="00E43BF1">
        <w:rPr>
          <w:noProof/>
        </w:rPr>
        <w:t xml:space="preserve">gadā </w:t>
      </w:r>
      <w:r w:rsidR="00312178">
        <w:rPr>
          <w:noProof/>
        </w:rPr>
        <w:t>ar</w:t>
      </w:r>
      <w:r w:rsidR="00E43BF1">
        <w:rPr>
          <w:noProof/>
        </w:rPr>
        <w:t xml:space="preserve"> PVN</w:t>
      </w:r>
      <w:bookmarkEnd w:id="29"/>
    </w:p>
    <w:tbl>
      <w:tblPr>
        <w:tblStyle w:val="TableGrid"/>
        <w:tblW w:w="8080" w:type="dxa"/>
        <w:tblInd w:w="-5" w:type="dxa"/>
        <w:tblLook w:val="04A0" w:firstRow="1" w:lastRow="0" w:firstColumn="1" w:lastColumn="0" w:noHBand="0" w:noVBand="1"/>
      </w:tblPr>
      <w:tblGrid>
        <w:gridCol w:w="3261"/>
        <w:gridCol w:w="1417"/>
        <w:gridCol w:w="1418"/>
        <w:gridCol w:w="1984"/>
      </w:tblGrid>
      <w:tr w:rsidR="00FB7CC2" w:rsidRPr="00B36B8F" w14:paraId="18355D3E" w14:textId="77777777" w:rsidTr="006503AA">
        <w:trPr>
          <w:trHeight w:val="900"/>
          <w:tblHeader/>
        </w:trPr>
        <w:tc>
          <w:tcPr>
            <w:tcW w:w="3261" w:type="dxa"/>
            <w:hideMark/>
          </w:tcPr>
          <w:p w14:paraId="7880573D" w14:textId="77777777" w:rsidR="00FB7CC2" w:rsidRPr="00B36B8F" w:rsidRDefault="00FB7CC2" w:rsidP="00B36B8F">
            <w:pPr>
              <w:pStyle w:val="StyleGaramondTekstsJustifiedAfter6ptLinespacingsin"/>
              <w:spacing w:after="0"/>
              <w:jc w:val="center"/>
            </w:pPr>
          </w:p>
        </w:tc>
        <w:tc>
          <w:tcPr>
            <w:tcW w:w="1417" w:type="dxa"/>
            <w:noWrap/>
            <w:hideMark/>
          </w:tcPr>
          <w:p w14:paraId="7FCDF7ED" w14:textId="7CBD5702" w:rsidR="00FB7CC2" w:rsidRPr="00B36B8F" w:rsidRDefault="00FB7CC2" w:rsidP="004C066A">
            <w:pPr>
              <w:pStyle w:val="StyleGaramondTekstsJustifiedAfter6ptLinespacingsin"/>
              <w:spacing w:after="0"/>
              <w:jc w:val="center"/>
              <w:rPr>
                <w:b/>
                <w:bCs/>
              </w:rPr>
            </w:pPr>
            <w:r>
              <w:rPr>
                <w:b/>
                <w:bCs/>
              </w:rPr>
              <w:t>Bez projekta EUR ar PVN/gadā</w:t>
            </w:r>
          </w:p>
        </w:tc>
        <w:tc>
          <w:tcPr>
            <w:tcW w:w="1418" w:type="dxa"/>
            <w:noWrap/>
            <w:hideMark/>
          </w:tcPr>
          <w:p w14:paraId="1BAD4A3E" w14:textId="63D0F6CC" w:rsidR="00FB7CC2" w:rsidRPr="004C066A" w:rsidRDefault="00FB7CC2" w:rsidP="00B36B8F">
            <w:pPr>
              <w:pStyle w:val="StyleGaramondTekstsJustifiedAfter6ptLinespacingsin"/>
              <w:spacing w:after="0"/>
              <w:jc w:val="center"/>
              <w:rPr>
                <w:b/>
              </w:rPr>
            </w:pPr>
            <w:r w:rsidRPr="004C066A">
              <w:rPr>
                <w:b/>
              </w:rPr>
              <w:t>Ar projektu EUR ar PVN/gadā</w:t>
            </w:r>
          </w:p>
        </w:tc>
        <w:tc>
          <w:tcPr>
            <w:tcW w:w="1984" w:type="dxa"/>
            <w:noWrap/>
            <w:hideMark/>
          </w:tcPr>
          <w:p w14:paraId="6205EBD6" w14:textId="3CAB6E24" w:rsidR="00FB7CC2" w:rsidRPr="00B36B8F" w:rsidRDefault="00FB7CC2" w:rsidP="00B36B8F">
            <w:pPr>
              <w:pStyle w:val="StyleGaramondTekstsJustifiedAfter6ptLinespacingsin"/>
              <w:spacing w:after="0"/>
              <w:jc w:val="center"/>
              <w:rPr>
                <w:b/>
                <w:bCs/>
              </w:rPr>
            </w:pPr>
            <w:r w:rsidRPr="00B36B8F">
              <w:rPr>
                <w:b/>
                <w:bCs/>
              </w:rPr>
              <w:t>Izmaksu ietaupījums</w:t>
            </w:r>
            <w:r w:rsidR="007E55CF">
              <w:rPr>
                <w:b/>
                <w:bCs/>
              </w:rPr>
              <w:t xml:space="preserve"> </w:t>
            </w:r>
            <w:r w:rsidRPr="00B36B8F">
              <w:rPr>
                <w:b/>
                <w:bCs/>
              </w:rPr>
              <w:t>(</w:t>
            </w:r>
            <w:r w:rsidR="006503AA">
              <w:rPr>
                <w:b/>
                <w:bCs/>
              </w:rPr>
              <w:t>-</w:t>
            </w:r>
            <w:r w:rsidRPr="00B36B8F">
              <w:rPr>
                <w:b/>
                <w:bCs/>
              </w:rPr>
              <w:t xml:space="preserve">) </w:t>
            </w:r>
            <w:r w:rsidR="006503AA">
              <w:rPr>
                <w:b/>
                <w:bCs/>
              </w:rPr>
              <w:t>vai</w:t>
            </w:r>
            <w:r w:rsidRPr="00B36B8F">
              <w:rPr>
                <w:b/>
                <w:bCs/>
              </w:rPr>
              <w:t xml:space="preserve"> pieaugums</w:t>
            </w:r>
            <w:r w:rsidR="002B16B6">
              <w:rPr>
                <w:b/>
                <w:bCs/>
              </w:rPr>
              <w:t xml:space="preserve"> </w:t>
            </w:r>
            <w:r w:rsidRPr="00B36B8F">
              <w:rPr>
                <w:b/>
                <w:bCs/>
              </w:rPr>
              <w:t>(</w:t>
            </w:r>
            <w:r w:rsidR="006503AA">
              <w:rPr>
                <w:b/>
                <w:bCs/>
              </w:rPr>
              <w:t>+</w:t>
            </w:r>
            <w:r w:rsidRPr="00B36B8F">
              <w:rPr>
                <w:b/>
                <w:bCs/>
              </w:rPr>
              <w:t>)</w:t>
            </w:r>
          </w:p>
        </w:tc>
      </w:tr>
      <w:tr w:rsidR="00CC778E" w:rsidRPr="00B36B8F" w14:paraId="022E143B" w14:textId="77777777" w:rsidTr="006503AA">
        <w:trPr>
          <w:trHeight w:val="600"/>
        </w:trPr>
        <w:tc>
          <w:tcPr>
            <w:tcW w:w="3261" w:type="dxa"/>
            <w:hideMark/>
          </w:tcPr>
          <w:p w14:paraId="22DC5E0C" w14:textId="0F998357" w:rsidR="00CC778E" w:rsidRPr="00B36B8F" w:rsidRDefault="00CC778E" w:rsidP="00CC778E">
            <w:pPr>
              <w:pStyle w:val="StyleGaramondTekstsJustifiedAfter6ptLinespacingsin"/>
              <w:spacing w:after="0"/>
              <w:jc w:val="left"/>
            </w:pPr>
            <w:r>
              <w:t>IT sistēmas uzturēšanas izmaksas</w:t>
            </w:r>
          </w:p>
        </w:tc>
        <w:tc>
          <w:tcPr>
            <w:tcW w:w="1417" w:type="dxa"/>
            <w:noWrap/>
          </w:tcPr>
          <w:p w14:paraId="4ABF3402" w14:textId="607E8F27" w:rsidR="00CC778E" w:rsidRPr="00B36B8F" w:rsidRDefault="00CC778E" w:rsidP="00CC778E">
            <w:pPr>
              <w:pStyle w:val="StyleGaramondTekstsJustifiedAfter6ptLinespacingsin"/>
              <w:spacing w:after="0"/>
              <w:jc w:val="right"/>
            </w:pPr>
            <w:r w:rsidRPr="0052365A">
              <w:t>429 420,00</w:t>
            </w:r>
          </w:p>
        </w:tc>
        <w:tc>
          <w:tcPr>
            <w:tcW w:w="1418" w:type="dxa"/>
            <w:noWrap/>
          </w:tcPr>
          <w:p w14:paraId="243B168E" w14:textId="09E217F5" w:rsidR="00CC778E" w:rsidRPr="00B36B8F" w:rsidRDefault="00CC778E" w:rsidP="00CC778E">
            <w:pPr>
              <w:pStyle w:val="StyleGaramondTekstsJustifiedAfter6ptLinespacingsin"/>
              <w:spacing w:after="0"/>
              <w:jc w:val="right"/>
            </w:pPr>
            <w:r w:rsidRPr="0052365A">
              <w:t>429 420,00</w:t>
            </w:r>
          </w:p>
        </w:tc>
        <w:tc>
          <w:tcPr>
            <w:tcW w:w="1984" w:type="dxa"/>
            <w:noWrap/>
          </w:tcPr>
          <w:p w14:paraId="09DD19A9" w14:textId="1C463CC1" w:rsidR="00CC778E" w:rsidRPr="00B36B8F" w:rsidRDefault="00CC778E" w:rsidP="00CC778E">
            <w:pPr>
              <w:pStyle w:val="StyleGaramondTekstsJustifiedAfter6ptLinespacingsin"/>
              <w:spacing w:after="0"/>
              <w:jc w:val="right"/>
            </w:pPr>
            <w:r w:rsidRPr="0052365A">
              <w:t>0,00</w:t>
            </w:r>
          </w:p>
        </w:tc>
      </w:tr>
    </w:tbl>
    <w:p w14:paraId="76337CBD" w14:textId="3D7A158C" w:rsidR="002B16B6" w:rsidRDefault="006503AA" w:rsidP="002B16B6">
      <w:pPr>
        <w:pStyle w:val="StyleGaramondTekstsJustifiedAfter6ptLinespacingsin"/>
        <w:ind w:left="720" w:hanging="720"/>
      </w:pPr>
      <w:r>
        <w:rPr>
          <w:i/>
          <w:iCs/>
        </w:rPr>
        <w:t>A</w:t>
      </w:r>
      <w:r w:rsidR="002B16B6" w:rsidRPr="002B16B6">
        <w:rPr>
          <w:i/>
          <w:iCs/>
        </w:rPr>
        <w:t xml:space="preserve">vots: </w:t>
      </w:r>
      <w:r>
        <w:rPr>
          <w:i/>
          <w:iCs/>
        </w:rPr>
        <w:t>Satiksmes ministrijas</w:t>
      </w:r>
      <w:r w:rsidR="002B16B6" w:rsidRPr="002B16B6">
        <w:rPr>
          <w:i/>
          <w:iCs/>
        </w:rPr>
        <w:t xml:space="preserve"> dati</w:t>
      </w:r>
      <w:r>
        <w:rPr>
          <w:i/>
          <w:iCs/>
        </w:rPr>
        <w:t xml:space="preserve"> un ekspertu aplēses</w:t>
      </w:r>
      <w:r w:rsidR="00E61787">
        <w:rPr>
          <w:i/>
          <w:iCs/>
        </w:rPr>
        <w:t>.</w:t>
      </w:r>
    </w:p>
    <w:p w14:paraId="06CC108E" w14:textId="4C7BDAA2" w:rsidR="00E43BF1" w:rsidRDefault="00155421" w:rsidP="00461BE9">
      <w:pPr>
        <w:pStyle w:val="StyleGaramondTekstsJustifiedAfter6ptLinespacingsin"/>
      </w:pPr>
      <w:r>
        <w:t>P</w:t>
      </w:r>
      <w:r w:rsidR="00560C5F">
        <w:t>rojekta rezultātā</w:t>
      </w:r>
      <w:r w:rsidR="00E61787">
        <w:t xml:space="preserve"> ikgadējās</w:t>
      </w:r>
      <w:r>
        <w:t xml:space="preserve"> darbības izmaksas</w:t>
      </w:r>
      <w:r w:rsidR="00CC778E">
        <w:t xml:space="preserve"> nemainās, </w:t>
      </w:r>
      <w:r w:rsidR="00CC778E" w:rsidRPr="00CC778E">
        <w:t>proti, tiek prognozēts, ka jaunās IT sistēmas ekspluatācijas un uzturēšanas izmaksas būs tādas pašas kā pašlaik esošai IT sistēmai</w:t>
      </w:r>
      <w:r w:rsidR="001F354E">
        <w:t>.</w:t>
      </w:r>
    </w:p>
    <w:p w14:paraId="067399E5" w14:textId="074A6657" w:rsidR="00706A07" w:rsidRDefault="00287F02" w:rsidP="00461BE9">
      <w:pPr>
        <w:pStyle w:val="StyleGaramondTekstsJustifiedAfter6ptLinespacingsin"/>
      </w:pPr>
      <w:r>
        <w:t>Alternatīvu “bez projekta” un “ar projektu” d</w:t>
      </w:r>
      <w:r w:rsidR="00706A07">
        <w:t>arbības izmaksu naudas plūsma</w:t>
      </w:r>
      <w:r>
        <w:t>s</w:t>
      </w:r>
      <w:r w:rsidR="00706A07">
        <w:t xml:space="preserve"> visam </w:t>
      </w:r>
      <w:r w:rsidR="002459A9">
        <w:t>p</w:t>
      </w:r>
      <w:r w:rsidR="00706A07">
        <w:t xml:space="preserve">rojekta </w:t>
      </w:r>
      <w:r w:rsidR="002459A9">
        <w:t xml:space="preserve">analīzes </w:t>
      </w:r>
      <w:r w:rsidR="00706A07">
        <w:t>periodam ir</w:t>
      </w:r>
      <w:r w:rsidR="002459A9">
        <w:t xml:space="preserve"> </w:t>
      </w:r>
      <w:r>
        <w:t>IIA modeļa sadaļā</w:t>
      </w:r>
      <w:r w:rsidR="002B16B6">
        <w:t>s</w:t>
      </w:r>
      <w:r>
        <w:t xml:space="preserve"> “</w:t>
      </w:r>
      <w:r w:rsidR="002B16B6" w:rsidRPr="002B16B6">
        <w:t>2. DL invest.n.pl.BEZ pr.</w:t>
      </w:r>
      <w:r>
        <w:t>”</w:t>
      </w:r>
      <w:r w:rsidR="002B16B6">
        <w:t xml:space="preserve"> un “</w:t>
      </w:r>
      <w:r w:rsidR="002B16B6" w:rsidRPr="002B16B6">
        <w:t>3. DL invest.n.pl.AR pr.</w:t>
      </w:r>
      <w:r w:rsidR="002B16B6">
        <w:t>”</w:t>
      </w:r>
      <w:r w:rsidR="00706A07" w:rsidRPr="0030633F">
        <w:t>.</w:t>
      </w:r>
    </w:p>
    <w:p w14:paraId="5FDB61CD" w14:textId="2A8736F2" w:rsidR="008B2E4B" w:rsidRDefault="008B2E4B" w:rsidP="00461BE9">
      <w:pPr>
        <w:pStyle w:val="StyleGaramondTekstsJustifiedAfter6ptLinespacingsin"/>
      </w:pPr>
      <w:r>
        <w:rPr>
          <w:u w:val="single"/>
        </w:rPr>
        <w:t>Pamatlīdzekļu aizstāšanas izmaksas</w:t>
      </w:r>
    </w:p>
    <w:p w14:paraId="4A2FDCBA" w14:textId="184308A8" w:rsidR="008B2E4B" w:rsidRPr="008B2E4B" w:rsidRDefault="00FA452C" w:rsidP="00461BE9">
      <w:pPr>
        <w:pStyle w:val="StyleGaramondTekstsJustifiedAfter6ptLinespacingsin"/>
      </w:pPr>
      <w:r>
        <w:t>Neskatoties uz to</w:t>
      </w:r>
      <w:r w:rsidR="002523DA">
        <w:t xml:space="preserve">, ka </w:t>
      </w:r>
      <w:r>
        <w:t>jauno</w:t>
      </w:r>
      <w:r w:rsidR="002523DA">
        <w:t xml:space="preserve"> pamatlīdzekļu lietderīgās kalpošanas periods (5 gadi) </w:t>
      </w:r>
      <w:r>
        <w:t>ir īsāks par</w:t>
      </w:r>
      <w:r w:rsidR="002523DA">
        <w:t xml:space="preserve"> analīzes periodu (15 gadi), projektā ne</w:t>
      </w:r>
      <w:r w:rsidR="008B2E4B" w:rsidRPr="008B2E4B">
        <w:t>tiek paredzēt</w:t>
      </w:r>
      <w:r w:rsidR="00106815">
        <w:t>i</w:t>
      </w:r>
      <w:r w:rsidR="001354F1">
        <w:t xml:space="preserve"> ieguldījum</w:t>
      </w:r>
      <w:r w:rsidR="002523DA">
        <w:t xml:space="preserve">i </w:t>
      </w:r>
      <w:r>
        <w:t xml:space="preserve">pamatlīdzekļu </w:t>
      </w:r>
      <w:r w:rsidR="002523DA">
        <w:t>atjaunošanai</w:t>
      </w:r>
      <w:r>
        <w:t>, jo tiek pieņemts, ka plānotās IT sistēmas uzturēšanas izmaksas būs pietiekamas, lai uzturētu to darba kārtībā visā analīzes perioda laikā.</w:t>
      </w:r>
    </w:p>
    <w:p w14:paraId="1BE3A92E" w14:textId="335896D3" w:rsidR="004A1367" w:rsidRPr="00287F02" w:rsidRDefault="004A1367" w:rsidP="00461BE9">
      <w:pPr>
        <w:pStyle w:val="StyleGaramondTekstsJustifiedAfter6ptLinespacingsin"/>
        <w:rPr>
          <w:u w:val="single"/>
        </w:rPr>
      </w:pPr>
      <w:r w:rsidRPr="00287F02">
        <w:rPr>
          <w:u w:val="single"/>
        </w:rPr>
        <w:t>Pamatlīdzekļu nolietojums</w:t>
      </w:r>
      <w:r w:rsidR="008B2E4B">
        <w:rPr>
          <w:u w:val="single"/>
        </w:rPr>
        <w:t xml:space="preserve"> un projekta atlikusī vērtība</w:t>
      </w:r>
    </w:p>
    <w:p w14:paraId="7182F23D" w14:textId="5EEC8B94" w:rsidR="003018E2" w:rsidRDefault="003018E2" w:rsidP="003018E2">
      <w:pPr>
        <w:pStyle w:val="StyleGaramondTekstsJustifiedAfter6ptLinespacingsin"/>
      </w:pPr>
      <w:r>
        <w:t xml:space="preserve">Pamatlīdzekļu nolietojums nav naudas plūsmas pozīcija un, atbilstoši EK vadlīnijām, netiek iekļauts projekta diskontētās naudas plūsmas analīzē, lai noteiktu projekta finanšu un ekonomiskās atdeves rādītājus. Tomēr projektā izveidoto pamatlīdzekļu nolietojums </w:t>
      </w:r>
      <w:r w:rsidR="00FA452C">
        <w:t>tiek ap</w:t>
      </w:r>
      <w:r>
        <w:t>rēķin</w:t>
      </w:r>
      <w:r w:rsidR="00FA452C">
        <w:t>āts</w:t>
      </w:r>
      <w:r>
        <w:t>, lai noteiktu to atlikušo vērtību analīzes perioda pēdējā gadā.</w:t>
      </w:r>
    </w:p>
    <w:p w14:paraId="47940DB0" w14:textId="03EEB459" w:rsidR="003018E2" w:rsidRDefault="003018E2" w:rsidP="003018E2">
      <w:pPr>
        <w:pStyle w:val="StyleGaramondTekstsJustifiedAfter6ptLinespacingsin"/>
      </w:pPr>
      <w:r>
        <w:t>Projekta ietvaros izveidoto pamatlīdzekļu lietderīgās kalpošanas laiks ir aprakstīts</w:t>
      </w:r>
      <w:r w:rsidR="00FA452C">
        <w:t xml:space="preserve"> </w:t>
      </w:r>
      <w:r w:rsidR="00FA452C">
        <w:fldChar w:fldCharType="begin"/>
      </w:r>
      <w:r w:rsidR="00FA452C">
        <w:instrText xml:space="preserve"> REF _Ref185000849 \r \h </w:instrText>
      </w:r>
      <w:r w:rsidR="00FA452C">
        <w:fldChar w:fldCharType="separate"/>
      </w:r>
      <w:r w:rsidR="00FA452C">
        <w:t>3.1.1</w:t>
      </w:r>
      <w:r w:rsidR="00FA452C">
        <w:fldChar w:fldCharType="end"/>
      </w:r>
      <w:r>
        <w:t>. nodaļā. Atlikusī vērtība ir aprēķināta ar lineārā nolietojuma metodi</w:t>
      </w:r>
      <w:r w:rsidR="002523DA">
        <w:t>; aprēķins ir sniegts IIA modeļa sadaļā “Pieņēmumi”.</w:t>
      </w:r>
    </w:p>
    <w:p w14:paraId="47E7C61C" w14:textId="240B8B96" w:rsidR="00900A16" w:rsidRDefault="003018E2" w:rsidP="003018E2">
      <w:pPr>
        <w:pStyle w:val="StyleGaramondTekstsJustifiedAfter6ptLinespacingsin"/>
      </w:pPr>
      <w:r w:rsidRPr="00D46CFF">
        <w:t xml:space="preserve">Analīzes perioda pēdējā gadā </w:t>
      </w:r>
      <w:r w:rsidR="00FA452C">
        <w:t>p</w:t>
      </w:r>
      <w:r>
        <w:t xml:space="preserve">rojekta </w:t>
      </w:r>
      <w:r w:rsidR="001354F1">
        <w:t>ne</w:t>
      </w:r>
      <w:r>
        <w:t>diskontētā</w:t>
      </w:r>
      <w:r w:rsidRPr="00D46CFF">
        <w:t xml:space="preserve"> atlikusī vērtība ir </w:t>
      </w:r>
      <w:r w:rsidR="00FA452C">
        <w:t>0</w:t>
      </w:r>
      <w:r w:rsidRPr="00D46CFF">
        <w:t xml:space="preserve"> E</w:t>
      </w:r>
      <w:r>
        <w:t>UR</w:t>
      </w:r>
      <w:r w:rsidR="00FA452C">
        <w:t>, jo IT sistēmas nolietojuma periods ir īsāks par analīzes periodu</w:t>
      </w:r>
      <w:r>
        <w:t>.</w:t>
      </w:r>
    </w:p>
    <w:p w14:paraId="4D80B0B8" w14:textId="41838F5B" w:rsidR="00201CE5" w:rsidRDefault="009340F4" w:rsidP="001870F8">
      <w:pPr>
        <w:pStyle w:val="Heading3"/>
        <w:numPr>
          <w:ilvl w:val="2"/>
          <w:numId w:val="4"/>
        </w:numPr>
        <w:spacing w:before="240" w:after="120"/>
      </w:pPr>
      <w:bookmarkStart w:id="30" w:name="_Ref427919161"/>
      <w:r>
        <w:t>Darbības i</w:t>
      </w:r>
      <w:r w:rsidR="00201CE5">
        <w:t>eņēmumi</w:t>
      </w:r>
      <w:bookmarkEnd w:id="30"/>
    </w:p>
    <w:p w14:paraId="7FFC5B65" w14:textId="69C76647" w:rsidR="007B6A80" w:rsidRDefault="00A7453A" w:rsidP="00F16FA1">
      <w:pPr>
        <w:pStyle w:val="StyleGaramondTekstsJustifiedAfter6ptLinespacingsin"/>
      </w:pPr>
      <w:r w:rsidRPr="00B41C0C">
        <w:t xml:space="preserve">Projektā </w:t>
      </w:r>
      <w:r w:rsidR="00063AE5">
        <w:t>izveidotā IT sistēma</w:t>
      </w:r>
      <w:r w:rsidRPr="00B41C0C">
        <w:t xml:space="preserve"> nerad</w:t>
      </w:r>
      <w:r w:rsidR="00063AE5">
        <w:t>īs</w:t>
      </w:r>
      <w:r w:rsidRPr="00B41C0C">
        <w:t xml:space="preserve"> </w:t>
      </w:r>
      <w:r>
        <w:t>papildus</w:t>
      </w:r>
      <w:r w:rsidRPr="00B41C0C">
        <w:t xml:space="preserve"> darbības ieņēmumus.</w:t>
      </w:r>
    </w:p>
    <w:p w14:paraId="5FBA8501" w14:textId="5A821B18" w:rsidR="00201CE5" w:rsidRDefault="00201CE5" w:rsidP="00063AE5">
      <w:pPr>
        <w:pStyle w:val="Heading3"/>
        <w:numPr>
          <w:ilvl w:val="2"/>
          <w:numId w:val="4"/>
        </w:numPr>
        <w:spacing w:before="240" w:after="120"/>
      </w:pPr>
      <w:r w:rsidRPr="00261ABB">
        <w:t>Projekta finanšu atdeves rādītāji</w:t>
      </w:r>
    </w:p>
    <w:p w14:paraId="118D6BE1" w14:textId="7779E054" w:rsidR="00201CE5" w:rsidRDefault="00201CE5" w:rsidP="00461BE9">
      <w:pPr>
        <w:pStyle w:val="StyleGaramondTekstsJustifiedAfter6ptLinespacingsin"/>
      </w:pPr>
      <w:r>
        <w:t>Projekta finanšu atdeves rādītāju</w:t>
      </w:r>
      <w:r w:rsidR="00D24873">
        <w:t xml:space="preserve">: </w:t>
      </w:r>
      <w:r w:rsidR="001354F1">
        <w:t>investīciju atdeves un k</w:t>
      </w:r>
      <w:r w:rsidR="000C0625">
        <w:t>apitāla atdeves</w:t>
      </w:r>
      <w:r w:rsidR="00D24873">
        <w:t>,</w:t>
      </w:r>
      <w:r>
        <w:t xml:space="preserve"> aprēķins ir </w:t>
      </w:r>
      <w:r w:rsidR="00630FF8">
        <w:t>sniegts</w:t>
      </w:r>
      <w:r w:rsidR="000C0625">
        <w:t xml:space="preserve"> IIA modeļa sadaļā “</w:t>
      </w:r>
      <w:r w:rsidR="001354F1" w:rsidRPr="001354F1">
        <w:t>6. DL finanšu_analīze</w:t>
      </w:r>
      <w:r w:rsidR="000C0625">
        <w:t>”</w:t>
      </w:r>
      <w:r w:rsidRPr="009E2263">
        <w:t>.</w:t>
      </w:r>
    </w:p>
    <w:p w14:paraId="79705B85" w14:textId="015EFD58" w:rsidR="00201CE5" w:rsidRDefault="00D4727A" w:rsidP="00EB0528">
      <w:pPr>
        <w:pStyle w:val="Tabulasvirsraksts"/>
      </w:pPr>
      <w:r>
        <w:rPr>
          <w:noProof/>
        </w:rPr>
        <w:fldChar w:fldCharType="begin"/>
      </w:r>
      <w:r>
        <w:rPr>
          <w:noProof/>
        </w:rPr>
        <w:instrText xml:space="preserve"> STYLEREF 1 \s </w:instrText>
      </w:r>
      <w:r>
        <w:rPr>
          <w:noProof/>
        </w:rPr>
        <w:fldChar w:fldCharType="separate"/>
      </w:r>
      <w:bookmarkStart w:id="31" w:name="_Toc190169672"/>
      <w:r>
        <w:rPr>
          <w:noProof/>
        </w:rPr>
        <w:t>3</w:t>
      </w:r>
      <w:r>
        <w:rPr>
          <w:noProof/>
        </w:rPr>
        <w:fldChar w:fldCharType="end"/>
      </w:r>
      <w:r>
        <w:rPr>
          <w:noProof/>
        </w:rPr>
        <w:noBreakHyphen/>
      </w:r>
      <w:r>
        <w:rPr>
          <w:noProof/>
        </w:rPr>
        <w:fldChar w:fldCharType="begin"/>
      </w:r>
      <w:r>
        <w:rPr>
          <w:noProof/>
        </w:rPr>
        <w:instrText xml:space="preserve"> SEQ Tabula \* ARABIC \s 1 </w:instrText>
      </w:r>
      <w:r>
        <w:rPr>
          <w:noProof/>
        </w:rPr>
        <w:fldChar w:fldCharType="separate"/>
      </w:r>
      <w:r w:rsidR="00FA452C">
        <w:rPr>
          <w:noProof/>
        </w:rPr>
        <w:t>2</w:t>
      </w:r>
      <w:r>
        <w:rPr>
          <w:noProof/>
        </w:rPr>
        <w:fldChar w:fldCharType="end"/>
      </w:r>
      <w:r w:rsidR="00201CE5">
        <w:t>. tabula. Finanšu atdeves rādītāji</w:t>
      </w:r>
      <w:bookmarkEnd w:id="31"/>
    </w:p>
    <w:tbl>
      <w:tblPr>
        <w:tblW w:w="41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1"/>
        <w:gridCol w:w="1874"/>
      </w:tblGrid>
      <w:tr w:rsidR="00201CE5" w:rsidRPr="00F46875" w14:paraId="288DE563" w14:textId="77777777" w:rsidTr="00E963C0">
        <w:trPr>
          <w:tblHeader/>
        </w:trPr>
        <w:tc>
          <w:tcPr>
            <w:tcW w:w="3724" w:type="pct"/>
            <w:shd w:val="clear" w:color="auto" w:fill="FFFFFF"/>
          </w:tcPr>
          <w:p w14:paraId="6673F3C7" w14:textId="77777777" w:rsidR="00201CE5" w:rsidRPr="007A4BA7" w:rsidRDefault="00201CE5" w:rsidP="001870F8">
            <w:pPr>
              <w:jc w:val="center"/>
              <w:rPr>
                <w:rFonts w:ascii="Garamond" w:hAnsi="Garamond"/>
                <w:b/>
              </w:rPr>
            </w:pPr>
            <w:r w:rsidRPr="007A4BA7">
              <w:rPr>
                <w:rFonts w:ascii="Garamond" w:hAnsi="Garamond"/>
                <w:b/>
              </w:rPr>
              <w:t>Rādītājs</w:t>
            </w:r>
          </w:p>
        </w:tc>
        <w:tc>
          <w:tcPr>
            <w:tcW w:w="1276" w:type="pct"/>
            <w:shd w:val="clear" w:color="auto" w:fill="FFFFFF"/>
          </w:tcPr>
          <w:p w14:paraId="095BF9E1" w14:textId="77777777" w:rsidR="00201CE5" w:rsidRPr="007A4BA7" w:rsidRDefault="00201CE5" w:rsidP="001870F8">
            <w:pPr>
              <w:jc w:val="center"/>
              <w:rPr>
                <w:rFonts w:ascii="Garamond" w:hAnsi="Garamond"/>
                <w:b/>
              </w:rPr>
            </w:pPr>
            <w:r w:rsidRPr="007A4BA7">
              <w:rPr>
                <w:rFonts w:ascii="Garamond" w:hAnsi="Garamond"/>
                <w:b/>
              </w:rPr>
              <w:t>Vērtība</w:t>
            </w:r>
          </w:p>
        </w:tc>
      </w:tr>
      <w:tr w:rsidR="000C0625" w:rsidRPr="00630FF8" w14:paraId="3D0432AA" w14:textId="77777777" w:rsidTr="00E963C0">
        <w:trPr>
          <w:trHeight w:val="191"/>
        </w:trPr>
        <w:tc>
          <w:tcPr>
            <w:tcW w:w="3724" w:type="pct"/>
            <w:shd w:val="clear" w:color="auto" w:fill="FFFFFF"/>
          </w:tcPr>
          <w:p w14:paraId="66A5C6BA" w14:textId="6B88825A" w:rsidR="000C0625" w:rsidRPr="00630FF8" w:rsidRDefault="001354F1" w:rsidP="000C0625">
            <w:pPr>
              <w:rPr>
                <w:rFonts w:ascii="Garamond" w:hAnsi="Garamond"/>
                <w:sz w:val="22"/>
                <w:szCs w:val="22"/>
              </w:rPr>
            </w:pPr>
            <w:r>
              <w:rPr>
                <w:rFonts w:ascii="Garamond" w:hAnsi="Garamond"/>
                <w:sz w:val="22"/>
                <w:szCs w:val="22"/>
              </w:rPr>
              <w:t>Investīciju f</w:t>
            </w:r>
            <w:r w:rsidR="000C0625" w:rsidRPr="000C0625">
              <w:rPr>
                <w:rFonts w:ascii="Garamond" w:hAnsi="Garamond"/>
                <w:sz w:val="22"/>
                <w:szCs w:val="22"/>
              </w:rPr>
              <w:t>inansiālais neto tagadnes ienesīgums (FNPVc)</w:t>
            </w:r>
          </w:p>
        </w:tc>
        <w:tc>
          <w:tcPr>
            <w:tcW w:w="1276" w:type="pct"/>
            <w:shd w:val="clear" w:color="auto" w:fill="FFFFFF"/>
          </w:tcPr>
          <w:p w14:paraId="00C5BD84" w14:textId="219F154E" w:rsidR="000C0625" w:rsidRPr="00CA143F" w:rsidRDefault="00C41936" w:rsidP="00CA143F">
            <w:pPr>
              <w:jc w:val="right"/>
              <w:rPr>
                <w:rFonts w:ascii="Garamond" w:hAnsi="Garamond"/>
                <w:sz w:val="22"/>
                <w:szCs w:val="22"/>
              </w:rPr>
            </w:pPr>
            <w:r w:rsidRPr="00C41936">
              <w:rPr>
                <w:rFonts w:ascii="Garamond" w:hAnsi="Garamond"/>
                <w:sz w:val="22"/>
              </w:rPr>
              <w:t>-2 368 679,28</w:t>
            </w:r>
          </w:p>
        </w:tc>
      </w:tr>
      <w:tr w:rsidR="000C0625" w:rsidRPr="00630FF8" w14:paraId="66BD347C" w14:textId="77777777" w:rsidTr="00E963C0">
        <w:tc>
          <w:tcPr>
            <w:tcW w:w="3724" w:type="pct"/>
            <w:shd w:val="clear" w:color="auto" w:fill="FFFFFF"/>
          </w:tcPr>
          <w:p w14:paraId="6518890F" w14:textId="4B178759" w:rsidR="000C0625" w:rsidRPr="00630FF8" w:rsidRDefault="001354F1" w:rsidP="000C0625">
            <w:pPr>
              <w:rPr>
                <w:rFonts w:ascii="Garamond" w:hAnsi="Garamond"/>
                <w:sz w:val="22"/>
                <w:szCs w:val="22"/>
              </w:rPr>
            </w:pPr>
            <w:r>
              <w:rPr>
                <w:rFonts w:ascii="Garamond" w:hAnsi="Garamond"/>
                <w:sz w:val="22"/>
                <w:szCs w:val="22"/>
              </w:rPr>
              <w:t>Investīciju f</w:t>
            </w:r>
            <w:r w:rsidR="000C0625" w:rsidRPr="000C0625">
              <w:rPr>
                <w:rFonts w:ascii="Garamond" w:hAnsi="Garamond"/>
                <w:sz w:val="22"/>
                <w:szCs w:val="22"/>
              </w:rPr>
              <w:t>inan</w:t>
            </w:r>
            <w:r>
              <w:rPr>
                <w:rFonts w:ascii="Garamond" w:hAnsi="Garamond"/>
                <w:sz w:val="22"/>
                <w:szCs w:val="22"/>
              </w:rPr>
              <w:t>siālā</w:t>
            </w:r>
            <w:r w:rsidR="000C0625" w:rsidRPr="000C0625">
              <w:rPr>
                <w:rFonts w:ascii="Garamond" w:hAnsi="Garamond"/>
                <w:sz w:val="22"/>
                <w:szCs w:val="22"/>
              </w:rPr>
              <w:t xml:space="preserve"> iekšējā peļņas norma (FRRc)</w:t>
            </w:r>
          </w:p>
        </w:tc>
        <w:tc>
          <w:tcPr>
            <w:tcW w:w="1276" w:type="pct"/>
            <w:shd w:val="clear" w:color="auto" w:fill="FFFFFF"/>
          </w:tcPr>
          <w:p w14:paraId="794EFFEE" w14:textId="08790A72" w:rsidR="000C0625" w:rsidRPr="00CA143F" w:rsidRDefault="00063AE5" w:rsidP="00A7453A">
            <w:pPr>
              <w:jc w:val="right"/>
              <w:rPr>
                <w:rFonts w:ascii="Garamond" w:hAnsi="Garamond"/>
                <w:sz w:val="22"/>
                <w:szCs w:val="22"/>
              </w:rPr>
            </w:pPr>
            <w:r>
              <w:rPr>
                <w:rFonts w:ascii="Garamond" w:hAnsi="Garamond"/>
                <w:sz w:val="22"/>
              </w:rPr>
              <w:t>nav aprēķināma*</w:t>
            </w:r>
          </w:p>
        </w:tc>
      </w:tr>
      <w:tr w:rsidR="000C0625" w:rsidRPr="00630FF8" w14:paraId="51C7B5AE" w14:textId="77777777" w:rsidTr="00E963C0">
        <w:tc>
          <w:tcPr>
            <w:tcW w:w="3724" w:type="pct"/>
            <w:shd w:val="clear" w:color="auto" w:fill="FFFFFF"/>
          </w:tcPr>
          <w:p w14:paraId="03936FF6" w14:textId="55D1374B" w:rsidR="000C0625" w:rsidRPr="00630FF8" w:rsidRDefault="001354F1" w:rsidP="000C0625">
            <w:pPr>
              <w:rPr>
                <w:rFonts w:ascii="Garamond" w:hAnsi="Garamond"/>
                <w:sz w:val="22"/>
                <w:szCs w:val="22"/>
              </w:rPr>
            </w:pPr>
            <w:r>
              <w:rPr>
                <w:rFonts w:ascii="Garamond" w:hAnsi="Garamond"/>
                <w:sz w:val="22"/>
                <w:szCs w:val="22"/>
              </w:rPr>
              <w:t>Kapitāla f</w:t>
            </w:r>
            <w:r w:rsidR="000C0625" w:rsidRPr="000C0625">
              <w:rPr>
                <w:rFonts w:ascii="Garamond" w:hAnsi="Garamond"/>
                <w:sz w:val="22"/>
                <w:szCs w:val="22"/>
              </w:rPr>
              <w:t>inansiālais neto tagadnes ienesīgums (FNPVk)</w:t>
            </w:r>
          </w:p>
        </w:tc>
        <w:tc>
          <w:tcPr>
            <w:tcW w:w="1276" w:type="pct"/>
            <w:shd w:val="clear" w:color="auto" w:fill="FFFFFF"/>
          </w:tcPr>
          <w:p w14:paraId="4A3AEDF5" w14:textId="08815F48" w:rsidR="000C0625" w:rsidRPr="00CA143F" w:rsidRDefault="00C41936" w:rsidP="00CA143F">
            <w:pPr>
              <w:jc w:val="right"/>
              <w:rPr>
                <w:rFonts w:ascii="Garamond" w:hAnsi="Garamond"/>
                <w:sz w:val="22"/>
                <w:szCs w:val="22"/>
              </w:rPr>
            </w:pPr>
            <w:r w:rsidRPr="00C41936">
              <w:rPr>
                <w:rFonts w:ascii="Garamond" w:hAnsi="Garamond"/>
                <w:sz w:val="22"/>
              </w:rPr>
              <w:t>-355 301,89</w:t>
            </w:r>
          </w:p>
        </w:tc>
      </w:tr>
      <w:tr w:rsidR="000C0625" w:rsidRPr="00630FF8" w14:paraId="11E5CCEF" w14:textId="77777777" w:rsidTr="00E963C0">
        <w:tc>
          <w:tcPr>
            <w:tcW w:w="3724" w:type="pct"/>
            <w:shd w:val="clear" w:color="auto" w:fill="FFFFFF"/>
          </w:tcPr>
          <w:p w14:paraId="7591C0B4" w14:textId="4ED1D65A" w:rsidR="000C0625" w:rsidRPr="00630FF8" w:rsidRDefault="001354F1" w:rsidP="000C0625">
            <w:pPr>
              <w:rPr>
                <w:rFonts w:ascii="Garamond" w:hAnsi="Garamond"/>
                <w:sz w:val="22"/>
                <w:szCs w:val="22"/>
              </w:rPr>
            </w:pPr>
            <w:r>
              <w:rPr>
                <w:rFonts w:ascii="Garamond" w:hAnsi="Garamond"/>
                <w:sz w:val="22"/>
                <w:szCs w:val="22"/>
              </w:rPr>
              <w:t>Kapitāla f</w:t>
            </w:r>
            <w:r w:rsidR="000C0625" w:rsidRPr="000C0625">
              <w:rPr>
                <w:rFonts w:ascii="Garamond" w:hAnsi="Garamond"/>
                <w:sz w:val="22"/>
                <w:szCs w:val="22"/>
              </w:rPr>
              <w:t>inan</w:t>
            </w:r>
            <w:r>
              <w:rPr>
                <w:rFonts w:ascii="Garamond" w:hAnsi="Garamond"/>
                <w:sz w:val="22"/>
                <w:szCs w:val="22"/>
              </w:rPr>
              <w:t>siālā</w:t>
            </w:r>
            <w:r w:rsidR="000C0625" w:rsidRPr="000C0625">
              <w:rPr>
                <w:rFonts w:ascii="Garamond" w:hAnsi="Garamond"/>
                <w:sz w:val="22"/>
                <w:szCs w:val="22"/>
              </w:rPr>
              <w:t xml:space="preserve"> iekšējā peļņas norma (FRRk)</w:t>
            </w:r>
          </w:p>
        </w:tc>
        <w:tc>
          <w:tcPr>
            <w:tcW w:w="1276" w:type="pct"/>
            <w:shd w:val="clear" w:color="auto" w:fill="FFFFFF"/>
          </w:tcPr>
          <w:p w14:paraId="739ABA31" w14:textId="29644AFA" w:rsidR="000C0625" w:rsidRPr="00CA143F" w:rsidRDefault="00192733" w:rsidP="00A7453A">
            <w:pPr>
              <w:jc w:val="right"/>
              <w:rPr>
                <w:rFonts w:ascii="Garamond" w:hAnsi="Garamond"/>
                <w:sz w:val="22"/>
                <w:szCs w:val="22"/>
              </w:rPr>
            </w:pPr>
            <w:r>
              <w:rPr>
                <w:rFonts w:ascii="Garamond" w:hAnsi="Garamond"/>
                <w:sz w:val="22"/>
              </w:rPr>
              <w:t>nav aprēķināma*</w:t>
            </w:r>
          </w:p>
        </w:tc>
      </w:tr>
    </w:tbl>
    <w:p w14:paraId="67FF6533" w14:textId="3406A1AB" w:rsidR="0078275D" w:rsidRPr="00192733" w:rsidRDefault="00192733" w:rsidP="009365A3">
      <w:pPr>
        <w:pStyle w:val="GaramondTeksts"/>
        <w:spacing w:after="0" w:line="240" w:lineRule="auto"/>
        <w:jc w:val="both"/>
        <w:rPr>
          <w:i/>
          <w:iCs/>
        </w:rPr>
      </w:pPr>
      <w:r w:rsidRPr="00192733">
        <w:rPr>
          <w:i/>
          <w:iCs/>
        </w:rPr>
        <w:t>*</w:t>
      </w:r>
      <w:r>
        <w:rPr>
          <w:i/>
          <w:iCs/>
        </w:rPr>
        <w:t xml:space="preserve"> </w:t>
      </w:r>
      <w:r w:rsidR="00063AE5">
        <w:rPr>
          <w:i/>
          <w:iCs/>
        </w:rPr>
        <w:t xml:space="preserve">FRRc un </w:t>
      </w:r>
      <w:r>
        <w:rPr>
          <w:i/>
          <w:iCs/>
        </w:rPr>
        <w:t>FRRk likme</w:t>
      </w:r>
      <w:r w:rsidR="00063AE5">
        <w:rPr>
          <w:i/>
          <w:iCs/>
        </w:rPr>
        <w:t>s</w:t>
      </w:r>
      <w:r>
        <w:rPr>
          <w:i/>
          <w:iCs/>
        </w:rPr>
        <w:t xml:space="preserve"> nav matemātiski aprēķināma</w:t>
      </w:r>
      <w:r w:rsidR="00063AE5">
        <w:rPr>
          <w:i/>
          <w:iCs/>
        </w:rPr>
        <w:t>s</w:t>
      </w:r>
      <w:r>
        <w:rPr>
          <w:i/>
          <w:iCs/>
        </w:rPr>
        <w:t xml:space="preserve">; skat. IIA modeļa sadaļu </w:t>
      </w:r>
      <w:r w:rsidRPr="00192733">
        <w:rPr>
          <w:i/>
          <w:iCs/>
        </w:rPr>
        <w:t>“6. DL finanšu_analīze”</w:t>
      </w:r>
    </w:p>
    <w:p w14:paraId="32B085F5" w14:textId="77777777" w:rsidR="00192733" w:rsidRDefault="00192733" w:rsidP="00461BE9">
      <w:pPr>
        <w:pStyle w:val="StyleGaramondTekstsJustifiedAfter6ptLinespacingsin"/>
      </w:pPr>
    </w:p>
    <w:p w14:paraId="27EB70D7" w14:textId="079D2567" w:rsidR="00201CE5" w:rsidRDefault="00F21953" w:rsidP="00461BE9">
      <w:pPr>
        <w:pStyle w:val="StyleGaramondTekstsJustifiedAfter6ptLinespacingsin"/>
      </w:pPr>
      <w:r>
        <w:t>P</w:t>
      </w:r>
      <w:r w:rsidR="00201CE5" w:rsidRPr="00262DE7">
        <w:t>rojekt</w:t>
      </w:r>
      <w:r w:rsidR="00201CE5">
        <w:t>a investīciju atdeve</w:t>
      </w:r>
      <w:r>
        <w:t xml:space="preserve"> izvēlētajā projekta analīzes periodā ir negatīva. </w:t>
      </w:r>
      <w:r w:rsidR="00201CE5">
        <w:t>Negatīva investīciju atdeve ir raksturīga publiskās infrastruktūras attīstības projektiem</w:t>
      </w:r>
      <w:r w:rsidR="00F56B00">
        <w:t xml:space="preserve"> kopumā un īpaši projektiem, kas nerada </w:t>
      </w:r>
      <w:r w:rsidR="00F56B00">
        <w:lastRenderedPageBreak/>
        <w:t>darbības ieņēmumus. Turklāt</w:t>
      </w:r>
      <w:r w:rsidR="008618C0">
        <w:t xml:space="preserve">, </w:t>
      </w:r>
      <w:r w:rsidR="00F56B00">
        <w:t>negatīva investīciju atdeve</w:t>
      </w:r>
      <w:r w:rsidR="00201CE5">
        <w:t xml:space="preserve"> ir obligāts nosacījums, lai projekts varētu pretendēt uz ES līdzfinansējumu.</w:t>
      </w:r>
    </w:p>
    <w:p w14:paraId="0E54A58D" w14:textId="721B7F01" w:rsidR="00201CE5" w:rsidRPr="008618C0" w:rsidRDefault="00201CE5" w:rsidP="00E456C2">
      <w:pPr>
        <w:pStyle w:val="Heading3"/>
        <w:numPr>
          <w:ilvl w:val="2"/>
          <w:numId w:val="4"/>
        </w:numPr>
        <w:spacing w:before="240" w:after="120"/>
      </w:pPr>
      <w:bookmarkStart w:id="32" w:name="_Ref332449076"/>
      <w:r w:rsidRPr="008618C0">
        <w:t>Projekta finansiālā ilgtspēja</w:t>
      </w:r>
      <w:bookmarkEnd w:id="32"/>
    </w:p>
    <w:p w14:paraId="605FC399" w14:textId="0C4D2046" w:rsidR="00201CE5" w:rsidRPr="00262DE7" w:rsidRDefault="008618C0" w:rsidP="00461BE9">
      <w:pPr>
        <w:pStyle w:val="StyleGaramondTekstsJustifiedAfter6ptLinespacingsin"/>
      </w:pPr>
      <w:r>
        <w:t xml:space="preserve">Projekts ir finansiāli ilgtspējīgs, ja kumulatīvais naudas līdzekļu atlikums visos analīzes perioda gados </w:t>
      </w:r>
      <w:r w:rsidR="00192792">
        <w:t>nav</w:t>
      </w:r>
      <w:r>
        <w:t xml:space="preserve"> </w:t>
      </w:r>
      <w:r w:rsidR="00192792">
        <w:t>mazāks</w:t>
      </w:r>
      <w:r>
        <w:t xml:space="preserve"> par nulli. Kā rāda</w:t>
      </w:r>
      <w:r w:rsidR="000C0625">
        <w:t xml:space="preserve"> IIA modeļa sadaļā “</w:t>
      </w:r>
      <w:r w:rsidR="000C0625" w:rsidRPr="000C0625">
        <w:t>4.DL Finansiālā ilgtspēja</w:t>
      </w:r>
      <w:r w:rsidR="000C0625">
        <w:t>”</w:t>
      </w:r>
      <w:r>
        <w:t xml:space="preserve"> </w:t>
      </w:r>
      <w:r w:rsidRPr="009E2263">
        <w:t>sniegtā naudas plūsmas prognoze</w:t>
      </w:r>
      <w:r w:rsidR="00CD7910" w:rsidRPr="009E2263">
        <w:t>,</w:t>
      </w:r>
      <w:r w:rsidRPr="009E2263">
        <w:t xml:space="preserve"> </w:t>
      </w:r>
      <w:r w:rsidR="00F56B00" w:rsidRPr="009E2263">
        <w:t>p</w:t>
      </w:r>
      <w:r w:rsidRPr="009E2263">
        <w:t>rojekts ir ilgtspējīgs: tā</w:t>
      </w:r>
      <w:r>
        <w:t xml:space="preserve"> īstenošanai </w:t>
      </w:r>
      <w:r w:rsidR="00192733">
        <w:t>paredzētais</w:t>
      </w:r>
      <w:r>
        <w:t xml:space="preserve"> </w:t>
      </w:r>
      <w:r w:rsidR="00192733">
        <w:t>ES</w:t>
      </w:r>
      <w:r>
        <w:t xml:space="preserve"> un </w:t>
      </w:r>
      <w:r w:rsidR="00E456C2">
        <w:t>valsts budžeta</w:t>
      </w:r>
      <w:r w:rsidR="00E141DC">
        <w:t xml:space="preserve"> </w:t>
      </w:r>
      <w:r>
        <w:t>finansējums</w:t>
      </w:r>
      <w:r w:rsidR="00185EA8">
        <w:t xml:space="preserve"> </w:t>
      </w:r>
      <w:r>
        <w:t>pilnībā nosedz investīciju izmaksas, kamēr</w:t>
      </w:r>
      <w:r w:rsidR="00C63C58">
        <w:t xml:space="preserve"> darbības izmaksas</w:t>
      </w:r>
      <w:r w:rsidR="00F56B00">
        <w:t xml:space="preserve"> tiks segta</w:t>
      </w:r>
      <w:r w:rsidR="00192733">
        <w:t>s</w:t>
      </w:r>
      <w:r w:rsidR="00F56B00">
        <w:t xml:space="preserve"> no </w:t>
      </w:r>
      <w:r w:rsidR="00E456C2">
        <w:t>valsts</w:t>
      </w:r>
      <w:r w:rsidR="00526F66">
        <w:t xml:space="preserve"> </w:t>
      </w:r>
      <w:r w:rsidR="000C0625">
        <w:t>budžeta</w:t>
      </w:r>
      <w:r w:rsidR="00F56B00">
        <w:t xml:space="preserve"> līdzekļiem</w:t>
      </w:r>
      <w:r>
        <w:t>.</w:t>
      </w:r>
    </w:p>
    <w:p w14:paraId="54DFB952" w14:textId="3D0F4D5C" w:rsidR="00201CE5" w:rsidRPr="00CF05B6" w:rsidRDefault="00201CE5" w:rsidP="00407547">
      <w:pPr>
        <w:pStyle w:val="Heading2"/>
      </w:pPr>
      <w:bookmarkStart w:id="33" w:name="_Ref226372421"/>
      <w:bookmarkStart w:id="34" w:name="_Toc226893025"/>
      <w:bookmarkStart w:id="35" w:name="_Toc190169669"/>
      <w:r w:rsidRPr="00CF05B6">
        <w:t>Ekonomiskā analīze</w:t>
      </w:r>
      <w:bookmarkEnd w:id="33"/>
      <w:bookmarkEnd w:id="34"/>
      <w:bookmarkEnd w:id="35"/>
    </w:p>
    <w:p w14:paraId="25D5587B" w14:textId="77777777" w:rsidR="00201CE5" w:rsidRDefault="00201CE5" w:rsidP="00407547">
      <w:pPr>
        <w:pStyle w:val="Heading3"/>
        <w:numPr>
          <w:ilvl w:val="2"/>
          <w:numId w:val="4"/>
        </w:numPr>
        <w:spacing w:before="240" w:after="120"/>
      </w:pPr>
      <w:bookmarkStart w:id="36" w:name="_Ref185002978"/>
      <w:r w:rsidRPr="006D4245">
        <w:t>Īss metodikas un specifisko pieņēmumu apraksts</w:t>
      </w:r>
      <w:bookmarkEnd w:id="36"/>
    </w:p>
    <w:p w14:paraId="75582C80" w14:textId="1AF48B46" w:rsidR="00201CE5" w:rsidRDefault="00201CE5" w:rsidP="00461BE9">
      <w:pPr>
        <w:pStyle w:val="StyleGaramondTekstsJustifiedAfter6ptLinespacingsin"/>
      </w:pPr>
      <w:r>
        <w:t>Projekta ekonomiskās analīzes mērķis ir noteikt projekta izdevīgumu no sabiedrības viedokļa.</w:t>
      </w:r>
      <w:r w:rsidR="0061362C">
        <w:t xml:space="preserve"> </w:t>
      </w:r>
      <w:r>
        <w:t>Tajā tiek izmantoti identiski izejas dati un pieņēmumi kā finanšu analīzē, ar šādiem izņēmumiem:</w:t>
      </w:r>
    </w:p>
    <w:p w14:paraId="52B01E57" w14:textId="53022CB1" w:rsidR="00201CE5" w:rsidRDefault="00201CE5" w:rsidP="006620C3">
      <w:pPr>
        <w:pStyle w:val="StyleGaramondTekstsJustifiedAfter6ptLinespacingsin"/>
        <w:numPr>
          <w:ilvl w:val="0"/>
          <w:numId w:val="9"/>
        </w:numPr>
        <w:ind w:left="771" w:hanging="357"/>
        <w:contextualSpacing/>
      </w:pPr>
      <w:r>
        <w:t>naudas plūsmas tiek diskontētas ar reālo sociālo diskonta likmi 5,</w:t>
      </w:r>
      <w:r w:rsidR="00BB3D4A">
        <w:t>0</w:t>
      </w:r>
      <w:r>
        <w:t>%;</w:t>
      </w:r>
    </w:p>
    <w:p w14:paraId="4988C28D" w14:textId="77777777" w:rsidR="00201CE5" w:rsidRDefault="00201CE5" w:rsidP="006620C3">
      <w:pPr>
        <w:pStyle w:val="StyleGaramondTekstsJustifiedAfter6ptLinespacingsin"/>
        <w:numPr>
          <w:ilvl w:val="0"/>
          <w:numId w:val="9"/>
        </w:numPr>
        <w:ind w:left="771" w:hanging="357"/>
        <w:contextualSpacing/>
      </w:pPr>
      <w:r>
        <w:t>finanšu analīzē iekļautās investīciju un darbības izmaksas nav tiešā veidā izmantojamas ekonomiskajā analīzē, jo neatspoguļo resursu patiesās izmaksas sabiedrībai, tādēļ tās tiek koriģētas ar fiskālo korekciju un konversijas faktoru palīdzību;</w:t>
      </w:r>
    </w:p>
    <w:p w14:paraId="1E9C77FC" w14:textId="77777777" w:rsidR="00201CE5" w:rsidRDefault="00201CE5" w:rsidP="006620C3">
      <w:pPr>
        <w:pStyle w:val="StyleGaramondTekstsJustifiedAfter6ptLinespacingsin"/>
        <w:numPr>
          <w:ilvl w:val="0"/>
          <w:numId w:val="9"/>
        </w:numPr>
        <w:ind w:left="771" w:hanging="357"/>
        <w:contextualSpacing/>
      </w:pPr>
      <w:r>
        <w:t>aprēķinos tiek ņemti vērā projekta radītie sociālekonomiskie ieguvumi (ārējo faktoru korekcijas).</w:t>
      </w:r>
    </w:p>
    <w:p w14:paraId="73B3D370" w14:textId="053AA6C8" w:rsidR="00201CE5" w:rsidRDefault="00201CE5" w:rsidP="00407547">
      <w:pPr>
        <w:pStyle w:val="Heading3"/>
        <w:numPr>
          <w:ilvl w:val="2"/>
          <w:numId w:val="4"/>
        </w:numPr>
        <w:spacing w:before="240" w:after="120"/>
      </w:pPr>
      <w:r>
        <w:t xml:space="preserve">Fiskālās korekcijas </w:t>
      </w:r>
    </w:p>
    <w:p w14:paraId="54C3682C" w14:textId="6BB1042C" w:rsidR="00201CE5" w:rsidRDefault="00201CE5" w:rsidP="00461BE9">
      <w:pPr>
        <w:pStyle w:val="StyleGaramondTekstsJustifiedAfter6ptLinespacingsin"/>
      </w:pPr>
      <w:r>
        <w:t>Fiskālo korekciju mērķis ir izslēgt no projekta analīzes transfertus, kas ir maksājumi, par kuriem netiek iegādātas preces un pakalpojumi, un radīta jauna vērtība. Tie ir naudas pārvedumi starp dažādām sabiedrības grupām, kas neietekmē tās kopējo labklājību.</w:t>
      </w:r>
    </w:p>
    <w:p w14:paraId="67803CD2" w14:textId="559A50FB" w:rsidR="00201CE5" w:rsidRDefault="00F633B2" w:rsidP="00461BE9">
      <w:pPr>
        <w:pStyle w:val="StyleGaramondTekstsJustifiedAfter6ptLinespacingsin"/>
      </w:pPr>
      <w:r>
        <w:t>F</w:t>
      </w:r>
      <w:r w:rsidR="00201CE5">
        <w:t>iskālo korekciju rezultātā no projekta izmaksām</w:t>
      </w:r>
      <w:r w:rsidR="00D47C87">
        <w:t xml:space="preserve"> un ieņēmumiem</w:t>
      </w:r>
      <w:r w:rsidR="00201CE5">
        <w:t xml:space="preserve"> tiek izslēgtas PVN 21% un </w:t>
      </w:r>
      <w:r w:rsidR="00201CE5" w:rsidRPr="00DD3318">
        <w:t>darba devēja valsts sociālās apdrošināšanas</w:t>
      </w:r>
      <w:r w:rsidR="00201CE5" w:rsidRPr="00FB5D0A">
        <w:t xml:space="preserve"> </w:t>
      </w:r>
      <w:r w:rsidR="00201CE5" w:rsidRPr="00DD3318">
        <w:t>obligātās iemaksas (</w:t>
      </w:r>
      <w:r w:rsidR="00670B0C">
        <w:t xml:space="preserve">turpmāk - </w:t>
      </w:r>
      <w:r w:rsidR="00201CE5" w:rsidRPr="00DD3318">
        <w:t>VSA</w:t>
      </w:r>
      <w:r w:rsidR="00201CE5">
        <w:t>O</w:t>
      </w:r>
      <w:r w:rsidR="00201CE5" w:rsidRPr="00DD3318">
        <w:t>Ie) 2</w:t>
      </w:r>
      <w:r w:rsidR="00AA161A">
        <w:t>3</w:t>
      </w:r>
      <w:r w:rsidR="00201CE5" w:rsidRPr="00DD3318">
        <w:t>,</w:t>
      </w:r>
      <w:r w:rsidR="00AA161A">
        <w:t>5</w:t>
      </w:r>
      <w:r w:rsidR="00201CE5" w:rsidRPr="00DD3318">
        <w:t>9%</w:t>
      </w:r>
      <w:r w:rsidR="00201CE5">
        <w:t>.</w:t>
      </w:r>
    </w:p>
    <w:p w14:paraId="3DAA2027" w14:textId="17153F96" w:rsidR="00201CE5" w:rsidRPr="00082ECE" w:rsidRDefault="00670B0C" w:rsidP="00461BE9">
      <w:pPr>
        <w:pStyle w:val="StyleGaramondTekstsJustifiedAfter6ptLinespacingsin"/>
      </w:pPr>
      <w:r w:rsidRPr="00670B0C">
        <w:t>Finanšu analīzē visas projekta ieguldījumu un darbības izmaksas ir norādītas ar PVN 21%, izņemot projekta vadības izmaksas un netiešās attiecināmās izmaksas</w:t>
      </w:r>
      <w:r w:rsidR="00201CE5">
        <w:t>, tādēļ</w:t>
      </w:r>
      <w:r w:rsidR="009A5A84">
        <w:t xml:space="preserve"> ekonomiskajā analīzē izmantotās inv</w:t>
      </w:r>
      <w:r w:rsidR="009A5A84" w:rsidRPr="00082ECE">
        <w:t>estīciju izmaksas ir samazinātas par PVN tiesu.</w:t>
      </w:r>
      <w:r w:rsidR="008412C2" w:rsidRPr="00082ECE">
        <w:t xml:space="preserve"> Tāpat no ekonomiskās analīzes tiek izslēgta darbības izmaksu</w:t>
      </w:r>
      <w:r w:rsidR="00D47C87">
        <w:t xml:space="preserve"> </w:t>
      </w:r>
      <w:r w:rsidR="008412C2" w:rsidRPr="00082ECE">
        <w:t>PVN daļa.</w:t>
      </w:r>
    </w:p>
    <w:p w14:paraId="793FBE14" w14:textId="5B6B2CBF" w:rsidR="00185EA8" w:rsidRDefault="00670B0C" w:rsidP="00461BE9">
      <w:pPr>
        <w:pStyle w:val="StyleGaramondTekstsJustifiedAfter6ptLinespacingsin"/>
      </w:pPr>
      <w:r w:rsidRPr="00670B0C">
        <w:t>Tiek pieņemts, ka visas projekta ieguldījumu izmaksas, izņemot aparatūras iegādi, un visas darbības izmaksas ir darbaspēka izmaksas.</w:t>
      </w:r>
      <w:r>
        <w:t xml:space="preserve"> </w:t>
      </w:r>
      <w:r w:rsidR="00E7693E" w:rsidRPr="00E7693E">
        <w:t xml:space="preserve">VSAOIe ir iekļautas investīciju un darbības izmaksu darbaspēka izmaksu komponentē, tādēļ ekonomiskās analīzes vajadzībām tās tiek izslēgtas no naudas plūsmas. </w:t>
      </w:r>
    </w:p>
    <w:p w14:paraId="3F074444" w14:textId="4642B309" w:rsidR="00E7693E" w:rsidRDefault="00E7693E" w:rsidP="00461BE9">
      <w:pPr>
        <w:pStyle w:val="StyleGaramondTekstsJustifiedAfter6ptLinespacingsin"/>
      </w:pPr>
      <w:r>
        <w:t>Fiskālo korekciju aprēķini ir veikti IIA modeļa sadaļā “</w:t>
      </w:r>
      <w:r w:rsidRPr="00E7693E">
        <w:t>5.DL soc.econom. analīze</w:t>
      </w:r>
      <w:r>
        <w:t>”.</w:t>
      </w:r>
    </w:p>
    <w:p w14:paraId="19B0BCD6" w14:textId="6E5782B4" w:rsidR="00201CE5" w:rsidRDefault="00EE14BB" w:rsidP="00407547">
      <w:pPr>
        <w:pStyle w:val="Heading3"/>
        <w:numPr>
          <w:ilvl w:val="2"/>
          <w:numId w:val="4"/>
        </w:numPr>
        <w:spacing w:before="240" w:after="120"/>
      </w:pPr>
      <w:r>
        <w:t>Standarta k</w:t>
      </w:r>
      <w:r w:rsidR="00201CE5">
        <w:t>onversijas faktori</w:t>
      </w:r>
    </w:p>
    <w:p w14:paraId="2C490FB9" w14:textId="77777777" w:rsidR="00201CE5" w:rsidRDefault="00201CE5" w:rsidP="00461BE9">
      <w:pPr>
        <w:pStyle w:val="StyleGaramondTekstsJustifiedAfter6ptLinespacingsin"/>
      </w:pPr>
      <w:r w:rsidRPr="00B822F9">
        <w:t>Preces vai pakalpojuma cena tirgū mēdz neatbilst tās patiesajām izmaksām sabiedrībai dēļ monopol</w:t>
      </w:r>
      <w:r>
        <w:t>a apstākļiem</w:t>
      </w:r>
      <w:r w:rsidRPr="00B822F9">
        <w:t>, importa ierobežojumiem</w:t>
      </w:r>
      <w:r>
        <w:t xml:space="preserve"> un </w:t>
      </w:r>
      <w:r w:rsidRPr="00B822F9">
        <w:t>tarifiem, subsīdijām</w:t>
      </w:r>
      <w:r>
        <w:t>, utt. Tādēļ ekonomiskās analīzes vajadzībām projekta izmaksas tiek pārrēķinātas no tirgus uz t.s. grāmatvedības jeb ēnu cenām.</w:t>
      </w:r>
    </w:p>
    <w:p w14:paraId="0D68D0A7" w14:textId="5AFD0DC2" w:rsidR="00185EA8" w:rsidRDefault="00185EA8" w:rsidP="00461BE9">
      <w:pPr>
        <w:pStyle w:val="StyleGaramondTekstsJustifiedAfter6ptLinespacingsin"/>
      </w:pPr>
      <w:r w:rsidRPr="00185EA8">
        <w:t>Ēnu cenas tiek noteiktas, tirgus (finanšu analīzes) cenām piemērojot standarta konversijas faktorus (</w:t>
      </w:r>
      <w:r w:rsidR="00670B0C">
        <w:t xml:space="preserve">turpmāk - </w:t>
      </w:r>
      <w:r w:rsidRPr="00185EA8">
        <w:t>SKF). Saskaņā ar EK ieteikumiem katrā dalībvalstī ir jābūt noteiktiem vienotiem SKF, kurus izmantot infrastruktūras attīstības projektu analīzē. Latvijā</w:t>
      </w:r>
      <w:r w:rsidR="00144462">
        <w:t xml:space="preserve"> </w:t>
      </w:r>
      <w:r w:rsidRPr="00185EA8">
        <w:t>vienoti</w:t>
      </w:r>
      <w:r w:rsidR="00144462">
        <w:t xml:space="preserve"> SKF nav noteikti, tādēļ,</w:t>
      </w:r>
      <w:r w:rsidRPr="00185EA8">
        <w:t xml:space="preserve"> </w:t>
      </w:r>
      <w:r w:rsidR="00144462">
        <w:t>ņ</w:t>
      </w:r>
      <w:r w:rsidRPr="00185EA8">
        <w:t xml:space="preserve">emot vērā </w:t>
      </w:r>
      <w:r>
        <w:lastRenderedPageBreak/>
        <w:t xml:space="preserve">EK </w:t>
      </w:r>
      <w:r w:rsidR="00670B0C">
        <w:t>2021. gada vadlīniju</w:t>
      </w:r>
      <w:r w:rsidRPr="00185EA8">
        <w:t xml:space="preserve"> ieteikumus</w:t>
      </w:r>
      <w:r>
        <w:rPr>
          <w:rStyle w:val="FootnoteReference"/>
        </w:rPr>
        <w:footnoteReference w:id="5"/>
      </w:r>
      <w:r w:rsidRPr="00185EA8">
        <w:t xml:space="preserve"> , šajā </w:t>
      </w:r>
      <w:r w:rsidR="00EE14BB">
        <w:t xml:space="preserve">ziņojumā </w:t>
      </w:r>
      <w:r w:rsidRPr="00185EA8">
        <w:t>investīciju</w:t>
      </w:r>
      <w:r w:rsidR="00EE14BB">
        <w:t xml:space="preserve"> un darbības </w:t>
      </w:r>
      <w:r w:rsidRPr="00185EA8">
        <w:t>izmaksu SKF tiek pieņemts vienāds ar vienu (SKF=1,0).</w:t>
      </w:r>
    </w:p>
    <w:p w14:paraId="15A676CF" w14:textId="16813F7E" w:rsidR="00201CE5" w:rsidRPr="00526F66" w:rsidRDefault="00201CE5" w:rsidP="00407547">
      <w:pPr>
        <w:pStyle w:val="Heading3"/>
        <w:numPr>
          <w:ilvl w:val="2"/>
          <w:numId w:val="4"/>
        </w:numPr>
        <w:spacing w:before="240" w:after="120"/>
      </w:pPr>
      <w:bookmarkStart w:id="37" w:name="_Ref466289400"/>
      <w:r w:rsidRPr="00526F66">
        <w:t>Projekta ekonomiskie ieguvumi</w:t>
      </w:r>
      <w:bookmarkEnd w:id="37"/>
    </w:p>
    <w:p w14:paraId="2E28921B" w14:textId="6630FC22" w:rsidR="00C20E99" w:rsidRDefault="00C20E99" w:rsidP="00461BE9">
      <w:pPr>
        <w:pStyle w:val="StyleGaramondTekstsJustifiedAfter6ptLinespacingsin"/>
      </w:pPr>
      <w:r>
        <w:t>Projekta ekonomiskie ieguvumi parāda labumu, kādu Projekta īstenošana dos</w:t>
      </w:r>
      <w:r w:rsidR="00526F66">
        <w:t xml:space="preserve"> </w:t>
      </w:r>
      <w:r>
        <w:t xml:space="preserve">sabiedrībai. Projekta ekonomiskajiem ieguvumiem ir jāpārsniedz tā izmaksas, lai </w:t>
      </w:r>
      <w:r w:rsidR="00526F66">
        <w:t>p</w:t>
      </w:r>
      <w:r>
        <w:t>rojekts būtu uzskatāmas par sabiedrībai noderīgu un, tādēļ, īstenojamu.</w:t>
      </w:r>
    </w:p>
    <w:p w14:paraId="7617389B" w14:textId="202245EA" w:rsidR="00B07835" w:rsidRDefault="00670B0C" w:rsidP="00461BE9">
      <w:pPr>
        <w:pStyle w:val="StyleGaramondTekstsJustifiedAfter6ptLinespacingsin"/>
      </w:pPr>
      <w:r w:rsidRPr="00670B0C">
        <w:t xml:space="preserve">Ekonomisko ieguvumu noteikšanai ir izmantota metodika un dati no EK </w:t>
      </w:r>
      <w:r>
        <w:t>Ietekmes novērtējuma</w:t>
      </w:r>
      <w:r w:rsidRPr="00670B0C">
        <w:t xml:space="preserve">. </w:t>
      </w:r>
      <w:r>
        <w:t>Tajā</w:t>
      </w:r>
      <w:r w:rsidRPr="00670B0C">
        <w:t xml:space="preserve"> kā galvenais ieguvums</w:t>
      </w:r>
      <w:r>
        <w:t xml:space="preserve"> no jaunās sistēmas ieviešanas</w:t>
      </w:r>
      <w:r w:rsidRPr="00670B0C">
        <w:t xml:space="preserve"> tiek noteikts samazināts administratīvais slogs kuģu operatoriem, ko izsaka kā ietaupīto laiku cilvēkstundās.</w:t>
      </w:r>
    </w:p>
    <w:p w14:paraId="1647FFC0" w14:textId="2635B59E" w:rsidR="000E5AC2" w:rsidRDefault="00D07347" w:rsidP="00461BE9">
      <w:pPr>
        <w:pStyle w:val="StyleGaramondTekstsJustifiedAfter6ptLinespacingsin"/>
      </w:pPr>
      <w:r>
        <w:t>Detalizēts ekonomisko ieguvumu aprēķins ir sniegts</w:t>
      </w:r>
      <w:r w:rsidRPr="00E7693E">
        <w:t xml:space="preserve"> </w:t>
      </w:r>
      <w:r>
        <w:t>IIA modeļa</w:t>
      </w:r>
      <w:r w:rsidRPr="00E7693E">
        <w:t xml:space="preserve"> sadaļā </w:t>
      </w:r>
      <w:r>
        <w:t>“</w:t>
      </w:r>
      <w:r w:rsidRPr="00E7693E">
        <w:t>Pieņēmumi</w:t>
      </w:r>
      <w:r>
        <w:t xml:space="preserve">”. Aprēķinu rezultātā ir iegūta projekta ekonomisko ieguvumu vērtība </w:t>
      </w:r>
      <w:r w:rsidR="00670B0C" w:rsidRPr="00670B0C">
        <w:t>389 121,40</w:t>
      </w:r>
      <w:r>
        <w:t xml:space="preserve"> EUR gadā.</w:t>
      </w:r>
    </w:p>
    <w:p w14:paraId="77175F26" w14:textId="352FCE82" w:rsidR="00201CE5" w:rsidRPr="00AB419C" w:rsidRDefault="00201CE5" w:rsidP="00407547">
      <w:pPr>
        <w:pStyle w:val="Heading3"/>
        <w:numPr>
          <w:ilvl w:val="2"/>
          <w:numId w:val="4"/>
        </w:numPr>
        <w:spacing w:before="240" w:after="120"/>
      </w:pPr>
      <w:r w:rsidRPr="00AB419C">
        <w:t>Projekta sociālekonomiskās atdeves rādītāji</w:t>
      </w:r>
    </w:p>
    <w:p w14:paraId="56AA3B3A" w14:textId="091C43AB" w:rsidR="00201CE5" w:rsidRDefault="00201CE5" w:rsidP="00461BE9">
      <w:pPr>
        <w:pStyle w:val="StyleGaramondTekstsJustifiedAfter6ptLinespacingsin"/>
      </w:pPr>
      <w:r>
        <w:t xml:space="preserve">Projekta ekonomiskās atdeves aprēķini ir </w:t>
      </w:r>
      <w:r w:rsidR="00815A17">
        <w:t>sniegti</w:t>
      </w:r>
      <w:r w:rsidR="00373F86">
        <w:t xml:space="preserve"> IIA modeļa sadaļā “</w:t>
      </w:r>
      <w:r w:rsidR="00AE4429" w:rsidRPr="00AE4429">
        <w:t>5.DL soc.econom. analīze</w:t>
      </w:r>
      <w:r w:rsidR="00373F86">
        <w:t>”</w:t>
      </w:r>
      <w:r w:rsidRPr="009E2263">
        <w:t>.</w:t>
      </w:r>
    </w:p>
    <w:p w14:paraId="6CA38720" w14:textId="2BBE31DF" w:rsidR="00DC11F6" w:rsidRDefault="00201CE5" w:rsidP="00461BE9">
      <w:pPr>
        <w:pStyle w:val="StyleGaramondTekstsJustifiedAfter6ptLinespacingsin"/>
      </w:pPr>
      <w:r>
        <w:t>Ekonomiskā neto pašreizējā vērtība ir pozitīva, ja projekta visu ieguvumu (finanšu un ekonomisko) pašreizējā vērtība ir lielāka nekā visu izmaksu pašreizējā vērtība. Tādā gadījumā arī ieguvumu un izmaksu attiecība, kas tiek aprēķināta kā ieguvumu pašreizējā vērtība dalīta ar izmaksu pašreizējo vērtību, būs lielāka par vienu.</w:t>
      </w:r>
    </w:p>
    <w:p w14:paraId="61F2BA1C" w14:textId="6A0376C7" w:rsidR="00201CE5" w:rsidRDefault="00D4727A" w:rsidP="00EB0528">
      <w:pPr>
        <w:pStyle w:val="Tabulasvirsraksts"/>
      </w:pPr>
      <w:r>
        <w:rPr>
          <w:noProof/>
        </w:rPr>
        <w:fldChar w:fldCharType="begin"/>
      </w:r>
      <w:r>
        <w:rPr>
          <w:noProof/>
        </w:rPr>
        <w:instrText xml:space="preserve"> STYLEREF 1 \s </w:instrText>
      </w:r>
      <w:r>
        <w:rPr>
          <w:noProof/>
        </w:rPr>
        <w:fldChar w:fldCharType="separate"/>
      </w:r>
      <w:bookmarkStart w:id="38" w:name="_Toc190169673"/>
      <w:r w:rsidR="00C52DAC">
        <w:rPr>
          <w:noProof/>
        </w:rPr>
        <w:t>3</w:t>
      </w:r>
      <w:r>
        <w:rPr>
          <w:noProof/>
        </w:rPr>
        <w:fldChar w:fldCharType="end"/>
      </w:r>
      <w:r>
        <w:rPr>
          <w:noProof/>
        </w:rPr>
        <w:noBreakHyphen/>
      </w:r>
      <w:r>
        <w:rPr>
          <w:noProof/>
        </w:rPr>
        <w:fldChar w:fldCharType="begin"/>
      </w:r>
      <w:r>
        <w:rPr>
          <w:noProof/>
        </w:rPr>
        <w:instrText xml:space="preserve"> SEQ Tabula \* ARABIC \s 1 </w:instrText>
      </w:r>
      <w:r>
        <w:rPr>
          <w:noProof/>
        </w:rPr>
        <w:fldChar w:fldCharType="separate"/>
      </w:r>
      <w:r w:rsidR="00C52DAC">
        <w:rPr>
          <w:noProof/>
        </w:rPr>
        <w:t>3</w:t>
      </w:r>
      <w:r>
        <w:rPr>
          <w:noProof/>
        </w:rPr>
        <w:fldChar w:fldCharType="end"/>
      </w:r>
      <w:r w:rsidR="00201CE5">
        <w:t>. tabula. Sociālekonomiskās atdeves rādītāji</w:t>
      </w:r>
      <w:bookmarkEnd w:id="38"/>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4558"/>
        <w:gridCol w:w="1418"/>
      </w:tblGrid>
      <w:tr w:rsidR="00201CE5" w:rsidRPr="00D9213B" w14:paraId="0814A814" w14:textId="77777777" w:rsidTr="00F65328">
        <w:trPr>
          <w:tblHeader/>
        </w:trPr>
        <w:tc>
          <w:tcPr>
            <w:tcW w:w="682" w:type="dxa"/>
            <w:shd w:val="clear" w:color="auto" w:fill="FFFFFF"/>
            <w:vAlign w:val="center"/>
          </w:tcPr>
          <w:p w14:paraId="37DAA940" w14:textId="77777777" w:rsidR="00201CE5" w:rsidRPr="00D9213B" w:rsidRDefault="00201CE5" w:rsidP="001870F8">
            <w:pPr>
              <w:jc w:val="center"/>
              <w:rPr>
                <w:rFonts w:ascii="Garamond" w:hAnsi="Garamond"/>
                <w:b/>
              </w:rPr>
            </w:pPr>
            <w:r w:rsidRPr="00D9213B">
              <w:rPr>
                <w:rFonts w:ascii="Garamond" w:hAnsi="Garamond"/>
                <w:b/>
                <w:sz w:val="22"/>
                <w:szCs w:val="22"/>
              </w:rPr>
              <w:t>Nr.</w:t>
            </w:r>
          </w:p>
        </w:tc>
        <w:tc>
          <w:tcPr>
            <w:tcW w:w="4558" w:type="dxa"/>
            <w:shd w:val="clear" w:color="auto" w:fill="FFFFFF"/>
            <w:vAlign w:val="center"/>
          </w:tcPr>
          <w:p w14:paraId="5A9BD75D" w14:textId="77777777" w:rsidR="00201CE5" w:rsidRPr="00D9213B" w:rsidRDefault="00201CE5" w:rsidP="001870F8">
            <w:pPr>
              <w:jc w:val="center"/>
              <w:rPr>
                <w:rFonts w:ascii="Garamond" w:hAnsi="Garamond"/>
                <w:b/>
              </w:rPr>
            </w:pPr>
            <w:r w:rsidRPr="00D9213B">
              <w:rPr>
                <w:rFonts w:ascii="Garamond" w:hAnsi="Garamond"/>
                <w:b/>
                <w:sz w:val="22"/>
                <w:szCs w:val="22"/>
              </w:rPr>
              <w:t>Galvenie rādītāji</w:t>
            </w:r>
          </w:p>
        </w:tc>
        <w:tc>
          <w:tcPr>
            <w:tcW w:w="1418" w:type="dxa"/>
            <w:shd w:val="clear" w:color="auto" w:fill="FFFFFF"/>
            <w:vAlign w:val="center"/>
          </w:tcPr>
          <w:p w14:paraId="27A1DFD5" w14:textId="77777777" w:rsidR="00201CE5" w:rsidRPr="00D9213B" w:rsidRDefault="00201CE5" w:rsidP="001870F8">
            <w:pPr>
              <w:jc w:val="center"/>
              <w:rPr>
                <w:rFonts w:ascii="Garamond" w:hAnsi="Garamond"/>
                <w:b/>
              </w:rPr>
            </w:pPr>
            <w:r w:rsidRPr="00D9213B">
              <w:rPr>
                <w:rFonts w:ascii="Garamond" w:hAnsi="Garamond"/>
                <w:b/>
                <w:sz w:val="22"/>
                <w:szCs w:val="22"/>
              </w:rPr>
              <w:t>Vērtības</w:t>
            </w:r>
          </w:p>
        </w:tc>
      </w:tr>
      <w:tr w:rsidR="00670B0C" w:rsidRPr="00D9213B" w14:paraId="5D51631E" w14:textId="77777777" w:rsidTr="00F65328">
        <w:trPr>
          <w:trHeight w:val="162"/>
        </w:trPr>
        <w:tc>
          <w:tcPr>
            <w:tcW w:w="682" w:type="dxa"/>
            <w:shd w:val="clear" w:color="auto" w:fill="FFFFFF"/>
            <w:vAlign w:val="center"/>
          </w:tcPr>
          <w:p w14:paraId="1B80B580" w14:textId="77777777" w:rsidR="00670B0C" w:rsidRPr="00D9213B" w:rsidRDefault="00670B0C" w:rsidP="00670B0C">
            <w:pPr>
              <w:jc w:val="center"/>
              <w:rPr>
                <w:rFonts w:ascii="Garamond" w:hAnsi="Garamond"/>
              </w:rPr>
            </w:pPr>
            <w:r w:rsidRPr="00D9213B">
              <w:rPr>
                <w:rFonts w:ascii="Garamond" w:hAnsi="Garamond"/>
                <w:sz w:val="22"/>
                <w:szCs w:val="22"/>
              </w:rPr>
              <w:t>1</w:t>
            </w:r>
            <w:r>
              <w:rPr>
                <w:rFonts w:ascii="Garamond" w:hAnsi="Garamond"/>
                <w:sz w:val="22"/>
                <w:szCs w:val="22"/>
              </w:rPr>
              <w:t>.</w:t>
            </w:r>
          </w:p>
        </w:tc>
        <w:tc>
          <w:tcPr>
            <w:tcW w:w="4558" w:type="dxa"/>
            <w:shd w:val="clear" w:color="auto" w:fill="FFFFFF"/>
            <w:vAlign w:val="center"/>
          </w:tcPr>
          <w:p w14:paraId="33BFA5C0" w14:textId="77777777" w:rsidR="00670B0C" w:rsidRPr="00D9213B" w:rsidRDefault="00670B0C" w:rsidP="00670B0C">
            <w:pPr>
              <w:rPr>
                <w:rFonts w:ascii="Garamond" w:hAnsi="Garamond"/>
              </w:rPr>
            </w:pPr>
            <w:r w:rsidRPr="00D9213B">
              <w:rPr>
                <w:rFonts w:ascii="Garamond" w:hAnsi="Garamond"/>
                <w:sz w:val="22"/>
                <w:szCs w:val="22"/>
              </w:rPr>
              <w:t>Ekonomiskā neto pašreizējā vērtība (ENPV)</w:t>
            </w:r>
            <w:r>
              <w:rPr>
                <w:rFonts w:ascii="Garamond" w:hAnsi="Garamond"/>
                <w:sz w:val="22"/>
                <w:szCs w:val="22"/>
              </w:rPr>
              <w:t>, EUR</w:t>
            </w:r>
          </w:p>
        </w:tc>
        <w:tc>
          <w:tcPr>
            <w:tcW w:w="1418" w:type="dxa"/>
            <w:shd w:val="clear" w:color="auto" w:fill="FFFFFF"/>
          </w:tcPr>
          <w:p w14:paraId="5A467DB5" w14:textId="6F947571" w:rsidR="00670B0C" w:rsidRPr="00934D4C" w:rsidRDefault="00C41936" w:rsidP="00670B0C">
            <w:pPr>
              <w:jc w:val="right"/>
              <w:rPr>
                <w:rFonts w:ascii="Garamond" w:hAnsi="Garamond"/>
                <w:sz w:val="22"/>
                <w:szCs w:val="22"/>
              </w:rPr>
            </w:pPr>
            <w:r w:rsidRPr="00C41936">
              <w:rPr>
                <w:rFonts w:ascii="Garamond" w:hAnsi="Garamond"/>
                <w:sz w:val="22"/>
                <w:szCs w:val="22"/>
              </w:rPr>
              <w:t>1 528 085,36</w:t>
            </w:r>
          </w:p>
        </w:tc>
      </w:tr>
      <w:tr w:rsidR="00670B0C" w:rsidRPr="00D9213B" w14:paraId="1BD6D861" w14:textId="77777777" w:rsidTr="00F65328">
        <w:tc>
          <w:tcPr>
            <w:tcW w:w="682" w:type="dxa"/>
            <w:shd w:val="clear" w:color="auto" w:fill="FFFFFF"/>
            <w:vAlign w:val="center"/>
          </w:tcPr>
          <w:p w14:paraId="165451FD" w14:textId="77777777" w:rsidR="00670B0C" w:rsidRPr="00D9213B" w:rsidRDefault="00670B0C" w:rsidP="00670B0C">
            <w:pPr>
              <w:jc w:val="center"/>
              <w:rPr>
                <w:rFonts w:ascii="Garamond" w:hAnsi="Garamond"/>
              </w:rPr>
            </w:pPr>
            <w:r w:rsidRPr="00D9213B">
              <w:rPr>
                <w:rFonts w:ascii="Garamond" w:hAnsi="Garamond"/>
                <w:sz w:val="22"/>
                <w:szCs w:val="22"/>
              </w:rPr>
              <w:t>2</w:t>
            </w:r>
            <w:r>
              <w:rPr>
                <w:rFonts w:ascii="Garamond" w:hAnsi="Garamond"/>
                <w:sz w:val="22"/>
                <w:szCs w:val="22"/>
              </w:rPr>
              <w:t>.</w:t>
            </w:r>
          </w:p>
        </w:tc>
        <w:tc>
          <w:tcPr>
            <w:tcW w:w="4558" w:type="dxa"/>
            <w:shd w:val="clear" w:color="auto" w:fill="FFFFFF"/>
            <w:vAlign w:val="center"/>
          </w:tcPr>
          <w:p w14:paraId="3BDA1374" w14:textId="73480EC0" w:rsidR="00670B0C" w:rsidRPr="00D9213B" w:rsidRDefault="00670B0C" w:rsidP="00670B0C">
            <w:pPr>
              <w:rPr>
                <w:rFonts w:ascii="Garamond" w:hAnsi="Garamond"/>
              </w:rPr>
            </w:pPr>
            <w:r w:rsidRPr="00D9213B">
              <w:rPr>
                <w:rFonts w:ascii="Garamond" w:hAnsi="Garamond"/>
                <w:sz w:val="22"/>
                <w:szCs w:val="22"/>
              </w:rPr>
              <w:t xml:space="preserve">Ekonomiskā ienesīguma </w:t>
            </w:r>
            <w:r>
              <w:rPr>
                <w:rFonts w:ascii="Garamond" w:hAnsi="Garamond"/>
                <w:sz w:val="22"/>
                <w:szCs w:val="22"/>
              </w:rPr>
              <w:t>norma</w:t>
            </w:r>
            <w:r w:rsidRPr="00D9213B">
              <w:rPr>
                <w:rFonts w:ascii="Garamond" w:hAnsi="Garamond"/>
                <w:sz w:val="22"/>
                <w:szCs w:val="22"/>
              </w:rPr>
              <w:t xml:space="preserve"> (ERR)</w:t>
            </w:r>
          </w:p>
        </w:tc>
        <w:tc>
          <w:tcPr>
            <w:tcW w:w="1418" w:type="dxa"/>
            <w:shd w:val="clear" w:color="auto" w:fill="FFFFFF"/>
          </w:tcPr>
          <w:p w14:paraId="382919FD" w14:textId="420CA26D" w:rsidR="00670B0C" w:rsidRPr="00934D4C" w:rsidRDefault="00C41936" w:rsidP="00670B0C">
            <w:pPr>
              <w:jc w:val="right"/>
              <w:rPr>
                <w:rFonts w:ascii="Garamond" w:hAnsi="Garamond"/>
                <w:sz w:val="22"/>
                <w:szCs w:val="22"/>
              </w:rPr>
            </w:pPr>
            <w:r>
              <w:rPr>
                <w:rFonts w:ascii="Garamond" w:hAnsi="Garamond"/>
                <w:sz w:val="22"/>
                <w:szCs w:val="22"/>
              </w:rPr>
              <w:t>1</w:t>
            </w:r>
            <w:r w:rsidR="00670B0C" w:rsidRPr="00670B0C">
              <w:rPr>
                <w:rFonts w:ascii="Garamond" w:hAnsi="Garamond"/>
                <w:sz w:val="22"/>
                <w:szCs w:val="22"/>
              </w:rPr>
              <w:t>6,9</w:t>
            </w:r>
            <w:r>
              <w:rPr>
                <w:rFonts w:ascii="Garamond" w:hAnsi="Garamond"/>
                <w:sz w:val="22"/>
                <w:szCs w:val="22"/>
              </w:rPr>
              <w:t>7</w:t>
            </w:r>
            <w:r w:rsidR="00670B0C" w:rsidRPr="00670B0C">
              <w:rPr>
                <w:rFonts w:ascii="Garamond" w:hAnsi="Garamond"/>
                <w:sz w:val="22"/>
                <w:szCs w:val="22"/>
              </w:rPr>
              <w:t>%</w:t>
            </w:r>
          </w:p>
        </w:tc>
      </w:tr>
      <w:tr w:rsidR="00670B0C" w:rsidRPr="00D9213B" w14:paraId="22CC4E9B" w14:textId="77777777" w:rsidTr="00F65328">
        <w:tc>
          <w:tcPr>
            <w:tcW w:w="682" w:type="dxa"/>
            <w:shd w:val="clear" w:color="auto" w:fill="FFFFFF"/>
            <w:vAlign w:val="center"/>
          </w:tcPr>
          <w:p w14:paraId="1C37B012" w14:textId="77777777" w:rsidR="00670B0C" w:rsidRPr="00D9213B" w:rsidRDefault="00670B0C" w:rsidP="00670B0C">
            <w:pPr>
              <w:jc w:val="center"/>
              <w:rPr>
                <w:rFonts w:ascii="Garamond" w:hAnsi="Garamond"/>
              </w:rPr>
            </w:pPr>
            <w:r w:rsidRPr="00D9213B">
              <w:rPr>
                <w:rFonts w:ascii="Garamond" w:hAnsi="Garamond"/>
                <w:sz w:val="22"/>
                <w:szCs w:val="22"/>
              </w:rPr>
              <w:t>3</w:t>
            </w:r>
            <w:r>
              <w:rPr>
                <w:rFonts w:ascii="Garamond" w:hAnsi="Garamond"/>
                <w:sz w:val="22"/>
                <w:szCs w:val="22"/>
              </w:rPr>
              <w:t>.</w:t>
            </w:r>
          </w:p>
        </w:tc>
        <w:tc>
          <w:tcPr>
            <w:tcW w:w="4558" w:type="dxa"/>
            <w:shd w:val="clear" w:color="auto" w:fill="FFFFFF"/>
            <w:vAlign w:val="center"/>
          </w:tcPr>
          <w:p w14:paraId="1F6A6A2C" w14:textId="77777777" w:rsidR="00670B0C" w:rsidRPr="00D9213B" w:rsidRDefault="00670B0C" w:rsidP="00670B0C">
            <w:pPr>
              <w:rPr>
                <w:rFonts w:ascii="Garamond" w:hAnsi="Garamond"/>
              </w:rPr>
            </w:pPr>
            <w:r w:rsidRPr="00D9213B">
              <w:rPr>
                <w:rFonts w:ascii="Garamond" w:hAnsi="Garamond"/>
                <w:sz w:val="22"/>
                <w:szCs w:val="22"/>
              </w:rPr>
              <w:t>Ieguvumu un izmaksu attiecība (B/C)</w:t>
            </w:r>
          </w:p>
        </w:tc>
        <w:tc>
          <w:tcPr>
            <w:tcW w:w="1418" w:type="dxa"/>
            <w:shd w:val="clear" w:color="auto" w:fill="FFFFFF"/>
          </w:tcPr>
          <w:p w14:paraId="5077E656" w14:textId="6A8494EC" w:rsidR="00670B0C" w:rsidRPr="00934D4C" w:rsidRDefault="00670B0C" w:rsidP="00670B0C">
            <w:pPr>
              <w:jc w:val="right"/>
              <w:rPr>
                <w:rFonts w:ascii="Garamond" w:hAnsi="Garamond"/>
                <w:sz w:val="22"/>
                <w:szCs w:val="22"/>
              </w:rPr>
            </w:pPr>
            <w:r w:rsidRPr="00670B0C">
              <w:rPr>
                <w:rFonts w:ascii="Garamond" w:hAnsi="Garamond"/>
                <w:sz w:val="22"/>
                <w:szCs w:val="22"/>
              </w:rPr>
              <w:t>1,</w:t>
            </w:r>
            <w:r w:rsidR="00C41936">
              <w:rPr>
                <w:rFonts w:ascii="Garamond" w:hAnsi="Garamond"/>
                <w:sz w:val="22"/>
                <w:szCs w:val="22"/>
              </w:rPr>
              <w:t>95</w:t>
            </w:r>
          </w:p>
        </w:tc>
      </w:tr>
    </w:tbl>
    <w:p w14:paraId="5883BB1A" w14:textId="77777777" w:rsidR="00DC11F6" w:rsidRDefault="00DC11F6" w:rsidP="001870F8">
      <w:pPr>
        <w:pStyle w:val="GaramondTeksts"/>
        <w:spacing w:after="120" w:line="240" w:lineRule="auto"/>
      </w:pPr>
    </w:p>
    <w:p w14:paraId="12F0503A" w14:textId="77777777" w:rsidR="00201CE5" w:rsidRDefault="00CD7910" w:rsidP="00461BE9">
      <w:pPr>
        <w:pStyle w:val="StyleGaramondTekstsJustifiedAfter6ptLinespacingsin"/>
      </w:pPr>
      <w:r>
        <w:t>P</w:t>
      </w:r>
      <w:r w:rsidR="00201CE5" w:rsidRPr="00D9213B">
        <w:t>rojekta ekonomiskās atdeves rādītāji ir pozitīvi</w:t>
      </w:r>
      <w:r w:rsidR="00201CE5">
        <w:t>:</w:t>
      </w:r>
    </w:p>
    <w:p w14:paraId="2842723A" w14:textId="77777777" w:rsidR="00201CE5" w:rsidRDefault="00201CE5" w:rsidP="006620C3">
      <w:pPr>
        <w:pStyle w:val="GaramondTeksts"/>
        <w:numPr>
          <w:ilvl w:val="0"/>
          <w:numId w:val="6"/>
        </w:numPr>
        <w:spacing w:after="0" w:line="240" w:lineRule="auto"/>
        <w:jc w:val="both"/>
      </w:pPr>
      <w:r w:rsidRPr="00D9213B">
        <w:t>ENPV</w:t>
      </w:r>
      <w:r>
        <w:t xml:space="preserve"> rādītājs ir lielāks par nulli;</w:t>
      </w:r>
    </w:p>
    <w:p w14:paraId="1824D48B" w14:textId="77777777" w:rsidR="00201CE5" w:rsidRDefault="00201CE5" w:rsidP="006620C3">
      <w:pPr>
        <w:pStyle w:val="GaramondTeksts"/>
        <w:numPr>
          <w:ilvl w:val="0"/>
          <w:numId w:val="6"/>
        </w:numPr>
        <w:spacing w:after="0" w:line="240" w:lineRule="auto"/>
        <w:jc w:val="both"/>
      </w:pPr>
      <w:r w:rsidRPr="00D9213B">
        <w:t xml:space="preserve">ERR </w:t>
      </w:r>
      <w:r>
        <w:t>rādītājs pārsniedz analīzē izmantoto sociālo diskonta likmi</w:t>
      </w:r>
      <w:r w:rsidRPr="00D9213B">
        <w:t xml:space="preserve"> </w:t>
      </w:r>
      <w:r>
        <w:t>(</w:t>
      </w:r>
      <w:r w:rsidRPr="00D9213B">
        <w:t>5</w:t>
      </w:r>
      <w:r w:rsidR="00F21953">
        <w:t>,0</w:t>
      </w:r>
      <w:r w:rsidRPr="00D9213B">
        <w:t>%</w:t>
      </w:r>
      <w:r>
        <w:t>);</w:t>
      </w:r>
    </w:p>
    <w:p w14:paraId="57FA982F" w14:textId="70583C79" w:rsidR="00201CE5" w:rsidRDefault="00201CE5" w:rsidP="006620C3">
      <w:pPr>
        <w:pStyle w:val="GaramondTeksts"/>
        <w:numPr>
          <w:ilvl w:val="0"/>
          <w:numId w:val="6"/>
        </w:numPr>
        <w:spacing w:after="0" w:line="240" w:lineRule="auto"/>
        <w:jc w:val="both"/>
      </w:pPr>
      <w:r w:rsidRPr="00D9213B">
        <w:t>B/C</w:t>
      </w:r>
      <w:r>
        <w:t xml:space="preserve"> rādītājs ir lielāks par vienu</w:t>
      </w:r>
      <w:r w:rsidRPr="00D9213B">
        <w:t>,</w:t>
      </w:r>
    </w:p>
    <w:p w14:paraId="0414E745" w14:textId="77777777" w:rsidR="00AB4C92" w:rsidRDefault="00AB4C92" w:rsidP="00AB4C92">
      <w:pPr>
        <w:pStyle w:val="GaramondTeksts"/>
        <w:spacing w:after="0" w:line="240" w:lineRule="auto"/>
        <w:ind w:left="761"/>
        <w:jc w:val="both"/>
      </w:pPr>
    </w:p>
    <w:p w14:paraId="43AD2C0D" w14:textId="77777777" w:rsidR="00201CE5" w:rsidRPr="00D9213B" w:rsidRDefault="00201CE5" w:rsidP="001870F8">
      <w:pPr>
        <w:pStyle w:val="GaramondTeksts"/>
        <w:spacing w:after="120" w:line="240" w:lineRule="auto"/>
        <w:ind w:left="41"/>
        <w:jc w:val="both"/>
      </w:pPr>
      <w:r w:rsidRPr="00D9213B">
        <w:t xml:space="preserve">tātad </w:t>
      </w:r>
      <w:r w:rsidR="00F21953" w:rsidRPr="00F21953">
        <w:rPr>
          <w:b/>
        </w:rPr>
        <w:t>P</w:t>
      </w:r>
      <w:r w:rsidRPr="000F0721">
        <w:rPr>
          <w:b/>
        </w:rPr>
        <w:t xml:space="preserve">rojekta ekonomiskie ieguvumi pārsniedz tā izmaksas un </w:t>
      </w:r>
      <w:r w:rsidR="00F21953">
        <w:rPr>
          <w:b/>
        </w:rPr>
        <w:t>P</w:t>
      </w:r>
      <w:r w:rsidRPr="000F0721">
        <w:rPr>
          <w:b/>
        </w:rPr>
        <w:t>rojekta īstenošana ir sabiedrībai izdevīga</w:t>
      </w:r>
      <w:r w:rsidRPr="00D9213B">
        <w:t>.</w:t>
      </w:r>
    </w:p>
    <w:p w14:paraId="657FB48E" w14:textId="77777777" w:rsidR="00201CE5" w:rsidRPr="00ED2E8D" w:rsidRDefault="00201CE5" w:rsidP="00001F09">
      <w:pPr>
        <w:pStyle w:val="Heading2"/>
      </w:pPr>
      <w:bookmarkStart w:id="39" w:name="_Ref185003032"/>
      <w:bookmarkStart w:id="40" w:name="_Toc190169670"/>
      <w:r w:rsidRPr="00ED2E8D">
        <w:t>Jutīguma un risku analīze</w:t>
      </w:r>
      <w:bookmarkEnd w:id="39"/>
      <w:bookmarkEnd w:id="40"/>
    </w:p>
    <w:p w14:paraId="6F3E9083" w14:textId="77777777" w:rsidR="00201CE5" w:rsidRPr="008E7F73" w:rsidRDefault="00201CE5" w:rsidP="00001F09">
      <w:pPr>
        <w:pStyle w:val="Heading3"/>
        <w:numPr>
          <w:ilvl w:val="2"/>
          <w:numId w:val="4"/>
        </w:numPr>
        <w:spacing w:before="240" w:after="120"/>
      </w:pPr>
      <w:r w:rsidRPr="008E7F73">
        <w:t>J</w:t>
      </w:r>
      <w:r>
        <w:t>u</w:t>
      </w:r>
      <w:r w:rsidRPr="008E7F73">
        <w:t>tīguma analīze</w:t>
      </w:r>
    </w:p>
    <w:p w14:paraId="4E3AE521" w14:textId="3D9C119D" w:rsidR="00201CE5" w:rsidRDefault="00201CE5" w:rsidP="00461BE9">
      <w:pPr>
        <w:pStyle w:val="StyleGaramondTekstsJustifiedAfter6ptLinespacingsin"/>
      </w:pPr>
      <w:r>
        <w:t>Jutīguma analīzes mērķis ir novērtēt dažādu projekta faktoru izmaiņu ietekmi uz projekta galvenajiem</w:t>
      </w:r>
      <w:r w:rsidR="00DF1D4B">
        <w:t xml:space="preserve"> finanšu un</w:t>
      </w:r>
      <w:r>
        <w:t xml:space="preserve"> ekonomiskās atdeves rādītājiem. </w:t>
      </w:r>
    </w:p>
    <w:p w14:paraId="4475006D" w14:textId="040CDB5C" w:rsidR="00201CE5" w:rsidRDefault="00201CE5" w:rsidP="00461BE9">
      <w:pPr>
        <w:pStyle w:val="StyleGaramondTekstsJustifiedAfter6ptLinespacingsin"/>
      </w:pPr>
      <w:r>
        <w:t>Saskaņā ar EK vadlīnij</w:t>
      </w:r>
      <w:r w:rsidR="00AF0BA1">
        <w:t>ām</w:t>
      </w:r>
      <w:r>
        <w:t xml:space="preserve">, par kritisko mainīgo tiek uzskatīts tāds, kura izmaiņas par 1% izraisa NPV </w:t>
      </w:r>
      <w:r w:rsidR="00094420">
        <w:t>rādītāja</w:t>
      </w:r>
      <w:r>
        <w:t xml:space="preserve"> izmaiņas par vairāk kā 1%. Zemāk esošajā tabulā ir uzskaitīti galvenie mainīgie</w:t>
      </w:r>
      <w:r w:rsidR="00BA48D3">
        <w:t xml:space="preserve"> </w:t>
      </w:r>
      <w:r>
        <w:t>un noteikta to ietekme uz rezultātu (novirze no bāzes vērtības). Katra mainīgā ietekme tiek noteikta</w:t>
      </w:r>
      <w:r w:rsidR="002603A1">
        <w:t>,</w:t>
      </w:r>
      <w:r>
        <w:t xml:space="preserve"> izmainot tā vērtību par norādīto procentuālo apjomu, atstājot pārējos mainīgos nemainīgus.</w:t>
      </w:r>
    </w:p>
    <w:p w14:paraId="579E1C7B" w14:textId="4EE988A4" w:rsidR="00201CE5" w:rsidRDefault="00D4727A" w:rsidP="00EB0528">
      <w:pPr>
        <w:pStyle w:val="Tabulasvirsraksts"/>
      </w:pPr>
      <w:r>
        <w:rPr>
          <w:noProof/>
        </w:rPr>
        <w:lastRenderedPageBreak/>
        <w:fldChar w:fldCharType="begin"/>
      </w:r>
      <w:r>
        <w:rPr>
          <w:noProof/>
        </w:rPr>
        <w:instrText xml:space="preserve"> STYLEREF 1 \s </w:instrText>
      </w:r>
      <w:r>
        <w:rPr>
          <w:noProof/>
        </w:rPr>
        <w:fldChar w:fldCharType="separate"/>
      </w:r>
      <w:bookmarkStart w:id="41" w:name="_Toc190169674"/>
      <w:r w:rsidR="00C52DAC">
        <w:rPr>
          <w:noProof/>
        </w:rPr>
        <w:t>3</w:t>
      </w:r>
      <w:r>
        <w:rPr>
          <w:noProof/>
        </w:rPr>
        <w:fldChar w:fldCharType="end"/>
      </w:r>
      <w:r>
        <w:rPr>
          <w:noProof/>
        </w:rPr>
        <w:noBreakHyphen/>
      </w:r>
      <w:r>
        <w:rPr>
          <w:noProof/>
        </w:rPr>
        <w:fldChar w:fldCharType="begin"/>
      </w:r>
      <w:r>
        <w:rPr>
          <w:noProof/>
        </w:rPr>
        <w:instrText xml:space="preserve"> SEQ Tabula \* ARABIC \s 1 </w:instrText>
      </w:r>
      <w:r>
        <w:rPr>
          <w:noProof/>
        </w:rPr>
        <w:fldChar w:fldCharType="separate"/>
      </w:r>
      <w:r w:rsidR="00C52DAC">
        <w:rPr>
          <w:noProof/>
        </w:rPr>
        <w:t>4</w:t>
      </w:r>
      <w:r>
        <w:rPr>
          <w:noProof/>
        </w:rPr>
        <w:fldChar w:fldCharType="end"/>
      </w:r>
      <w:r w:rsidR="00201CE5">
        <w:t>. tabula. Kritisko mainīgo noteikšana</w:t>
      </w:r>
      <w:bookmarkEnd w:id="41"/>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2"/>
        <w:gridCol w:w="1509"/>
        <w:gridCol w:w="1639"/>
        <w:gridCol w:w="1639"/>
      </w:tblGrid>
      <w:tr w:rsidR="00936C35" w:rsidRPr="00BC49E9" w14:paraId="46B4175E" w14:textId="42E84F50" w:rsidTr="00936C35">
        <w:trPr>
          <w:trHeight w:val="689"/>
          <w:tblHeader/>
        </w:trPr>
        <w:tc>
          <w:tcPr>
            <w:tcW w:w="2123" w:type="pct"/>
            <w:shd w:val="clear" w:color="auto" w:fill="FFFFFF"/>
            <w:vAlign w:val="center"/>
          </w:tcPr>
          <w:p w14:paraId="67B76E14" w14:textId="35ED3C9C" w:rsidR="00936C35" w:rsidRPr="00BC49E9" w:rsidRDefault="00936C35" w:rsidP="00936C35">
            <w:pPr>
              <w:jc w:val="center"/>
              <w:rPr>
                <w:rFonts w:ascii="Garamond" w:hAnsi="Garamond"/>
                <w:b/>
              </w:rPr>
            </w:pPr>
            <w:r w:rsidRPr="00BC49E9">
              <w:rPr>
                <w:rFonts w:ascii="Garamond" w:hAnsi="Garamond"/>
                <w:b/>
                <w:sz w:val="22"/>
                <w:szCs w:val="22"/>
              </w:rPr>
              <w:t>Pārbaudītais mainīgais (norādītas pielietotās procentuālās izmaiņas)</w:t>
            </w:r>
          </w:p>
        </w:tc>
        <w:tc>
          <w:tcPr>
            <w:tcW w:w="907" w:type="pct"/>
            <w:shd w:val="clear" w:color="auto" w:fill="FFFFFF"/>
            <w:vAlign w:val="center"/>
          </w:tcPr>
          <w:p w14:paraId="0306D57A" w14:textId="032E8375" w:rsidR="00936C35" w:rsidRPr="00BC49E9" w:rsidRDefault="00936C35" w:rsidP="00936C35">
            <w:pPr>
              <w:ind w:left="-108" w:right="-108"/>
              <w:jc w:val="center"/>
              <w:rPr>
                <w:rFonts w:ascii="Garamond" w:hAnsi="Garamond"/>
                <w:b/>
              </w:rPr>
            </w:pPr>
            <w:r w:rsidRPr="00BC49E9">
              <w:rPr>
                <w:rFonts w:ascii="Garamond" w:hAnsi="Garamond"/>
                <w:b/>
                <w:sz w:val="22"/>
                <w:szCs w:val="22"/>
              </w:rPr>
              <w:t xml:space="preserve"> </w:t>
            </w:r>
            <w:r>
              <w:rPr>
                <w:rFonts w:ascii="Garamond" w:hAnsi="Garamond"/>
                <w:b/>
                <w:sz w:val="22"/>
                <w:szCs w:val="22"/>
              </w:rPr>
              <w:t>F</w:t>
            </w:r>
            <w:r w:rsidRPr="00BC49E9">
              <w:rPr>
                <w:rFonts w:ascii="Garamond" w:hAnsi="Garamond"/>
                <w:b/>
                <w:sz w:val="22"/>
                <w:szCs w:val="22"/>
              </w:rPr>
              <w:t>NPV</w:t>
            </w:r>
            <w:r>
              <w:rPr>
                <w:rFonts w:ascii="Garamond" w:hAnsi="Garamond"/>
                <w:b/>
                <w:sz w:val="22"/>
                <w:szCs w:val="22"/>
              </w:rPr>
              <w:t>k, EUR</w:t>
            </w:r>
            <w:r w:rsidRPr="00BC49E9">
              <w:rPr>
                <w:rFonts w:ascii="Garamond" w:hAnsi="Garamond"/>
                <w:b/>
                <w:sz w:val="22"/>
                <w:szCs w:val="22"/>
              </w:rPr>
              <w:t xml:space="preserve"> (novirze,%)</w:t>
            </w:r>
          </w:p>
        </w:tc>
        <w:tc>
          <w:tcPr>
            <w:tcW w:w="985" w:type="pct"/>
            <w:shd w:val="clear" w:color="auto" w:fill="FFFFFF"/>
            <w:vAlign w:val="center"/>
          </w:tcPr>
          <w:p w14:paraId="0DDB0EAE" w14:textId="2A75C4E5" w:rsidR="00936C35" w:rsidRDefault="00936C35" w:rsidP="00936C35">
            <w:pPr>
              <w:ind w:left="-108" w:right="-108"/>
              <w:jc w:val="center"/>
              <w:rPr>
                <w:rFonts w:ascii="Garamond" w:hAnsi="Garamond"/>
                <w:b/>
                <w:sz w:val="22"/>
                <w:szCs w:val="22"/>
              </w:rPr>
            </w:pPr>
            <w:r>
              <w:rPr>
                <w:rFonts w:ascii="Garamond" w:hAnsi="Garamond"/>
                <w:b/>
                <w:sz w:val="22"/>
                <w:szCs w:val="22"/>
              </w:rPr>
              <w:t>FNPVc, EUR (novirze, %)</w:t>
            </w:r>
          </w:p>
        </w:tc>
        <w:tc>
          <w:tcPr>
            <w:tcW w:w="985" w:type="pct"/>
            <w:shd w:val="clear" w:color="auto" w:fill="FFFFFF"/>
            <w:vAlign w:val="center"/>
          </w:tcPr>
          <w:p w14:paraId="5107411B" w14:textId="6334E252" w:rsidR="00936C35" w:rsidRDefault="00936C35" w:rsidP="00936C35">
            <w:pPr>
              <w:ind w:left="-108" w:right="-108"/>
              <w:jc w:val="center"/>
              <w:rPr>
                <w:rFonts w:ascii="Garamond" w:hAnsi="Garamond"/>
                <w:b/>
                <w:sz w:val="22"/>
                <w:szCs w:val="22"/>
              </w:rPr>
            </w:pPr>
            <w:r w:rsidRPr="00BC49E9">
              <w:rPr>
                <w:rFonts w:ascii="Garamond" w:hAnsi="Garamond"/>
                <w:b/>
                <w:sz w:val="22"/>
                <w:szCs w:val="22"/>
              </w:rPr>
              <w:t xml:space="preserve"> ENPV</w:t>
            </w:r>
            <w:r>
              <w:rPr>
                <w:rFonts w:ascii="Garamond" w:hAnsi="Garamond"/>
                <w:b/>
                <w:sz w:val="22"/>
                <w:szCs w:val="22"/>
              </w:rPr>
              <w:t>, EUR</w:t>
            </w:r>
            <w:r w:rsidRPr="00BC49E9">
              <w:rPr>
                <w:rFonts w:ascii="Garamond" w:hAnsi="Garamond"/>
                <w:b/>
                <w:sz w:val="22"/>
                <w:szCs w:val="22"/>
              </w:rPr>
              <w:t xml:space="preserve"> (novirze,%)</w:t>
            </w:r>
          </w:p>
        </w:tc>
      </w:tr>
      <w:tr w:rsidR="00936C35" w:rsidRPr="00BC49E9" w14:paraId="42EF557F" w14:textId="1E7E76EC" w:rsidTr="00936C35">
        <w:tc>
          <w:tcPr>
            <w:tcW w:w="2123" w:type="pct"/>
            <w:shd w:val="clear" w:color="auto" w:fill="FFFFFF"/>
            <w:vAlign w:val="center"/>
          </w:tcPr>
          <w:p w14:paraId="05F13B68" w14:textId="77777777" w:rsidR="00936C35" w:rsidRDefault="00936C35" w:rsidP="00936C35">
            <w:pPr>
              <w:rPr>
                <w:rFonts w:ascii="Garamond" w:hAnsi="Garamond"/>
              </w:rPr>
            </w:pPr>
            <w:r>
              <w:rPr>
                <w:rFonts w:ascii="Garamond" w:hAnsi="Garamond"/>
                <w:sz w:val="22"/>
                <w:szCs w:val="22"/>
              </w:rPr>
              <w:t>Bāzes vērtības</w:t>
            </w:r>
          </w:p>
        </w:tc>
        <w:tc>
          <w:tcPr>
            <w:tcW w:w="907" w:type="pct"/>
            <w:shd w:val="clear" w:color="auto" w:fill="FFFFFF"/>
            <w:vAlign w:val="center"/>
          </w:tcPr>
          <w:p w14:paraId="1280B87C" w14:textId="783410B4" w:rsidR="00936C35" w:rsidRPr="00AF0BA1" w:rsidRDefault="00856156" w:rsidP="00936C35">
            <w:pPr>
              <w:jc w:val="right"/>
              <w:rPr>
                <w:rFonts w:ascii="Garamond" w:hAnsi="Garamond"/>
                <w:sz w:val="22"/>
                <w:szCs w:val="22"/>
              </w:rPr>
            </w:pPr>
            <w:r w:rsidRPr="00856156">
              <w:rPr>
                <w:rFonts w:ascii="Garamond" w:hAnsi="Garamond"/>
                <w:sz w:val="22"/>
                <w:szCs w:val="22"/>
              </w:rPr>
              <w:t>-355 301,89</w:t>
            </w:r>
          </w:p>
        </w:tc>
        <w:tc>
          <w:tcPr>
            <w:tcW w:w="985" w:type="pct"/>
            <w:shd w:val="clear" w:color="auto" w:fill="FFFFFF"/>
          </w:tcPr>
          <w:p w14:paraId="465F78D3" w14:textId="63D31E58" w:rsidR="00936C35" w:rsidRPr="00934D4C" w:rsidRDefault="00856156" w:rsidP="00936C35">
            <w:pPr>
              <w:jc w:val="right"/>
              <w:rPr>
                <w:rFonts w:ascii="Garamond" w:hAnsi="Garamond"/>
                <w:sz w:val="22"/>
              </w:rPr>
            </w:pPr>
            <w:r w:rsidRPr="00856156">
              <w:rPr>
                <w:rFonts w:ascii="Garamond" w:hAnsi="Garamond"/>
                <w:sz w:val="22"/>
              </w:rPr>
              <w:t>-2 368 679,28</w:t>
            </w:r>
          </w:p>
        </w:tc>
        <w:tc>
          <w:tcPr>
            <w:tcW w:w="985" w:type="pct"/>
            <w:shd w:val="clear" w:color="auto" w:fill="FFFFFF"/>
            <w:vAlign w:val="center"/>
          </w:tcPr>
          <w:p w14:paraId="6E73E3C1" w14:textId="19E828C6" w:rsidR="00936C35" w:rsidRPr="00934D4C" w:rsidRDefault="00856156" w:rsidP="00936C35">
            <w:pPr>
              <w:jc w:val="right"/>
              <w:rPr>
                <w:rFonts w:ascii="Garamond" w:hAnsi="Garamond"/>
                <w:sz w:val="22"/>
              </w:rPr>
            </w:pPr>
            <w:r w:rsidRPr="00856156">
              <w:rPr>
                <w:rFonts w:ascii="Garamond" w:hAnsi="Garamond"/>
                <w:sz w:val="22"/>
              </w:rPr>
              <w:t>1 528 085,36</w:t>
            </w:r>
          </w:p>
        </w:tc>
      </w:tr>
      <w:tr w:rsidR="00936C35" w:rsidRPr="00BC49E9" w14:paraId="4AC5B31E" w14:textId="25E34F5D" w:rsidTr="00F72BA7">
        <w:tc>
          <w:tcPr>
            <w:tcW w:w="2123" w:type="pct"/>
            <w:shd w:val="clear" w:color="auto" w:fill="FFFFFF"/>
            <w:vAlign w:val="center"/>
          </w:tcPr>
          <w:p w14:paraId="62EFFEC2" w14:textId="77777777" w:rsidR="00936C35" w:rsidRPr="00BC49E9" w:rsidRDefault="00936C35" w:rsidP="00936C35">
            <w:pPr>
              <w:rPr>
                <w:rFonts w:ascii="Garamond" w:hAnsi="Garamond"/>
              </w:rPr>
            </w:pPr>
            <w:r w:rsidRPr="00BC49E9">
              <w:rPr>
                <w:rFonts w:ascii="Garamond" w:hAnsi="Garamond"/>
                <w:sz w:val="22"/>
                <w:szCs w:val="22"/>
              </w:rPr>
              <w:t>Investīciju izmaksas (+1%)</w:t>
            </w:r>
          </w:p>
        </w:tc>
        <w:tc>
          <w:tcPr>
            <w:tcW w:w="907" w:type="pct"/>
            <w:shd w:val="clear" w:color="auto" w:fill="FFFFFF"/>
          </w:tcPr>
          <w:p w14:paraId="4471609D" w14:textId="751EF96A" w:rsidR="00936C35" w:rsidRDefault="00856156" w:rsidP="00936C35">
            <w:pPr>
              <w:jc w:val="right"/>
              <w:rPr>
                <w:rFonts w:ascii="Garamond" w:hAnsi="Garamond"/>
                <w:sz w:val="22"/>
                <w:szCs w:val="22"/>
              </w:rPr>
            </w:pPr>
            <w:r w:rsidRPr="00856156">
              <w:rPr>
                <w:rFonts w:ascii="Garamond" w:hAnsi="Garamond"/>
                <w:sz w:val="22"/>
                <w:szCs w:val="22"/>
              </w:rPr>
              <w:t>-358</w:t>
            </w:r>
            <w:r>
              <w:rPr>
                <w:rFonts w:ascii="Garamond" w:hAnsi="Garamond"/>
                <w:sz w:val="22"/>
                <w:szCs w:val="22"/>
              </w:rPr>
              <w:t xml:space="preserve"> </w:t>
            </w:r>
            <w:r w:rsidRPr="00856156">
              <w:rPr>
                <w:rFonts w:ascii="Garamond" w:hAnsi="Garamond"/>
                <w:sz w:val="22"/>
                <w:szCs w:val="22"/>
              </w:rPr>
              <w:t>854,91</w:t>
            </w:r>
          </w:p>
          <w:p w14:paraId="14DF561B" w14:textId="7C8E2B45" w:rsidR="00936C35" w:rsidRPr="00936C35" w:rsidRDefault="00936C35" w:rsidP="00936C35">
            <w:pPr>
              <w:jc w:val="right"/>
              <w:rPr>
                <w:rFonts w:ascii="Garamond" w:hAnsi="Garamond"/>
                <w:sz w:val="22"/>
                <w:szCs w:val="22"/>
              </w:rPr>
            </w:pPr>
            <w:r>
              <w:rPr>
                <w:rFonts w:ascii="Garamond" w:hAnsi="Garamond"/>
                <w:sz w:val="22"/>
                <w:szCs w:val="22"/>
              </w:rPr>
              <w:t>(-</w:t>
            </w:r>
            <w:r w:rsidR="00856156">
              <w:rPr>
                <w:rFonts w:ascii="Garamond" w:hAnsi="Garamond"/>
                <w:sz w:val="22"/>
                <w:szCs w:val="22"/>
              </w:rPr>
              <w:t>1</w:t>
            </w:r>
            <w:r>
              <w:rPr>
                <w:rFonts w:ascii="Garamond" w:hAnsi="Garamond"/>
                <w:sz w:val="22"/>
                <w:szCs w:val="22"/>
              </w:rPr>
              <w:t>,</w:t>
            </w:r>
            <w:r w:rsidR="00856156">
              <w:rPr>
                <w:rFonts w:ascii="Garamond" w:hAnsi="Garamond"/>
                <w:sz w:val="22"/>
                <w:szCs w:val="22"/>
              </w:rPr>
              <w:t>00</w:t>
            </w:r>
            <w:r>
              <w:rPr>
                <w:rFonts w:ascii="Garamond" w:hAnsi="Garamond"/>
                <w:sz w:val="22"/>
                <w:szCs w:val="22"/>
              </w:rPr>
              <w:t>%)</w:t>
            </w:r>
          </w:p>
        </w:tc>
        <w:tc>
          <w:tcPr>
            <w:tcW w:w="985" w:type="pct"/>
            <w:shd w:val="clear" w:color="auto" w:fill="FFFFFF"/>
          </w:tcPr>
          <w:p w14:paraId="644E22A9" w14:textId="28526E0A" w:rsidR="006E2D02" w:rsidRDefault="00856156" w:rsidP="00936C35">
            <w:pPr>
              <w:jc w:val="right"/>
              <w:rPr>
                <w:rFonts w:ascii="Garamond" w:hAnsi="Garamond"/>
                <w:sz w:val="22"/>
                <w:szCs w:val="22"/>
              </w:rPr>
            </w:pPr>
            <w:r w:rsidRPr="00856156">
              <w:rPr>
                <w:rFonts w:ascii="Garamond" w:hAnsi="Garamond"/>
                <w:sz w:val="22"/>
                <w:szCs w:val="22"/>
              </w:rPr>
              <w:t>-2</w:t>
            </w:r>
            <w:r>
              <w:rPr>
                <w:rFonts w:ascii="Garamond" w:hAnsi="Garamond"/>
                <w:sz w:val="22"/>
                <w:szCs w:val="22"/>
              </w:rPr>
              <w:t xml:space="preserve"> </w:t>
            </w:r>
            <w:r w:rsidRPr="00856156">
              <w:rPr>
                <w:rFonts w:ascii="Garamond" w:hAnsi="Garamond"/>
                <w:sz w:val="22"/>
                <w:szCs w:val="22"/>
              </w:rPr>
              <w:t>392</w:t>
            </w:r>
            <w:r>
              <w:rPr>
                <w:rFonts w:ascii="Garamond" w:hAnsi="Garamond"/>
                <w:sz w:val="22"/>
                <w:szCs w:val="22"/>
              </w:rPr>
              <w:t xml:space="preserve"> </w:t>
            </w:r>
            <w:r w:rsidRPr="00856156">
              <w:rPr>
                <w:rFonts w:ascii="Garamond" w:hAnsi="Garamond"/>
                <w:sz w:val="22"/>
                <w:szCs w:val="22"/>
              </w:rPr>
              <w:t>366,0</w:t>
            </w:r>
            <w:r>
              <w:rPr>
                <w:rFonts w:ascii="Garamond" w:hAnsi="Garamond"/>
                <w:sz w:val="22"/>
                <w:szCs w:val="22"/>
              </w:rPr>
              <w:t>8</w:t>
            </w:r>
          </w:p>
          <w:p w14:paraId="58B8A28A" w14:textId="2AC84ECF" w:rsidR="00936C35" w:rsidRPr="00F97CB7" w:rsidRDefault="00936C35" w:rsidP="00936C35">
            <w:pPr>
              <w:jc w:val="right"/>
              <w:rPr>
                <w:rFonts w:ascii="Garamond" w:hAnsi="Garamond"/>
                <w:sz w:val="22"/>
                <w:szCs w:val="22"/>
              </w:rPr>
            </w:pPr>
            <w:r>
              <w:rPr>
                <w:rFonts w:ascii="Garamond" w:hAnsi="Garamond"/>
                <w:sz w:val="22"/>
                <w:szCs w:val="22"/>
              </w:rPr>
              <w:t>(</w:t>
            </w:r>
            <w:r w:rsidR="006E2D02">
              <w:rPr>
                <w:rFonts w:ascii="Garamond" w:hAnsi="Garamond"/>
                <w:sz w:val="22"/>
                <w:szCs w:val="22"/>
              </w:rPr>
              <w:t>-</w:t>
            </w:r>
            <w:r w:rsidR="00856156">
              <w:rPr>
                <w:rFonts w:ascii="Garamond" w:hAnsi="Garamond"/>
                <w:sz w:val="22"/>
                <w:szCs w:val="22"/>
              </w:rPr>
              <w:t>1</w:t>
            </w:r>
            <w:r w:rsidR="006E2D02">
              <w:rPr>
                <w:rFonts w:ascii="Garamond" w:hAnsi="Garamond"/>
                <w:sz w:val="22"/>
                <w:szCs w:val="22"/>
              </w:rPr>
              <w:t>,</w:t>
            </w:r>
            <w:r w:rsidR="00856156">
              <w:rPr>
                <w:rFonts w:ascii="Garamond" w:hAnsi="Garamond"/>
                <w:sz w:val="22"/>
                <w:szCs w:val="22"/>
              </w:rPr>
              <w:t>0</w:t>
            </w:r>
            <w:r w:rsidR="006E2D02">
              <w:rPr>
                <w:rFonts w:ascii="Garamond" w:hAnsi="Garamond"/>
                <w:sz w:val="22"/>
                <w:szCs w:val="22"/>
              </w:rPr>
              <w:t>0</w:t>
            </w:r>
            <w:r w:rsidRPr="00936C35">
              <w:rPr>
                <w:rFonts w:ascii="Garamond" w:hAnsi="Garamond"/>
                <w:b/>
                <w:bCs/>
                <w:sz w:val="22"/>
                <w:szCs w:val="22"/>
              </w:rPr>
              <w:t>%</w:t>
            </w:r>
            <w:r>
              <w:rPr>
                <w:rFonts w:ascii="Garamond" w:hAnsi="Garamond"/>
                <w:sz w:val="22"/>
                <w:szCs w:val="22"/>
              </w:rPr>
              <w:t>)</w:t>
            </w:r>
          </w:p>
        </w:tc>
        <w:tc>
          <w:tcPr>
            <w:tcW w:w="985" w:type="pct"/>
            <w:shd w:val="clear" w:color="auto" w:fill="FFFFFF"/>
          </w:tcPr>
          <w:p w14:paraId="22765843" w14:textId="15650A48" w:rsidR="00936C35" w:rsidRDefault="00856156" w:rsidP="00936C35">
            <w:pPr>
              <w:jc w:val="right"/>
              <w:rPr>
                <w:rFonts w:ascii="Garamond" w:hAnsi="Garamond"/>
                <w:sz w:val="22"/>
                <w:szCs w:val="22"/>
              </w:rPr>
            </w:pPr>
            <w:r w:rsidRPr="00856156">
              <w:rPr>
                <w:rFonts w:ascii="Garamond" w:hAnsi="Garamond"/>
                <w:sz w:val="22"/>
                <w:szCs w:val="22"/>
              </w:rPr>
              <w:t>1</w:t>
            </w:r>
            <w:r>
              <w:rPr>
                <w:rFonts w:ascii="Garamond" w:hAnsi="Garamond"/>
                <w:sz w:val="22"/>
                <w:szCs w:val="22"/>
              </w:rPr>
              <w:t xml:space="preserve"> </w:t>
            </w:r>
            <w:r w:rsidRPr="00856156">
              <w:rPr>
                <w:rFonts w:ascii="Garamond" w:hAnsi="Garamond"/>
                <w:sz w:val="22"/>
                <w:szCs w:val="22"/>
              </w:rPr>
              <w:t>504</w:t>
            </w:r>
            <w:r>
              <w:rPr>
                <w:rFonts w:ascii="Garamond" w:hAnsi="Garamond"/>
                <w:sz w:val="22"/>
                <w:szCs w:val="22"/>
              </w:rPr>
              <w:t xml:space="preserve"> </w:t>
            </w:r>
            <w:r w:rsidRPr="00856156">
              <w:rPr>
                <w:rFonts w:ascii="Garamond" w:hAnsi="Garamond"/>
                <w:sz w:val="22"/>
                <w:szCs w:val="22"/>
              </w:rPr>
              <w:t>658,</w:t>
            </w:r>
            <w:r>
              <w:rPr>
                <w:rFonts w:ascii="Garamond" w:hAnsi="Garamond"/>
                <w:sz w:val="22"/>
                <w:szCs w:val="22"/>
              </w:rPr>
              <w:t>60</w:t>
            </w:r>
          </w:p>
          <w:p w14:paraId="5485E7E7" w14:textId="1ECCFA76" w:rsidR="00936C35" w:rsidRPr="00F97CB7" w:rsidRDefault="00936C35" w:rsidP="00936C35">
            <w:pPr>
              <w:jc w:val="right"/>
              <w:rPr>
                <w:rFonts w:ascii="Garamond" w:hAnsi="Garamond"/>
                <w:sz w:val="22"/>
                <w:szCs w:val="22"/>
              </w:rPr>
            </w:pPr>
            <w:r>
              <w:rPr>
                <w:rFonts w:ascii="Garamond" w:hAnsi="Garamond"/>
                <w:sz w:val="22"/>
                <w:szCs w:val="22"/>
              </w:rPr>
              <w:t xml:space="preserve"> (</w:t>
            </w:r>
            <w:r w:rsidRPr="00936C35">
              <w:rPr>
                <w:rFonts w:ascii="Garamond" w:hAnsi="Garamond"/>
                <w:b/>
                <w:bCs/>
                <w:sz w:val="22"/>
                <w:szCs w:val="22"/>
              </w:rPr>
              <w:t>-</w:t>
            </w:r>
            <w:r w:rsidR="006E2D02">
              <w:rPr>
                <w:rFonts w:ascii="Garamond" w:hAnsi="Garamond"/>
                <w:b/>
                <w:bCs/>
                <w:sz w:val="22"/>
                <w:szCs w:val="22"/>
              </w:rPr>
              <w:t>1</w:t>
            </w:r>
            <w:r w:rsidRPr="00936C35">
              <w:rPr>
                <w:rFonts w:ascii="Garamond" w:hAnsi="Garamond"/>
                <w:b/>
                <w:bCs/>
                <w:sz w:val="22"/>
                <w:szCs w:val="22"/>
              </w:rPr>
              <w:t>,</w:t>
            </w:r>
            <w:r w:rsidR="00856156">
              <w:rPr>
                <w:rFonts w:ascii="Garamond" w:hAnsi="Garamond"/>
                <w:b/>
                <w:bCs/>
                <w:sz w:val="22"/>
                <w:szCs w:val="22"/>
              </w:rPr>
              <w:t>53</w:t>
            </w:r>
            <w:r w:rsidRPr="00936C35">
              <w:rPr>
                <w:rFonts w:ascii="Garamond" w:hAnsi="Garamond"/>
                <w:b/>
                <w:bCs/>
                <w:sz w:val="22"/>
                <w:szCs w:val="22"/>
              </w:rPr>
              <w:t>%</w:t>
            </w:r>
            <w:r>
              <w:rPr>
                <w:rFonts w:ascii="Garamond" w:hAnsi="Garamond"/>
                <w:sz w:val="22"/>
                <w:szCs w:val="22"/>
              </w:rPr>
              <w:t>)</w:t>
            </w:r>
          </w:p>
        </w:tc>
      </w:tr>
      <w:tr w:rsidR="00936C35" w:rsidRPr="00BC49E9" w14:paraId="5D026BAE" w14:textId="77777777" w:rsidTr="00F72BA7">
        <w:tc>
          <w:tcPr>
            <w:tcW w:w="2123" w:type="pct"/>
            <w:shd w:val="clear" w:color="auto" w:fill="FFFFFF"/>
            <w:vAlign w:val="center"/>
          </w:tcPr>
          <w:p w14:paraId="57A03725" w14:textId="11FE6B0C" w:rsidR="00936C35" w:rsidRPr="00BC49E9" w:rsidRDefault="00936C35" w:rsidP="00936C35">
            <w:pPr>
              <w:rPr>
                <w:rFonts w:ascii="Garamond" w:hAnsi="Garamond"/>
                <w:sz w:val="22"/>
                <w:szCs w:val="22"/>
              </w:rPr>
            </w:pPr>
            <w:r>
              <w:rPr>
                <w:rFonts w:ascii="Garamond" w:hAnsi="Garamond"/>
                <w:sz w:val="22"/>
                <w:szCs w:val="22"/>
              </w:rPr>
              <w:t>Darbības</w:t>
            </w:r>
            <w:r w:rsidRPr="00BC49E9">
              <w:rPr>
                <w:rFonts w:ascii="Garamond" w:hAnsi="Garamond"/>
                <w:sz w:val="22"/>
                <w:szCs w:val="22"/>
              </w:rPr>
              <w:t xml:space="preserve"> izmaksas (+1%)</w:t>
            </w:r>
          </w:p>
        </w:tc>
        <w:tc>
          <w:tcPr>
            <w:tcW w:w="907" w:type="pct"/>
            <w:shd w:val="clear" w:color="auto" w:fill="FFFFFF"/>
          </w:tcPr>
          <w:p w14:paraId="3CB9400F" w14:textId="77777777" w:rsidR="00856156" w:rsidRDefault="00856156" w:rsidP="00936C35">
            <w:pPr>
              <w:jc w:val="right"/>
              <w:rPr>
                <w:rFonts w:ascii="Garamond" w:hAnsi="Garamond"/>
                <w:sz w:val="22"/>
                <w:szCs w:val="22"/>
              </w:rPr>
            </w:pPr>
            <w:r w:rsidRPr="00856156">
              <w:rPr>
                <w:rFonts w:ascii="Garamond" w:hAnsi="Garamond"/>
                <w:sz w:val="22"/>
                <w:szCs w:val="22"/>
              </w:rPr>
              <w:t>-355 301,89</w:t>
            </w:r>
          </w:p>
          <w:p w14:paraId="3870593D" w14:textId="00518E11" w:rsidR="00936C35" w:rsidRPr="00936C35" w:rsidRDefault="00936C35" w:rsidP="00936C35">
            <w:pPr>
              <w:jc w:val="right"/>
              <w:rPr>
                <w:rFonts w:ascii="Garamond" w:hAnsi="Garamond"/>
                <w:sz w:val="22"/>
                <w:szCs w:val="22"/>
              </w:rPr>
            </w:pPr>
            <w:r>
              <w:rPr>
                <w:rFonts w:ascii="Garamond" w:hAnsi="Garamond"/>
                <w:sz w:val="22"/>
                <w:szCs w:val="22"/>
              </w:rPr>
              <w:t>(</w:t>
            </w:r>
            <w:r w:rsidR="00001F09">
              <w:rPr>
                <w:rFonts w:ascii="Garamond" w:hAnsi="Garamond"/>
                <w:sz w:val="22"/>
                <w:szCs w:val="22"/>
              </w:rPr>
              <w:t>-</w:t>
            </w:r>
            <w:r>
              <w:rPr>
                <w:rFonts w:ascii="Garamond" w:hAnsi="Garamond"/>
                <w:sz w:val="22"/>
                <w:szCs w:val="22"/>
              </w:rPr>
              <w:t>0,</w:t>
            </w:r>
            <w:r w:rsidR="00856156">
              <w:rPr>
                <w:rFonts w:ascii="Garamond" w:hAnsi="Garamond"/>
                <w:sz w:val="22"/>
                <w:szCs w:val="22"/>
              </w:rPr>
              <w:t>00</w:t>
            </w:r>
            <w:r>
              <w:rPr>
                <w:rFonts w:ascii="Garamond" w:hAnsi="Garamond"/>
                <w:sz w:val="22"/>
                <w:szCs w:val="22"/>
              </w:rPr>
              <w:t>%)</w:t>
            </w:r>
          </w:p>
        </w:tc>
        <w:tc>
          <w:tcPr>
            <w:tcW w:w="985" w:type="pct"/>
            <w:shd w:val="clear" w:color="auto" w:fill="FFFFFF"/>
          </w:tcPr>
          <w:p w14:paraId="282B8EE0" w14:textId="6B2803F3" w:rsidR="006E2D02" w:rsidRDefault="00856156" w:rsidP="00936C35">
            <w:pPr>
              <w:jc w:val="right"/>
              <w:rPr>
                <w:rFonts w:ascii="Garamond" w:hAnsi="Garamond"/>
                <w:sz w:val="22"/>
                <w:szCs w:val="22"/>
              </w:rPr>
            </w:pPr>
            <w:r w:rsidRPr="00856156">
              <w:rPr>
                <w:rFonts w:ascii="Garamond" w:hAnsi="Garamond"/>
                <w:sz w:val="22"/>
              </w:rPr>
              <w:t>-2 368 679,28</w:t>
            </w:r>
          </w:p>
          <w:p w14:paraId="48572F7B" w14:textId="1A38E13C" w:rsidR="00936C35" w:rsidRPr="00F97CB7" w:rsidRDefault="00936C35" w:rsidP="00936C35">
            <w:pPr>
              <w:jc w:val="right"/>
              <w:rPr>
                <w:rFonts w:ascii="Garamond" w:hAnsi="Garamond"/>
                <w:sz w:val="22"/>
                <w:szCs w:val="22"/>
              </w:rPr>
            </w:pPr>
            <w:r>
              <w:rPr>
                <w:rFonts w:ascii="Garamond" w:hAnsi="Garamond"/>
                <w:sz w:val="22"/>
                <w:szCs w:val="22"/>
              </w:rPr>
              <w:t>(</w:t>
            </w:r>
            <w:r w:rsidR="006E2D02">
              <w:rPr>
                <w:rFonts w:ascii="Garamond" w:hAnsi="Garamond"/>
                <w:sz w:val="22"/>
                <w:szCs w:val="22"/>
              </w:rPr>
              <w:t>-0,</w:t>
            </w:r>
            <w:r w:rsidR="00856156">
              <w:rPr>
                <w:rFonts w:ascii="Garamond" w:hAnsi="Garamond"/>
                <w:sz w:val="22"/>
                <w:szCs w:val="22"/>
              </w:rPr>
              <w:t>0</w:t>
            </w:r>
            <w:r w:rsidR="006E2D02">
              <w:rPr>
                <w:rFonts w:ascii="Garamond" w:hAnsi="Garamond"/>
                <w:sz w:val="22"/>
                <w:szCs w:val="22"/>
              </w:rPr>
              <w:t>0</w:t>
            </w:r>
            <w:r w:rsidRPr="00936C35">
              <w:rPr>
                <w:rFonts w:ascii="Garamond" w:hAnsi="Garamond"/>
                <w:b/>
                <w:bCs/>
                <w:sz w:val="22"/>
                <w:szCs w:val="22"/>
              </w:rPr>
              <w:t>%</w:t>
            </w:r>
            <w:r>
              <w:rPr>
                <w:rFonts w:ascii="Garamond" w:hAnsi="Garamond"/>
                <w:sz w:val="22"/>
                <w:szCs w:val="22"/>
              </w:rPr>
              <w:t>)</w:t>
            </w:r>
          </w:p>
        </w:tc>
        <w:tc>
          <w:tcPr>
            <w:tcW w:w="985" w:type="pct"/>
            <w:shd w:val="clear" w:color="auto" w:fill="FFFFFF"/>
          </w:tcPr>
          <w:p w14:paraId="1F36A824" w14:textId="376DBC6C" w:rsidR="006E2D02" w:rsidRDefault="00856156" w:rsidP="00936C35">
            <w:pPr>
              <w:jc w:val="right"/>
              <w:rPr>
                <w:rFonts w:ascii="Garamond" w:hAnsi="Garamond"/>
                <w:sz w:val="22"/>
                <w:szCs w:val="22"/>
              </w:rPr>
            </w:pPr>
            <w:r w:rsidRPr="00856156">
              <w:rPr>
                <w:rFonts w:ascii="Garamond" w:hAnsi="Garamond"/>
                <w:sz w:val="22"/>
              </w:rPr>
              <w:t>1 528 085,36</w:t>
            </w:r>
          </w:p>
          <w:p w14:paraId="193DF876" w14:textId="246536D6" w:rsidR="00936C35" w:rsidRPr="00F97CB7" w:rsidRDefault="00936C35" w:rsidP="00936C35">
            <w:pPr>
              <w:jc w:val="right"/>
              <w:rPr>
                <w:rFonts w:ascii="Garamond" w:hAnsi="Garamond"/>
                <w:sz w:val="22"/>
                <w:szCs w:val="22"/>
              </w:rPr>
            </w:pPr>
            <w:r>
              <w:rPr>
                <w:rFonts w:ascii="Garamond" w:hAnsi="Garamond"/>
                <w:sz w:val="22"/>
                <w:szCs w:val="22"/>
              </w:rPr>
              <w:t>(</w:t>
            </w:r>
            <w:r w:rsidR="006E2D02">
              <w:rPr>
                <w:rFonts w:ascii="Garamond" w:hAnsi="Garamond"/>
                <w:sz w:val="22"/>
                <w:szCs w:val="22"/>
              </w:rPr>
              <w:t>-</w:t>
            </w:r>
            <w:r w:rsidR="00856156">
              <w:rPr>
                <w:rFonts w:ascii="Garamond" w:hAnsi="Garamond"/>
                <w:sz w:val="22"/>
                <w:szCs w:val="22"/>
              </w:rPr>
              <w:t>0</w:t>
            </w:r>
            <w:r w:rsidR="006E2D02" w:rsidRPr="00856156">
              <w:rPr>
                <w:rFonts w:ascii="Garamond" w:hAnsi="Garamond"/>
                <w:sz w:val="22"/>
                <w:szCs w:val="22"/>
              </w:rPr>
              <w:t>,</w:t>
            </w:r>
            <w:r w:rsidR="00856156" w:rsidRPr="00856156">
              <w:rPr>
                <w:rFonts w:ascii="Garamond" w:hAnsi="Garamond"/>
                <w:sz w:val="22"/>
                <w:szCs w:val="22"/>
              </w:rPr>
              <w:t>00</w:t>
            </w:r>
            <w:r w:rsidRPr="00936C35">
              <w:rPr>
                <w:rFonts w:ascii="Garamond" w:hAnsi="Garamond"/>
                <w:b/>
                <w:bCs/>
                <w:sz w:val="22"/>
                <w:szCs w:val="22"/>
              </w:rPr>
              <w:t>%</w:t>
            </w:r>
            <w:r>
              <w:rPr>
                <w:rFonts w:ascii="Garamond" w:hAnsi="Garamond"/>
                <w:sz w:val="22"/>
                <w:szCs w:val="22"/>
              </w:rPr>
              <w:t>)</w:t>
            </w:r>
          </w:p>
        </w:tc>
      </w:tr>
      <w:tr w:rsidR="00936C35" w:rsidRPr="00BC49E9" w14:paraId="1162099F" w14:textId="6B5487E7" w:rsidTr="00F72BA7">
        <w:tc>
          <w:tcPr>
            <w:tcW w:w="2123" w:type="pct"/>
            <w:shd w:val="clear" w:color="auto" w:fill="FFFFFF"/>
            <w:vAlign w:val="center"/>
          </w:tcPr>
          <w:p w14:paraId="5CDA488E" w14:textId="643E6EB3" w:rsidR="00936C35" w:rsidRPr="00BC49E9" w:rsidRDefault="00936C35" w:rsidP="00936C35">
            <w:pPr>
              <w:rPr>
                <w:rFonts w:ascii="Garamond" w:hAnsi="Garamond"/>
              </w:rPr>
            </w:pPr>
            <w:r>
              <w:rPr>
                <w:rFonts w:ascii="Garamond" w:hAnsi="Garamond"/>
                <w:sz w:val="22"/>
                <w:szCs w:val="22"/>
              </w:rPr>
              <w:t>Ekonomiskie i</w:t>
            </w:r>
            <w:r w:rsidRPr="00BC49E9">
              <w:rPr>
                <w:rFonts w:ascii="Garamond" w:hAnsi="Garamond"/>
                <w:sz w:val="22"/>
                <w:szCs w:val="22"/>
              </w:rPr>
              <w:t>eguvumi (-1%)</w:t>
            </w:r>
          </w:p>
        </w:tc>
        <w:tc>
          <w:tcPr>
            <w:tcW w:w="907" w:type="pct"/>
            <w:shd w:val="clear" w:color="auto" w:fill="FFFFFF"/>
          </w:tcPr>
          <w:p w14:paraId="4D7AF1B3" w14:textId="15039FFE" w:rsidR="00936C35" w:rsidRPr="00936C35" w:rsidRDefault="00936C35" w:rsidP="00936C35">
            <w:pPr>
              <w:jc w:val="right"/>
              <w:rPr>
                <w:rFonts w:ascii="Garamond" w:hAnsi="Garamond"/>
                <w:sz w:val="22"/>
                <w:szCs w:val="22"/>
              </w:rPr>
            </w:pPr>
            <w:r>
              <w:rPr>
                <w:rFonts w:ascii="Garamond" w:hAnsi="Garamond"/>
                <w:sz w:val="22"/>
                <w:szCs w:val="22"/>
              </w:rPr>
              <w:t>neattiecas</w:t>
            </w:r>
            <w:r w:rsidRPr="008848F8">
              <w:rPr>
                <w:rFonts w:ascii="Garamond" w:hAnsi="Garamond"/>
                <w:sz w:val="22"/>
                <w:szCs w:val="22"/>
                <w:vertAlign w:val="superscript"/>
              </w:rPr>
              <w:t>1)</w:t>
            </w:r>
          </w:p>
        </w:tc>
        <w:tc>
          <w:tcPr>
            <w:tcW w:w="985" w:type="pct"/>
            <w:shd w:val="clear" w:color="auto" w:fill="FFFFFF"/>
          </w:tcPr>
          <w:p w14:paraId="554695FF" w14:textId="4527FA33" w:rsidR="00936C35" w:rsidRDefault="00936C35" w:rsidP="00936C35">
            <w:pPr>
              <w:jc w:val="right"/>
              <w:rPr>
                <w:rFonts w:ascii="Garamond" w:hAnsi="Garamond"/>
                <w:sz w:val="22"/>
                <w:szCs w:val="22"/>
              </w:rPr>
            </w:pPr>
            <w:r>
              <w:rPr>
                <w:rFonts w:ascii="Garamond" w:hAnsi="Garamond"/>
                <w:sz w:val="22"/>
                <w:szCs w:val="22"/>
              </w:rPr>
              <w:t>neattiecas</w:t>
            </w:r>
            <w:r w:rsidRPr="008848F8">
              <w:rPr>
                <w:rFonts w:ascii="Garamond" w:hAnsi="Garamond"/>
                <w:sz w:val="22"/>
                <w:szCs w:val="22"/>
                <w:vertAlign w:val="superscript"/>
              </w:rPr>
              <w:t>1)</w:t>
            </w:r>
          </w:p>
        </w:tc>
        <w:tc>
          <w:tcPr>
            <w:tcW w:w="985" w:type="pct"/>
            <w:shd w:val="clear" w:color="auto" w:fill="FFFFFF"/>
          </w:tcPr>
          <w:p w14:paraId="6E12E74D" w14:textId="5D75BCB5" w:rsidR="00936C35" w:rsidRDefault="00856156" w:rsidP="00936C35">
            <w:pPr>
              <w:jc w:val="right"/>
              <w:rPr>
                <w:rFonts w:ascii="Garamond" w:hAnsi="Garamond"/>
                <w:sz w:val="22"/>
                <w:szCs w:val="22"/>
              </w:rPr>
            </w:pPr>
            <w:r w:rsidRPr="00856156">
              <w:rPr>
                <w:rFonts w:ascii="Garamond" w:hAnsi="Garamond"/>
                <w:sz w:val="22"/>
                <w:szCs w:val="22"/>
              </w:rPr>
              <w:t>1</w:t>
            </w:r>
            <w:r>
              <w:rPr>
                <w:rFonts w:ascii="Garamond" w:hAnsi="Garamond"/>
                <w:sz w:val="22"/>
                <w:szCs w:val="22"/>
              </w:rPr>
              <w:t xml:space="preserve"> </w:t>
            </w:r>
            <w:r w:rsidRPr="00856156">
              <w:rPr>
                <w:rFonts w:ascii="Garamond" w:hAnsi="Garamond"/>
                <w:sz w:val="22"/>
                <w:szCs w:val="22"/>
              </w:rPr>
              <w:t>496</w:t>
            </w:r>
            <w:r>
              <w:rPr>
                <w:rFonts w:ascii="Garamond" w:hAnsi="Garamond"/>
                <w:sz w:val="22"/>
                <w:szCs w:val="22"/>
              </w:rPr>
              <w:t xml:space="preserve"> </w:t>
            </w:r>
            <w:r w:rsidRPr="00856156">
              <w:rPr>
                <w:rFonts w:ascii="Garamond" w:hAnsi="Garamond"/>
                <w:sz w:val="22"/>
                <w:szCs w:val="22"/>
              </w:rPr>
              <w:t>802,</w:t>
            </w:r>
            <w:r>
              <w:rPr>
                <w:rFonts w:ascii="Garamond" w:hAnsi="Garamond"/>
                <w:sz w:val="22"/>
                <w:szCs w:val="22"/>
              </w:rPr>
              <w:t>99</w:t>
            </w:r>
          </w:p>
          <w:p w14:paraId="12F08250" w14:textId="6136B690" w:rsidR="00936C35" w:rsidRDefault="00936C35" w:rsidP="00936C35">
            <w:pPr>
              <w:jc w:val="right"/>
              <w:rPr>
                <w:rFonts w:ascii="Garamond" w:hAnsi="Garamond"/>
                <w:sz w:val="22"/>
                <w:szCs w:val="22"/>
              </w:rPr>
            </w:pPr>
            <w:r>
              <w:rPr>
                <w:rFonts w:ascii="Garamond" w:hAnsi="Garamond"/>
                <w:sz w:val="22"/>
                <w:szCs w:val="22"/>
              </w:rPr>
              <w:t>(</w:t>
            </w:r>
            <w:r w:rsidRPr="00936C35">
              <w:rPr>
                <w:rFonts w:ascii="Garamond" w:hAnsi="Garamond"/>
                <w:b/>
                <w:bCs/>
                <w:sz w:val="22"/>
                <w:szCs w:val="22"/>
              </w:rPr>
              <w:t>-</w:t>
            </w:r>
            <w:r w:rsidR="00856156">
              <w:rPr>
                <w:rFonts w:ascii="Garamond" w:hAnsi="Garamond"/>
                <w:b/>
                <w:bCs/>
                <w:sz w:val="22"/>
                <w:szCs w:val="22"/>
              </w:rPr>
              <w:t>2</w:t>
            </w:r>
            <w:r w:rsidRPr="00936C35">
              <w:rPr>
                <w:rFonts w:ascii="Garamond" w:hAnsi="Garamond"/>
                <w:b/>
                <w:bCs/>
                <w:sz w:val="22"/>
                <w:szCs w:val="22"/>
              </w:rPr>
              <w:t>,</w:t>
            </w:r>
            <w:r w:rsidR="006E2D02">
              <w:rPr>
                <w:rFonts w:ascii="Garamond" w:hAnsi="Garamond"/>
                <w:b/>
                <w:bCs/>
                <w:sz w:val="22"/>
                <w:szCs w:val="22"/>
              </w:rPr>
              <w:t>0</w:t>
            </w:r>
            <w:r w:rsidR="00856156">
              <w:rPr>
                <w:rFonts w:ascii="Garamond" w:hAnsi="Garamond"/>
                <w:b/>
                <w:bCs/>
                <w:sz w:val="22"/>
                <w:szCs w:val="22"/>
              </w:rPr>
              <w:t>5</w:t>
            </w:r>
            <w:r w:rsidRPr="00936C35">
              <w:rPr>
                <w:rFonts w:ascii="Garamond" w:hAnsi="Garamond"/>
                <w:b/>
                <w:bCs/>
                <w:sz w:val="22"/>
                <w:szCs w:val="22"/>
              </w:rPr>
              <w:t>%</w:t>
            </w:r>
            <w:r>
              <w:rPr>
                <w:rFonts w:ascii="Garamond" w:hAnsi="Garamond"/>
                <w:sz w:val="22"/>
                <w:szCs w:val="22"/>
              </w:rPr>
              <w:t>)</w:t>
            </w:r>
          </w:p>
        </w:tc>
      </w:tr>
    </w:tbl>
    <w:p w14:paraId="4A29A51D" w14:textId="553BCB8A" w:rsidR="00DF1D4B" w:rsidRPr="00936C35" w:rsidRDefault="00565E68" w:rsidP="00461BE9">
      <w:pPr>
        <w:pStyle w:val="StyleGaramondTekstsJustifiedAfter6ptLinespacingsin"/>
        <w:rPr>
          <w:i/>
          <w:iCs/>
        </w:rPr>
      </w:pPr>
      <w:r w:rsidRPr="00936C35">
        <w:rPr>
          <w:i/>
          <w:iCs/>
        </w:rPr>
        <w:t>Piezīme:</w:t>
      </w:r>
      <w:r w:rsidRPr="00936C35">
        <w:rPr>
          <w:i/>
          <w:iCs/>
        </w:rPr>
        <w:tab/>
        <w:t xml:space="preserve"> 1) Ekonomisko ieguvumu izmaiņas neietekmē projekta finanšu atdevi</w:t>
      </w:r>
      <w:r w:rsidR="00E80612" w:rsidRPr="00936C35">
        <w:rPr>
          <w:i/>
          <w:iCs/>
        </w:rPr>
        <w:t>.</w:t>
      </w:r>
    </w:p>
    <w:p w14:paraId="1F4E257E" w14:textId="0131B996" w:rsidR="00201CE5" w:rsidRDefault="000A202A" w:rsidP="00461BE9">
      <w:pPr>
        <w:pStyle w:val="StyleGaramondTekstsJustifiedAfter6ptLinespacingsin"/>
      </w:pPr>
      <w:r w:rsidRPr="000A202A">
        <w:t>Divi apskatītie mainīgie: investīciju izmaksas un ekonomiskie ieguvumi ir uzskatāmi par kritiskiem. Izmaiņas darbības izmaksās neietekmē projekta rādītājus, jo projekts nerada papildus darbības izmaksas vai to ietaupījumu.</w:t>
      </w:r>
    </w:p>
    <w:p w14:paraId="1401128A" w14:textId="3EF52585" w:rsidR="00201CE5" w:rsidRDefault="00201CE5" w:rsidP="00461BE9">
      <w:pPr>
        <w:pStyle w:val="StyleGaramondTekstsJustifiedAfter6ptLinespacingsin"/>
      </w:pPr>
      <w:r>
        <w:t>Tālāk tiek noteikti kritisko mainīgo pārslēgšanās punkti, t.i. vērtības, pie kurām projekta ekonomiskā atdeve kļūst negatīva (ENPV = 0)</w:t>
      </w:r>
      <w:r w:rsidR="00BA48D3">
        <w:t>, savukārt, finanšu atdeve – pozitīva (FNPV = 0)</w:t>
      </w:r>
      <w:r>
        <w:t>.</w:t>
      </w:r>
    </w:p>
    <w:p w14:paraId="083101B7" w14:textId="53158C7A" w:rsidR="00201CE5" w:rsidRDefault="00D4727A" w:rsidP="00EB0528">
      <w:pPr>
        <w:pStyle w:val="Tabulasvirsraksts"/>
      </w:pPr>
      <w:r>
        <w:rPr>
          <w:noProof/>
        </w:rPr>
        <w:fldChar w:fldCharType="begin"/>
      </w:r>
      <w:r>
        <w:rPr>
          <w:noProof/>
        </w:rPr>
        <w:instrText xml:space="preserve"> STYLEREF 1 \s </w:instrText>
      </w:r>
      <w:r>
        <w:rPr>
          <w:noProof/>
        </w:rPr>
        <w:fldChar w:fldCharType="separate"/>
      </w:r>
      <w:bookmarkStart w:id="42" w:name="_Toc190169675"/>
      <w:r w:rsidR="00C52DAC">
        <w:rPr>
          <w:noProof/>
        </w:rPr>
        <w:t>3</w:t>
      </w:r>
      <w:r>
        <w:rPr>
          <w:noProof/>
        </w:rPr>
        <w:fldChar w:fldCharType="end"/>
      </w:r>
      <w:r>
        <w:rPr>
          <w:noProof/>
        </w:rPr>
        <w:noBreakHyphen/>
      </w:r>
      <w:r>
        <w:rPr>
          <w:noProof/>
        </w:rPr>
        <w:fldChar w:fldCharType="begin"/>
      </w:r>
      <w:r>
        <w:rPr>
          <w:noProof/>
        </w:rPr>
        <w:instrText xml:space="preserve"> SEQ Tabula \* ARABIC \s 1 </w:instrText>
      </w:r>
      <w:r>
        <w:rPr>
          <w:noProof/>
        </w:rPr>
        <w:fldChar w:fldCharType="separate"/>
      </w:r>
      <w:r w:rsidR="00C52DAC">
        <w:rPr>
          <w:noProof/>
        </w:rPr>
        <w:t>5</w:t>
      </w:r>
      <w:r>
        <w:rPr>
          <w:noProof/>
        </w:rPr>
        <w:fldChar w:fldCharType="end"/>
      </w:r>
      <w:r w:rsidR="00201CE5">
        <w:t>. tabula. Pārslēgšanās punktu noteikšana</w:t>
      </w:r>
      <w:bookmarkEnd w:id="42"/>
    </w:p>
    <w:tbl>
      <w:tblPr>
        <w:tblW w:w="3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448"/>
        <w:gridCol w:w="2304"/>
      </w:tblGrid>
      <w:tr w:rsidR="008848F8" w:rsidRPr="00281ADF" w14:paraId="03E89AEA" w14:textId="36D57857" w:rsidTr="008848F8">
        <w:trPr>
          <w:trHeight w:val="435"/>
        </w:trPr>
        <w:tc>
          <w:tcPr>
            <w:tcW w:w="1488" w:type="pct"/>
            <w:shd w:val="clear" w:color="auto" w:fill="FFFFFF"/>
            <w:vAlign w:val="center"/>
          </w:tcPr>
          <w:p w14:paraId="5B1B8B31" w14:textId="77777777" w:rsidR="008848F8" w:rsidRPr="00281ADF" w:rsidRDefault="008848F8" w:rsidP="006E1946">
            <w:pPr>
              <w:jc w:val="center"/>
              <w:rPr>
                <w:rFonts w:ascii="Garamond" w:hAnsi="Garamond"/>
                <w:b/>
              </w:rPr>
            </w:pPr>
            <w:r w:rsidRPr="00281ADF">
              <w:rPr>
                <w:rFonts w:ascii="Garamond" w:hAnsi="Garamond"/>
                <w:b/>
                <w:sz w:val="22"/>
                <w:szCs w:val="22"/>
              </w:rPr>
              <w:t xml:space="preserve">Pārbaudītais mainīgais </w:t>
            </w:r>
          </w:p>
        </w:tc>
        <w:tc>
          <w:tcPr>
            <w:tcW w:w="1809" w:type="pct"/>
            <w:shd w:val="clear" w:color="auto" w:fill="FFFFFF"/>
          </w:tcPr>
          <w:p w14:paraId="05B82178" w14:textId="089ECC94" w:rsidR="008848F8" w:rsidRPr="00281ADF" w:rsidRDefault="008848F8" w:rsidP="006E1946">
            <w:pPr>
              <w:jc w:val="center"/>
              <w:rPr>
                <w:rFonts w:ascii="Garamond" w:hAnsi="Garamond"/>
                <w:b/>
              </w:rPr>
            </w:pPr>
            <w:r>
              <w:rPr>
                <w:rFonts w:ascii="Garamond" w:hAnsi="Garamond"/>
                <w:b/>
              </w:rPr>
              <w:t>ENPV, EUR</w:t>
            </w:r>
          </w:p>
        </w:tc>
        <w:tc>
          <w:tcPr>
            <w:tcW w:w="1703" w:type="pct"/>
            <w:shd w:val="clear" w:color="auto" w:fill="FFFFFF"/>
          </w:tcPr>
          <w:p w14:paraId="36766797" w14:textId="18E745AC" w:rsidR="008848F8" w:rsidRPr="00281ADF" w:rsidRDefault="008848F8" w:rsidP="006E1946">
            <w:pPr>
              <w:jc w:val="center"/>
              <w:rPr>
                <w:rFonts w:ascii="Garamond" w:hAnsi="Garamond"/>
                <w:b/>
              </w:rPr>
            </w:pPr>
            <w:r>
              <w:rPr>
                <w:rFonts w:ascii="Garamond" w:hAnsi="Garamond"/>
                <w:b/>
              </w:rPr>
              <w:t>FNPV, EUR</w:t>
            </w:r>
          </w:p>
        </w:tc>
      </w:tr>
      <w:tr w:rsidR="008848F8" w:rsidRPr="00281ADF" w14:paraId="49F53403" w14:textId="7770D85B" w:rsidTr="00F52098">
        <w:trPr>
          <w:trHeight w:val="50"/>
        </w:trPr>
        <w:tc>
          <w:tcPr>
            <w:tcW w:w="1488" w:type="pct"/>
            <w:shd w:val="clear" w:color="auto" w:fill="FFFFFF"/>
            <w:vAlign w:val="center"/>
          </w:tcPr>
          <w:p w14:paraId="634CF764" w14:textId="77777777" w:rsidR="008848F8" w:rsidRPr="00281ADF" w:rsidRDefault="008848F8" w:rsidP="006E1946">
            <w:pPr>
              <w:jc w:val="center"/>
              <w:rPr>
                <w:rFonts w:ascii="Garamond" w:hAnsi="Garamond"/>
                <w:b/>
                <w:sz w:val="22"/>
                <w:szCs w:val="22"/>
              </w:rPr>
            </w:pPr>
          </w:p>
        </w:tc>
        <w:tc>
          <w:tcPr>
            <w:tcW w:w="1809" w:type="pct"/>
            <w:shd w:val="clear" w:color="auto" w:fill="FFFFFF"/>
            <w:vAlign w:val="center"/>
          </w:tcPr>
          <w:p w14:paraId="2901ED31" w14:textId="2DDE6A71" w:rsidR="008848F8" w:rsidRPr="00281ADF" w:rsidRDefault="008848F8" w:rsidP="006E1946">
            <w:pPr>
              <w:jc w:val="center"/>
              <w:rPr>
                <w:rFonts w:ascii="Garamond" w:hAnsi="Garamond"/>
                <w:b/>
                <w:sz w:val="22"/>
                <w:szCs w:val="22"/>
              </w:rPr>
            </w:pPr>
            <w:r w:rsidRPr="00281ADF">
              <w:rPr>
                <w:rFonts w:ascii="Garamond" w:hAnsi="Garamond"/>
                <w:b/>
                <w:sz w:val="22"/>
                <w:szCs w:val="22"/>
              </w:rPr>
              <w:t xml:space="preserve">Mainīgā </w:t>
            </w:r>
            <w:r>
              <w:rPr>
                <w:rFonts w:ascii="Garamond" w:hAnsi="Garamond"/>
                <w:b/>
                <w:sz w:val="22"/>
                <w:szCs w:val="22"/>
              </w:rPr>
              <w:t>novirze</w:t>
            </w:r>
          </w:p>
        </w:tc>
        <w:tc>
          <w:tcPr>
            <w:tcW w:w="1703" w:type="pct"/>
            <w:shd w:val="clear" w:color="auto" w:fill="FFFFFF"/>
            <w:vAlign w:val="center"/>
          </w:tcPr>
          <w:p w14:paraId="3F29065B" w14:textId="3C6CD5B9" w:rsidR="008848F8" w:rsidRPr="00281ADF" w:rsidRDefault="008848F8" w:rsidP="006E1946">
            <w:pPr>
              <w:jc w:val="center"/>
              <w:rPr>
                <w:rFonts w:ascii="Garamond" w:hAnsi="Garamond"/>
                <w:b/>
                <w:sz w:val="22"/>
                <w:szCs w:val="22"/>
              </w:rPr>
            </w:pPr>
            <w:r w:rsidRPr="00281ADF">
              <w:rPr>
                <w:rFonts w:ascii="Garamond" w:hAnsi="Garamond"/>
                <w:b/>
                <w:sz w:val="22"/>
                <w:szCs w:val="22"/>
              </w:rPr>
              <w:t xml:space="preserve">Mainīgā </w:t>
            </w:r>
            <w:r>
              <w:rPr>
                <w:rFonts w:ascii="Garamond" w:hAnsi="Garamond"/>
                <w:b/>
                <w:sz w:val="22"/>
                <w:szCs w:val="22"/>
              </w:rPr>
              <w:t>novirze</w:t>
            </w:r>
          </w:p>
        </w:tc>
      </w:tr>
      <w:tr w:rsidR="008848F8" w:rsidRPr="00281ADF" w14:paraId="65742DEB" w14:textId="23E5AF18" w:rsidTr="00F52098">
        <w:trPr>
          <w:trHeight w:val="225"/>
        </w:trPr>
        <w:tc>
          <w:tcPr>
            <w:tcW w:w="1488" w:type="pct"/>
            <w:shd w:val="clear" w:color="auto" w:fill="FFFFFF"/>
            <w:vAlign w:val="center"/>
          </w:tcPr>
          <w:p w14:paraId="1A51E44E" w14:textId="22A60D70" w:rsidR="008848F8" w:rsidRPr="00281ADF" w:rsidRDefault="008848F8" w:rsidP="006E1946">
            <w:pPr>
              <w:rPr>
                <w:rFonts w:ascii="Garamond" w:hAnsi="Garamond"/>
                <w:b/>
                <w:sz w:val="22"/>
                <w:szCs w:val="22"/>
              </w:rPr>
            </w:pPr>
            <w:r>
              <w:rPr>
                <w:rFonts w:ascii="Garamond" w:hAnsi="Garamond"/>
                <w:sz w:val="22"/>
                <w:szCs w:val="22"/>
              </w:rPr>
              <w:t>Investīciju izmaksas</w:t>
            </w:r>
          </w:p>
        </w:tc>
        <w:tc>
          <w:tcPr>
            <w:tcW w:w="1809" w:type="pct"/>
            <w:shd w:val="clear" w:color="auto" w:fill="FFFFFF"/>
            <w:vAlign w:val="center"/>
          </w:tcPr>
          <w:p w14:paraId="520002B1" w14:textId="72A11A5B" w:rsidR="008848F8" w:rsidRPr="008848F8" w:rsidRDefault="00F67360" w:rsidP="00650B35">
            <w:pPr>
              <w:ind w:left="-108"/>
              <w:jc w:val="right"/>
              <w:rPr>
                <w:rFonts w:ascii="Garamond" w:hAnsi="Garamond"/>
                <w:bCs/>
                <w:sz w:val="22"/>
                <w:szCs w:val="22"/>
              </w:rPr>
            </w:pPr>
            <w:r>
              <w:rPr>
                <w:rFonts w:ascii="Garamond" w:hAnsi="Garamond"/>
                <w:bCs/>
                <w:sz w:val="22"/>
                <w:szCs w:val="22"/>
              </w:rPr>
              <w:t>65</w:t>
            </w:r>
            <w:r w:rsidR="008848F8" w:rsidRPr="008848F8">
              <w:rPr>
                <w:rFonts w:ascii="Garamond" w:hAnsi="Garamond"/>
                <w:bCs/>
                <w:sz w:val="22"/>
                <w:szCs w:val="22"/>
              </w:rPr>
              <w:t>,</w:t>
            </w:r>
            <w:r>
              <w:rPr>
                <w:rFonts w:ascii="Garamond" w:hAnsi="Garamond"/>
                <w:bCs/>
                <w:sz w:val="22"/>
                <w:szCs w:val="22"/>
              </w:rPr>
              <w:t>2</w:t>
            </w:r>
            <w:r w:rsidR="008848F8" w:rsidRPr="008848F8">
              <w:rPr>
                <w:rFonts w:ascii="Garamond" w:hAnsi="Garamond"/>
                <w:bCs/>
                <w:sz w:val="22"/>
                <w:szCs w:val="22"/>
              </w:rPr>
              <w:t>%</w:t>
            </w:r>
          </w:p>
        </w:tc>
        <w:tc>
          <w:tcPr>
            <w:tcW w:w="1703" w:type="pct"/>
            <w:shd w:val="clear" w:color="auto" w:fill="FFFFFF"/>
            <w:vAlign w:val="center"/>
          </w:tcPr>
          <w:p w14:paraId="3D7B03FC" w14:textId="006B528D" w:rsidR="008848F8" w:rsidRPr="006E1946" w:rsidRDefault="008848F8" w:rsidP="00650B35">
            <w:pPr>
              <w:jc w:val="right"/>
              <w:rPr>
                <w:rFonts w:ascii="Garamond" w:hAnsi="Garamond"/>
                <w:sz w:val="22"/>
                <w:szCs w:val="22"/>
              </w:rPr>
            </w:pPr>
            <w:r>
              <w:rPr>
                <w:rFonts w:ascii="Garamond" w:hAnsi="Garamond"/>
                <w:sz w:val="22"/>
                <w:szCs w:val="22"/>
              </w:rPr>
              <w:t>-1</w:t>
            </w:r>
            <w:r w:rsidR="00F67360">
              <w:rPr>
                <w:rFonts w:ascii="Garamond" w:hAnsi="Garamond"/>
                <w:sz w:val="22"/>
                <w:szCs w:val="22"/>
              </w:rPr>
              <w:t>00</w:t>
            </w:r>
            <w:r>
              <w:rPr>
                <w:rFonts w:ascii="Garamond" w:hAnsi="Garamond"/>
                <w:sz w:val="22"/>
                <w:szCs w:val="22"/>
              </w:rPr>
              <w:t>,</w:t>
            </w:r>
            <w:r w:rsidR="00F67360">
              <w:rPr>
                <w:rFonts w:ascii="Garamond" w:hAnsi="Garamond"/>
                <w:sz w:val="22"/>
                <w:szCs w:val="22"/>
              </w:rPr>
              <w:t>0</w:t>
            </w:r>
            <w:r>
              <w:rPr>
                <w:rFonts w:ascii="Garamond" w:hAnsi="Garamond"/>
                <w:sz w:val="22"/>
                <w:szCs w:val="22"/>
              </w:rPr>
              <w:t>%</w:t>
            </w:r>
          </w:p>
        </w:tc>
      </w:tr>
      <w:tr w:rsidR="008848F8" w:rsidRPr="00281ADF" w14:paraId="6ED9485D" w14:textId="3354B357" w:rsidTr="00F52098">
        <w:trPr>
          <w:trHeight w:val="261"/>
        </w:trPr>
        <w:tc>
          <w:tcPr>
            <w:tcW w:w="1488" w:type="pct"/>
            <w:shd w:val="clear" w:color="auto" w:fill="FFFFFF"/>
            <w:vAlign w:val="center"/>
          </w:tcPr>
          <w:p w14:paraId="1D8D2099" w14:textId="5F562D43" w:rsidR="008848F8" w:rsidRPr="00BC49E9" w:rsidRDefault="008848F8" w:rsidP="00C52339">
            <w:pPr>
              <w:rPr>
                <w:rFonts w:ascii="Garamond" w:hAnsi="Garamond"/>
                <w:sz w:val="22"/>
                <w:szCs w:val="22"/>
              </w:rPr>
            </w:pPr>
            <w:r>
              <w:rPr>
                <w:rFonts w:ascii="Garamond" w:hAnsi="Garamond"/>
                <w:sz w:val="22"/>
                <w:szCs w:val="22"/>
              </w:rPr>
              <w:t>Ekonomiskie i</w:t>
            </w:r>
            <w:r w:rsidRPr="00BC49E9">
              <w:rPr>
                <w:rFonts w:ascii="Garamond" w:hAnsi="Garamond"/>
                <w:sz w:val="22"/>
                <w:szCs w:val="22"/>
              </w:rPr>
              <w:t>eguvumi</w:t>
            </w:r>
          </w:p>
        </w:tc>
        <w:tc>
          <w:tcPr>
            <w:tcW w:w="1809" w:type="pct"/>
            <w:shd w:val="clear" w:color="auto" w:fill="FFFFFF"/>
            <w:vAlign w:val="center"/>
          </w:tcPr>
          <w:p w14:paraId="0870EA4D" w14:textId="1DACE52A" w:rsidR="008848F8" w:rsidRPr="006E1946" w:rsidRDefault="008848F8" w:rsidP="00C52339">
            <w:pPr>
              <w:jc w:val="right"/>
              <w:rPr>
                <w:rFonts w:ascii="Garamond" w:hAnsi="Garamond"/>
                <w:sz w:val="22"/>
                <w:szCs w:val="22"/>
              </w:rPr>
            </w:pPr>
            <w:r>
              <w:rPr>
                <w:rFonts w:ascii="Garamond" w:hAnsi="Garamond"/>
                <w:sz w:val="22"/>
                <w:szCs w:val="22"/>
              </w:rPr>
              <w:t>-</w:t>
            </w:r>
            <w:r w:rsidR="00F67360">
              <w:rPr>
                <w:rFonts w:ascii="Garamond" w:hAnsi="Garamond"/>
                <w:sz w:val="22"/>
                <w:szCs w:val="22"/>
              </w:rPr>
              <w:t>48</w:t>
            </w:r>
            <w:r>
              <w:rPr>
                <w:rFonts w:ascii="Garamond" w:hAnsi="Garamond"/>
                <w:sz w:val="22"/>
                <w:szCs w:val="22"/>
              </w:rPr>
              <w:t>,</w:t>
            </w:r>
            <w:r w:rsidR="00F67360">
              <w:rPr>
                <w:rFonts w:ascii="Garamond" w:hAnsi="Garamond"/>
                <w:sz w:val="22"/>
                <w:szCs w:val="22"/>
              </w:rPr>
              <w:t>8</w:t>
            </w:r>
            <w:r>
              <w:rPr>
                <w:rFonts w:ascii="Garamond" w:hAnsi="Garamond"/>
                <w:sz w:val="22"/>
                <w:szCs w:val="22"/>
              </w:rPr>
              <w:t>%</w:t>
            </w:r>
          </w:p>
        </w:tc>
        <w:tc>
          <w:tcPr>
            <w:tcW w:w="1703" w:type="pct"/>
            <w:shd w:val="clear" w:color="auto" w:fill="FFFFFF"/>
            <w:vAlign w:val="center"/>
          </w:tcPr>
          <w:p w14:paraId="5370CD72" w14:textId="4DFCC772" w:rsidR="008848F8" w:rsidRPr="006E1946" w:rsidRDefault="008848F8" w:rsidP="00C52339">
            <w:pPr>
              <w:jc w:val="right"/>
              <w:rPr>
                <w:rFonts w:ascii="Garamond" w:hAnsi="Garamond"/>
                <w:sz w:val="22"/>
                <w:szCs w:val="22"/>
              </w:rPr>
            </w:pPr>
            <w:r w:rsidRPr="006E1946">
              <w:rPr>
                <w:rFonts w:ascii="Garamond" w:hAnsi="Garamond"/>
                <w:sz w:val="22"/>
                <w:szCs w:val="22"/>
              </w:rPr>
              <w:t>neattiecas</w:t>
            </w:r>
          </w:p>
        </w:tc>
      </w:tr>
    </w:tbl>
    <w:p w14:paraId="4B828E16" w14:textId="77777777" w:rsidR="00C24A4D" w:rsidRDefault="00C24A4D" w:rsidP="00461BE9">
      <w:pPr>
        <w:pStyle w:val="StyleGaramondTekstsJustifiedAfter6ptLinespacingsin"/>
      </w:pPr>
    </w:p>
    <w:p w14:paraId="113EE5FF" w14:textId="34231C8F" w:rsidR="00201CE5" w:rsidRPr="00BC49E9" w:rsidRDefault="00201CE5" w:rsidP="008848F8">
      <w:pPr>
        <w:pStyle w:val="StyleGaramondTekstsJustifiedAfter6ptLinespacingsin"/>
      </w:pPr>
      <w:r>
        <w:t xml:space="preserve">Var secināt, ka </w:t>
      </w:r>
      <w:r w:rsidR="00445167">
        <w:t>p</w:t>
      </w:r>
      <w:r>
        <w:t>rojekts zaudēs savu ekonomisko izdevīgumu, ja</w:t>
      </w:r>
      <w:r w:rsidR="00A21313">
        <w:t xml:space="preserve"> tā investīciju izmaksas pieaugs par </w:t>
      </w:r>
      <w:r w:rsidR="00F67360">
        <w:t>65</w:t>
      </w:r>
      <w:r w:rsidR="00AA5A61">
        <w:t>,</w:t>
      </w:r>
      <w:r w:rsidR="00F67360">
        <w:t>2</w:t>
      </w:r>
      <w:r w:rsidR="00CE1C18">
        <w:t>%</w:t>
      </w:r>
      <w:r w:rsidR="00A21313">
        <w:t>,</w:t>
      </w:r>
      <w:r w:rsidR="00C85009">
        <w:t xml:space="preserve"> </w:t>
      </w:r>
      <w:r w:rsidR="008848F8">
        <w:t>vai</w:t>
      </w:r>
      <w:r w:rsidR="00C24A4D">
        <w:t xml:space="preserve"> ekonomiskie</w:t>
      </w:r>
      <w:r w:rsidR="00445167">
        <w:t xml:space="preserve"> ieguvumi saruks par</w:t>
      </w:r>
      <w:r>
        <w:t xml:space="preserve"> </w:t>
      </w:r>
      <w:r w:rsidR="00F67360">
        <w:t>48</w:t>
      </w:r>
      <w:r w:rsidR="00AA5A61">
        <w:t>,</w:t>
      </w:r>
      <w:r w:rsidR="00F67360">
        <w:t>8</w:t>
      </w:r>
      <w:r w:rsidR="00FC6C02">
        <w:t>% salīdzinājumā ar plānotaj</w:t>
      </w:r>
      <w:r w:rsidR="00445167">
        <w:t>ie</w:t>
      </w:r>
      <w:r w:rsidR="00FC6C02">
        <w:t>m</w:t>
      </w:r>
      <w:r>
        <w:t>.</w:t>
      </w:r>
      <w:r w:rsidR="00445167">
        <w:t xml:space="preserve"> </w:t>
      </w:r>
      <w:r w:rsidR="00C24A4D">
        <w:t>Savukārt, lai projekta finanšu atdev</w:t>
      </w:r>
      <w:r w:rsidR="008848F8">
        <w:t>e</w:t>
      </w:r>
      <w:r w:rsidR="00C24A4D">
        <w:t xml:space="preserve"> kļūtu pozitīva un projekts zaudētu iespēju saņemt ES finansējumu, investīciju izmaksām būtu jāsamazinās par </w:t>
      </w:r>
      <w:r w:rsidR="00AA5A61">
        <w:t>1</w:t>
      </w:r>
      <w:r w:rsidR="00F67360">
        <w:t>00</w:t>
      </w:r>
      <w:r w:rsidR="008848F8">
        <w:t>,</w:t>
      </w:r>
      <w:r w:rsidR="00F67360">
        <w:t>0</w:t>
      </w:r>
      <w:r w:rsidR="00C24A4D">
        <w:t>%.</w:t>
      </w:r>
    </w:p>
    <w:p w14:paraId="350A1F02" w14:textId="77777777" w:rsidR="00201CE5" w:rsidRPr="00283800" w:rsidRDefault="00201CE5" w:rsidP="00C52DAC">
      <w:pPr>
        <w:pStyle w:val="Heading3"/>
        <w:numPr>
          <w:ilvl w:val="2"/>
          <w:numId w:val="4"/>
        </w:numPr>
        <w:spacing w:before="240" w:after="120"/>
      </w:pPr>
      <w:r>
        <w:t>Risku analīze</w:t>
      </w:r>
    </w:p>
    <w:p w14:paraId="6054727B" w14:textId="617879F5" w:rsidR="00201CE5" w:rsidRPr="008E7F73" w:rsidRDefault="00F52098" w:rsidP="00E90178">
      <w:pPr>
        <w:pStyle w:val="GaramondTeksts"/>
        <w:spacing w:after="120" w:line="240" w:lineRule="auto"/>
        <w:jc w:val="both"/>
        <w:rPr>
          <w:rFonts w:cs="Arial"/>
          <w:color w:val="000000"/>
        </w:rPr>
      </w:pPr>
      <w:r>
        <w:rPr>
          <w:rFonts w:cs="Arial"/>
          <w:color w:val="000000"/>
        </w:rPr>
        <w:t xml:space="preserve">Šajā nodaļā ir </w:t>
      </w:r>
      <w:r w:rsidRPr="00F52098">
        <w:rPr>
          <w:rFonts w:cs="Arial"/>
          <w:color w:val="000000"/>
        </w:rPr>
        <w:t>identificē</w:t>
      </w:r>
      <w:r>
        <w:rPr>
          <w:rFonts w:cs="Arial"/>
          <w:color w:val="000000"/>
        </w:rPr>
        <w:t>ti</w:t>
      </w:r>
      <w:r w:rsidRPr="00F52098">
        <w:rPr>
          <w:rFonts w:cs="Arial"/>
          <w:color w:val="000000"/>
        </w:rPr>
        <w:t xml:space="preserve"> un analizē</w:t>
      </w:r>
      <w:r>
        <w:rPr>
          <w:rFonts w:cs="Arial"/>
          <w:color w:val="000000"/>
        </w:rPr>
        <w:t>ti šādi</w:t>
      </w:r>
      <w:r w:rsidRPr="00F52098">
        <w:rPr>
          <w:rFonts w:cs="Arial"/>
          <w:color w:val="000000"/>
        </w:rPr>
        <w:t xml:space="preserve"> projekta īstenošanas risk</w:t>
      </w:r>
      <w:r>
        <w:rPr>
          <w:rFonts w:cs="Arial"/>
          <w:color w:val="000000"/>
        </w:rPr>
        <w:t>i</w:t>
      </w:r>
      <w:r w:rsidRPr="00F52098">
        <w:rPr>
          <w:rFonts w:cs="Arial"/>
          <w:color w:val="000000"/>
        </w:rPr>
        <w:t>: finanšu, īstenošanas, rezultātu un uzraudzības rādītāju sasniegšanas,</w:t>
      </w:r>
      <w:r w:rsidR="005D7821">
        <w:rPr>
          <w:rFonts w:cs="Arial"/>
          <w:color w:val="000000"/>
        </w:rPr>
        <w:t xml:space="preserve"> un</w:t>
      </w:r>
      <w:r w:rsidRPr="00F52098">
        <w:rPr>
          <w:rFonts w:cs="Arial"/>
          <w:color w:val="000000"/>
        </w:rPr>
        <w:t xml:space="preserve"> administrēšanas riski</w:t>
      </w:r>
      <w:r>
        <w:rPr>
          <w:rFonts w:cs="Arial"/>
          <w:color w:val="000000"/>
        </w:rPr>
        <w:t>.</w:t>
      </w:r>
    </w:p>
    <w:p w14:paraId="3035C0F7" w14:textId="2048F500" w:rsidR="00093F03" w:rsidRDefault="00093F03" w:rsidP="00E90178">
      <w:pPr>
        <w:pStyle w:val="GaramondTeksts"/>
        <w:spacing w:after="120" w:line="240" w:lineRule="auto"/>
        <w:jc w:val="both"/>
        <w:rPr>
          <w:rFonts w:cs="Arial"/>
          <w:color w:val="000000"/>
        </w:rPr>
      </w:pPr>
      <w:r>
        <w:rPr>
          <w:rFonts w:cs="Arial"/>
          <w:color w:val="000000"/>
        </w:rPr>
        <w:t>Zemāk redzamajā risku analīzes tabulā</w:t>
      </w:r>
      <w:r w:rsidR="00ED2E8D">
        <w:rPr>
          <w:rFonts w:cs="Arial"/>
          <w:color w:val="000000"/>
        </w:rPr>
        <w:t xml:space="preserve"> riski ir</w:t>
      </w:r>
      <w:r w:rsidR="00201CE5" w:rsidRPr="008E7F73">
        <w:rPr>
          <w:rFonts w:cs="Arial"/>
          <w:color w:val="000000"/>
        </w:rPr>
        <w:t xml:space="preserve"> novērtēti ar kvalitatīvās analīzes metodi, pēc riska iespējamās varbūtības un to ietekmes uz projekt</w:t>
      </w:r>
      <w:r w:rsidR="00F52098">
        <w:rPr>
          <w:rFonts w:cs="Arial"/>
          <w:color w:val="000000"/>
        </w:rPr>
        <w:t>u, kā ar tiek īsi aprakstīti ieteicamie risku novēršanas/mazināšanas pasākumi</w:t>
      </w:r>
      <w:r w:rsidR="00201CE5" w:rsidRPr="008E7F73">
        <w:rPr>
          <w:rFonts w:cs="Arial"/>
          <w:color w:val="000000"/>
        </w:rPr>
        <w:t>.</w:t>
      </w:r>
    </w:p>
    <w:p w14:paraId="701F0ADA" w14:textId="77777777" w:rsidR="00093F03" w:rsidRDefault="00093F03" w:rsidP="00E90178">
      <w:pPr>
        <w:pStyle w:val="GaramondTeksts"/>
        <w:spacing w:after="120" w:line="240" w:lineRule="auto"/>
        <w:jc w:val="both"/>
        <w:rPr>
          <w:rFonts w:cs="Arial"/>
          <w:color w:val="000000"/>
        </w:rPr>
        <w:sectPr w:rsidR="00093F03" w:rsidSect="00ED2E8D">
          <w:headerReference w:type="default" r:id="rId14"/>
          <w:footerReference w:type="default" r:id="rId15"/>
          <w:footerReference w:type="first" r:id="rId16"/>
          <w:pgSz w:w="11906" w:h="16838"/>
          <w:pgMar w:top="1440" w:right="1134" w:bottom="1440" w:left="1985" w:header="709" w:footer="709" w:gutter="0"/>
          <w:cols w:space="708"/>
          <w:docGrid w:linePitch="360"/>
        </w:sectPr>
      </w:pPr>
    </w:p>
    <w:p w14:paraId="2B105D94" w14:textId="7B4719B7" w:rsidR="00093F03" w:rsidRPr="00093F03" w:rsidRDefault="00D4727A" w:rsidP="00093F03">
      <w:pPr>
        <w:pStyle w:val="Tabulasvirsraksts"/>
        <w:rPr>
          <w:noProof/>
        </w:rPr>
      </w:pPr>
      <w:r>
        <w:rPr>
          <w:noProof/>
        </w:rPr>
        <w:lastRenderedPageBreak/>
        <w:fldChar w:fldCharType="begin"/>
      </w:r>
      <w:r>
        <w:rPr>
          <w:noProof/>
        </w:rPr>
        <w:instrText xml:space="preserve"> STYLEREF 1 \s </w:instrText>
      </w:r>
      <w:r>
        <w:rPr>
          <w:noProof/>
        </w:rPr>
        <w:fldChar w:fldCharType="separate"/>
      </w:r>
      <w:bookmarkStart w:id="43" w:name="_Toc190169676"/>
      <w:r w:rsidR="00C52DAC">
        <w:rPr>
          <w:noProof/>
        </w:rPr>
        <w:t>3</w:t>
      </w:r>
      <w:r>
        <w:rPr>
          <w:noProof/>
        </w:rPr>
        <w:fldChar w:fldCharType="end"/>
      </w:r>
      <w:r>
        <w:rPr>
          <w:noProof/>
        </w:rPr>
        <w:noBreakHyphen/>
      </w:r>
      <w:r>
        <w:rPr>
          <w:noProof/>
        </w:rPr>
        <w:fldChar w:fldCharType="begin"/>
      </w:r>
      <w:r>
        <w:rPr>
          <w:noProof/>
        </w:rPr>
        <w:instrText xml:space="preserve"> SEQ Tabula \* ARABIC \s 1 </w:instrText>
      </w:r>
      <w:r>
        <w:rPr>
          <w:noProof/>
        </w:rPr>
        <w:fldChar w:fldCharType="separate"/>
      </w:r>
      <w:r w:rsidR="00C52DAC">
        <w:rPr>
          <w:noProof/>
        </w:rPr>
        <w:t>6</w:t>
      </w:r>
      <w:r>
        <w:rPr>
          <w:noProof/>
        </w:rPr>
        <w:fldChar w:fldCharType="end"/>
      </w:r>
      <w:r w:rsidR="00093F03" w:rsidRPr="00093F03">
        <w:rPr>
          <w:noProof/>
        </w:rPr>
        <w:t>. tabula. Projekt</w:t>
      </w:r>
      <w:r w:rsidR="00F52098">
        <w:rPr>
          <w:noProof/>
        </w:rPr>
        <w:t>a</w:t>
      </w:r>
      <w:r w:rsidR="00093F03" w:rsidRPr="00093F03">
        <w:rPr>
          <w:noProof/>
        </w:rPr>
        <w:t xml:space="preserve"> risku analīze</w:t>
      </w:r>
      <w:bookmarkEnd w:id="43"/>
    </w:p>
    <w:tbl>
      <w:tblPr>
        <w:tblW w:w="5641"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1908"/>
        <w:gridCol w:w="1026"/>
        <w:gridCol w:w="1276"/>
        <w:gridCol w:w="4826"/>
      </w:tblGrid>
      <w:tr w:rsidR="00E45B7A" w:rsidRPr="00A73EF1" w14:paraId="4F1ACC35" w14:textId="77777777" w:rsidTr="005D7821">
        <w:trPr>
          <w:tblHeader/>
        </w:trPr>
        <w:tc>
          <w:tcPr>
            <w:tcW w:w="437" w:type="pct"/>
            <w:shd w:val="clear" w:color="auto" w:fill="auto"/>
            <w:vAlign w:val="center"/>
          </w:tcPr>
          <w:p w14:paraId="33101CD0" w14:textId="77777777" w:rsidR="00E45B7A" w:rsidRPr="001F4736" w:rsidRDefault="00E45B7A" w:rsidP="00A94C75">
            <w:pPr>
              <w:jc w:val="center"/>
              <w:rPr>
                <w:rFonts w:ascii="Garamond" w:hAnsi="Garamond"/>
                <w:b/>
              </w:rPr>
            </w:pPr>
            <w:r w:rsidRPr="001F4736">
              <w:rPr>
                <w:rFonts w:ascii="Garamond" w:hAnsi="Garamond"/>
                <w:b/>
              </w:rPr>
              <w:t>N.p.k.</w:t>
            </w:r>
          </w:p>
        </w:tc>
        <w:tc>
          <w:tcPr>
            <w:tcW w:w="964" w:type="pct"/>
            <w:shd w:val="clear" w:color="auto" w:fill="auto"/>
            <w:vAlign w:val="center"/>
          </w:tcPr>
          <w:p w14:paraId="0C2E1A5D" w14:textId="77777777" w:rsidR="00E45B7A" w:rsidRPr="001F4736" w:rsidRDefault="00E45B7A" w:rsidP="00A94C75">
            <w:pPr>
              <w:jc w:val="center"/>
              <w:rPr>
                <w:rFonts w:ascii="Garamond" w:hAnsi="Garamond"/>
                <w:b/>
              </w:rPr>
            </w:pPr>
            <w:r w:rsidRPr="001F4736">
              <w:rPr>
                <w:rFonts w:ascii="Garamond" w:hAnsi="Garamond"/>
                <w:b/>
              </w:rPr>
              <w:t>Risks</w:t>
            </w:r>
          </w:p>
        </w:tc>
        <w:tc>
          <w:tcPr>
            <w:tcW w:w="518" w:type="pct"/>
            <w:shd w:val="clear" w:color="auto" w:fill="auto"/>
            <w:vAlign w:val="center"/>
          </w:tcPr>
          <w:p w14:paraId="69D7305D" w14:textId="77777777" w:rsidR="00E45B7A" w:rsidRPr="001F4736" w:rsidRDefault="00E45B7A" w:rsidP="00A94C75">
            <w:pPr>
              <w:jc w:val="center"/>
              <w:rPr>
                <w:rFonts w:ascii="Garamond" w:hAnsi="Garamond"/>
                <w:b/>
              </w:rPr>
            </w:pPr>
            <w:r w:rsidRPr="001F4736">
              <w:rPr>
                <w:rFonts w:ascii="Garamond" w:hAnsi="Garamond"/>
                <w:b/>
              </w:rPr>
              <w:t>Riska ietekme</w:t>
            </w:r>
          </w:p>
          <w:p w14:paraId="7F675438" w14:textId="77777777" w:rsidR="00E45B7A" w:rsidRPr="001F4736" w:rsidRDefault="00E45B7A" w:rsidP="00A94C75">
            <w:pPr>
              <w:jc w:val="center"/>
              <w:rPr>
                <w:rFonts w:ascii="Garamond" w:hAnsi="Garamond"/>
                <w:bCs/>
              </w:rPr>
            </w:pPr>
            <w:r w:rsidRPr="001F4736">
              <w:rPr>
                <w:rFonts w:ascii="Garamond" w:hAnsi="Garamond"/>
                <w:bCs/>
              </w:rPr>
              <w:t>(augsta, vidēja, zema)</w:t>
            </w:r>
          </w:p>
        </w:tc>
        <w:tc>
          <w:tcPr>
            <w:tcW w:w="644" w:type="pct"/>
            <w:shd w:val="clear" w:color="auto" w:fill="auto"/>
            <w:vAlign w:val="center"/>
          </w:tcPr>
          <w:p w14:paraId="3A16F2E3" w14:textId="77777777" w:rsidR="00E45B7A" w:rsidRPr="001F4736" w:rsidRDefault="00E45B7A" w:rsidP="00A94C75">
            <w:pPr>
              <w:jc w:val="center"/>
              <w:rPr>
                <w:rFonts w:ascii="Garamond" w:hAnsi="Garamond"/>
                <w:b/>
              </w:rPr>
            </w:pPr>
            <w:r w:rsidRPr="001F4736">
              <w:rPr>
                <w:rFonts w:ascii="Garamond" w:hAnsi="Garamond"/>
                <w:b/>
              </w:rPr>
              <w:t>Iestāšanās varbūtība</w:t>
            </w:r>
          </w:p>
          <w:p w14:paraId="1D70C2C3" w14:textId="77777777" w:rsidR="00E45B7A" w:rsidRPr="001F4736" w:rsidRDefault="00E45B7A" w:rsidP="00A94C75">
            <w:pPr>
              <w:jc w:val="center"/>
              <w:rPr>
                <w:rFonts w:ascii="Garamond" w:hAnsi="Garamond"/>
                <w:bCs/>
              </w:rPr>
            </w:pPr>
            <w:r w:rsidRPr="001F4736">
              <w:rPr>
                <w:rFonts w:ascii="Garamond" w:hAnsi="Garamond"/>
                <w:bCs/>
              </w:rPr>
              <w:t>(augsta, vidēja, zema)</w:t>
            </w:r>
          </w:p>
        </w:tc>
        <w:tc>
          <w:tcPr>
            <w:tcW w:w="2436" w:type="pct"/>
            <w:shd w:val="clear" w:color="auto" w:fill="auto"/>
            <w:vAlign w:val="center"/>
          </w:tcPr>
          <w:p w14:paraId="09EC7395" w14:textId="77777777" w:rsidR="00E45B7A" w:rsidRPr="001F4736" w:rsidRDefault="00E45B7A" w:rsidP="00A94C75">
            <w:pPr>
              <w:jc w:val="center"/>
              <w:rPr>
                <w:rFonts w:ascii="Garamond" w:hAnsi="Garamond"/>
                <w:b/>
              </w:rPr>
            </w:pPr>
            <w:r>
              <w:rPr>
                <w:rFonts w:ascii="Garamond" w:hAnsi="Garamond"/>
                <w:b/>
              </w:rPr>
              <w:t>Riska novēršanas/</w:t>
            </w:r>
            <w:r w:rsidRPr="001F4736">
              <w:rPr>
                <w:rFonts w:ascii="Garamond" w:hAnsi="Garamond"/>
                <w:b/>
              </w:rPr>
              <w:t>mazināšanas pasākumi</w:t>
            </w:r>
          </w:p>
        </w:tc>
      </w:tr>
      <w:tr w:rsidR="00093F03" w:rsidRPr="00A73EF1" w14:paraId="2040F713" w14:textId="77777777" w:rsidTr="00536506">
        <w:trPr>
          <w:trHeight w:val="294"/>
        </w:trPr>
        <w:tc>
          <w:tcPr>
            <w:tcW w:w="5000" w:type="pct"/>
            <w:gridSpan w:val="5"/>
            <w:shd w:val="clear" w:color="auto" w:fill="auto"/>
          </w:tcPr>
          <w:p w14:paraId="5218E61E" w14:textId="77777777" w:rsidR="00093F03" w:rsidRPr="00A73EF1" w:rsidRDefault="00093F03" w:rsidP="00A94C75">
            <w:pPr>
              <w:ind w:right="142"/>
              <w:rPr>
                <w:rFonts w:ascii="Garamond" w:hAnsi="Garamond"/>
                <w:b/>
                <w:bCs/>
                <w:sz w:val="22"/>
                <w:szCs w:val="22"/>
              </w:rPr>
            </w:pPr>
            <w:r w:rsidRPr="00A73EF1">
              <w:rPr>
                <w:rFonts w:ascii="Garamond" w:hAnsi="Garamond"/>
                <w:b/>
                <w:bCs/>
                <w:sz w:val="22"/>
                <w:szCs w:val="22"/>
              </w:rPr>
              <w:t>1.   Finanšu riski:</w:t>
            </w:r>
          </w:p>
        </w:tc>
      </w:tr>
      <w:tr w:rsidR="00E45B7A" w:rsidRPr="00A73EF1" w14:paraId="1BF18685" w14:textId="77777777" w:rsidTr="005D7821">
        <w:trPr>
          <w:trHeight w:val="1390"/>
        </w:trPr>
        <w:tc>
          <w:tcPr>
            <w:tcW w:w="437" w:type="pct"/>
            <w:shd w:val="clear" w:color="auto" w:fill="auto"/>
            <w:vAlign w:val="center"/>
          </w:tcPr>
          <w:p w14:paraId="77535623" w14:textId="77777777" w:rsidR="00E45B7A" w:rsidRPr="00A73EF1" w:rsidRDefault="00E45B7A" w:rsidP="00A94C75">
            <w:pPr>
              <w:ind w:right="140"/>
              <w:jc w:val="center"/>
              <w:rPr>
                <w:rFonts w:ascii="Garamond" w:hAnsi="Garamond"/>
                <w:sz w:val="22"/>
                <w:szCs w:val="22"/>
              </w:rPr>
            </w:pPr>
            <w:r w:rsidRPr="00A73EF1">
              <w:rPr>
                <w:rFonts w:ascii="Garamond" w:hAnsi="Garamond"/>
                <w:sz w:val="22"/>
                <w:szCs w:val="22"/>
              </w:rPr>
              <w:t>1.1.</w:t>
            </w:r>
          </w:p>
        </w:tc>
        <w:tc>
          <w:tcPr>
            <w:tcW w:w="964" w:type="pct"/>
            <w:shd w:val="clear" w:color="auto" w:fill="auto"/>
            <w:vAlign w:val="center"/>
          </w:tcPr>
          <w:p w14:paraId="531C6C6F" w14:textId="5120DDC2" w:rsidR="00E45B7A" w:rsidRPr="00A73EF1" w:rsidRDefault="005D7821" w:rsidP="00A94C75">
            <w:pPr>
              <w:ind w:right="140"/>
              <w:rPr>
                <w:rFonts w:ascii="Garamond" w:hAnsi="Garamond"/>
                <w:sz w:val="22"/>
                <w:szCs w:val="22"/>
              </w:rPr>
            </w:pPr>
            <w:r>
              <w:rPr>
                <w:rFonts w:ascii="Garamond" w:hAnsi="Garamond"/>
                <w:sz w:val="22"/>
                <w:szCs w:val="22"/>
              </w:rPr>
              <w:t>Budžet pārsniegšana</w:t>
            </w:r>
          </w:p>
        </w:tc>
        <w:tc>
          <w:tcPr>
            <w:tcW w:w="518" w:type="pct"/>
            <w:shd w:val="clear" w:color="auto" w:fill="auto"/>
            <w:vAlign w:val="center"/>
          </w:tcPr>
          <w:p w14:paraId="25410050" w14:textId="77777777" w:rsidR="00E45B7A" w:rsidRPr="00A73EF1" w:rsidRDefault="00E45B7A" w:rsidP="00A94C75">
            <w:pPr>
              <w:ind w:right="140"/>
              <w:jc w:val="center"/>
              <w:rPr>
                <w:rFonts w:ascii="Garamond" w:hAnsi="Garamond"/>
                <w:sz w:val="22"/>
                <w:szCs w:val="22"/>
              </w:rPr>
            </w:pPr>
            <w:r w:rsidRPr="00A73EF1">
              <w:rPr>
                <w:rFonts w:ascii="Garamond" w:hAnsi="Garamond"/>
                <w:sz w:val="22"/>
                <w:szCs w:val="22"/>
              </w:rPr>
              <w:t>Vidēja</w:t>
            </w:r>
          </w:p>
        </w:tc>
        <w:tc>
          <w:tcPr>
            <w:tcW w:w="644" w:type="pct"/>
            <w:shd w:val="clear" w:color="auto" w:fill="auto"/>
            <w:vAlign w:val="center"/>
          </w:tcPr>
          <w:p w14:paraId="49B5C179" w14:textId="77777777" w:rsidR="00E45B7A" w:rsidRPr="00A73EF1" w:rsidRDefault="00E45B7A" w:rsidP="00A94C75">
            <w:pPr>
              <w:ind w:right="140"/>
              <w:jc w:val="center"/>
              <w:rPr>
                <w:rFonts w:ascii="Garamond" w:hAnsi="Garamond"/>
                <w:sz w:val="22"/>
                <w:szCs w:val="22"/>
              </w:rPr>
            </w:pPr>
            <w:r w:rsidRPr="00A73EF1">
              <w:rPr>
                <w:rFonts w:ascii="Garamond" w:hAnsi="Garamond"/>
                <w:sz w:val="22"/>
                <w:szCs w:val="22"/>
              </w:rPr>
              <w:t>Vidēja</w:t>
            </w:r>
          </w:p>
        </w:tc>
        <w:tc>
          <w:tcPr>
            <w:tcW w:w="2436" w:type="pct"/>
            <w:shd w:val="clear" w:color="auto" w:fill="auto"/>
            <w:vAlign w:val="center"/>
          </w:tcPr>
          <w:p w14:paraId="5CCC1293" w14:textId="2CB8BB70" w:rsidR="00E45B7A" w:rsidRPr="00A73EF1" w:rsidRDefault="005D7821" w:rsidP="00A94C75">
            <w:pPr>
              <w:ind w:right="140"/>
              <w:jc w:val="both"/>
              <w:rPr>
                <w:rFonts w:ascii="Garamond" w:hAnsi="Garamond"/>
                <w:sz w:val="22"/>
                <w:szCs w:val="22"/>
              </w:rPr>
            </w:pPr>
            <w:r w:rsidRPr="005D7821">
              <w:rPr>
                <w:rFonts w:ascii="Garamond" w:hAnsi="Garamond"/>
                <w:sz w:val="22"/>
                <w:szCs w:val="22"/>
              </w:rPr>
              <w:t>Līgumi ar izpildītājiem jāslēdz pamatojoties uz iepirkumu procedūras rezultātiem un nosacījumiem, kas tiks ietverti arī līgumā, kur nav paredzēts kompensēt no pasūtītāja puses sadārdzinājumu par veiktajiem vai plānotajiem darbiem. Jāparedz, ka riska iestāšanās gadījumā visu izmaksu sadārdzinājums (piemēram, inflācija, materiālu un atalgojuma izmaksu pieaugums, u.c.) būs piegādātāja atbildība. Projekta budžeta plāns paredz rezerves neparedzētiem izdevumiem. Projekta vadības grupa regulāri sekos faktiskajām izmaksām un salīdzinās tās ar plānoto budžetu.</w:t>
            </w:r>
          </w:p>
        </w:tc>
      </w:tr>
      <w:tr w:rsidR="00E45B7A" w:rsidRPr="00A73EF1" w14:paraId="6D4E3558" w14:textId="77777777" w:rsidTr="005D7821">
        <w:trPr>
          <w:trHeight w:val="1390"/>
        </w:trPr>
        <w:tc>
          <w:tcPr>
            <w:tcW w:w="437" w:type="pct"/>
            <w:shd w:val="clear" w:color="auto" w:fill="auto"/>
            <w:vAlign w:val="center"/>
          </w:tcPr>
          <w:p w14:paraId="6D44E1D6" w14:textId="6B80558B" w:rsidR="00E45B7A" w:rsidRPr="00A73EF1" w:rsidRDefault="00E45B7A" w:rsidP="00DB3A4F">
            <w:pPr>
              <w:ind w:right="140"/>
              <w:jc w:val="center"/>
              <w:rPr>
                <w:rFonts w:ascii="Garamond" w:hAnsi="Garamond"/>
                <w:sz w:val="22"/>
                <w:szCs w:val="22"/>
              </w:rPr>
            </w:pPr>
            <w:r>
              <w:rPr>
                <w:rFonts w:ascii="Garamond" w:hAnsi="Garamond"/>
                <w:sz w:val="22"/>
                <w:szCs w:val="22"/>
              </w:rPr>
              <w:t>1.2.</w:t>
            </w:r>
          </w:p>
        </w:tc>
        <w:tc>
          <w:tcPr>
            <w:tcW w:w="964" w:type="pct"/>
            <w:shd w:val="clear" w:color="auto" w:fill="auto"/>
            <w:vAlign w:val="center"/>
          </w:tcPr>
          <w:p w14:paraId="0698B612" w14:textId="6ED241CC" w:rsidR="00E45B7A" w:rsidRPr="00A73EF1" w:rsidRDefault="00E45B7A" w:rsidP="00DB3A4F">
            <w:pPr>
              <w:ind w:right="140"/>
              <w:rPr>
                <w:rFonts w:ascii="Garamond" w:hAnsi="Garamond"/>
                <w:sz w:val="22"/>
                <w:szCs w:val="22"/>
              </w:rPr>
            </w:pPr>
            <w:r w:rsidRPr="00DB3A4F">
              <w:rPr>
                <w:rFonts w:ascii="Garamond" w:hAnsi="Garamond"/>
                <w:sz w:val="22"/>
                <w:szCs w:val="22"/>
              </w:rPr>
              <w:t>Piesaistītā ES finansējuma neapgūšana pilnā apmērā</w:t>
            </w:r>
          </w:p>
        </w:tc>
        <w:tc>
          <w:tcPr>
            <w:tcW w:w="518" w:type="pct"/>
            <w:shd w:val="clear" w:color="auto" w:fill="auto"/>
            <w:vAlign w:val="center"/>
          </w:tcPr>
          <w:p w14:paraId="71D73F0D" w14:textId="4D43DE03" w:rsidR="00E45B7A" w:rsidRPr="00A73EF1" w:rsidRDefault="00E45B7A" w:rsidP="00DB3A4F">
            <w:pPr>
              <w:ind w:right="140"/>
              <w:jc w:val="center"/>
              <w:rPr>
                <w:rFonts w:ascii="Garamond" w:hAnsi="Garamond"/>
                <w:sz w:val="22"/>
                <w:szCs w:val="22"/>
              </w:rPr>
            </w:pPr>
            <w:r w:rsidRPr="00DB3A4F">
              <w:rPr>
                <w:rFonts w:ascii="Garamond" w:hAnsi="Garamond"/>
                <w:sz w:val="22"/>
                <w:szCs w:val="22"/>
              </w:rPr>
              <w:t>Vidēja</w:t>
            </w:r>
          </w:p>
        </w:tc>
        <w:tc>
          <w:tcPr>
            <w:tcW w:w="644" w:type="pct"/>
            <w:shd w:val="clear" w:color="auto" w:fill="auto"/>
            <w:vAlign w:val="center"/>
          </w:tcPr>
          <w:p w14:paraId="699ABCE6" w14:textId="38FF3540" w:rsidR="00E45B7A" w:rsidRPr="00A73EF1" w:rsidRDefault="005D7821" w:rsidP="00DB3A4F">
            <w:pPr>
              <w:ind w:right="140"/>
              <w:jc w:val="center"/>
              <w:rPr>
                <w:rFonts w:ascii="Garamond" w:hAnsi="Garamond"/>
                <w:sz w:val="22"/>
                <w:szCs w:val="22"/>
              </w:rPr>
            </w:pPr>
            <w:r>
              <w:rPr>
                <w:rFonts w:ascii="Garamond" w:hAnsi="Garamond"/>
                <w:sz w:val="22"/>
                <w:szCs w:val="22"/>
              </w:rPr>
              <w:t>Vidēja</w:t>
            </w:r>
          </w:p>
        </w:tc>
        <w:tc>
          <w:tcPr>
            <w:tcW w:w="2436" w:type="pct"/>
            <w:shd w:val="clear" w:color="auto" w:fill="auto"/>
            <w:vAlign w:val="center"/>
          </w:tcPr>
          <w:p w14:paraId="704DA209" w14:textId="73ECEA58" w:rsidR="00E45B7A" w:rsidRPr="00DB3A4F" w:rsidRDefault="005D7821" w:rsidP="00DB3A4F">
            <w:pPr>
              <w:ind w:right="140"/>
              <w:jc w:val="both"/>
              <w:rPr>
                <w:rFonts w:ascii="Garamond" w:hAnsi="Garamond"/>
                <w:sz w:val="22"/>
                <w:szCs w:val="22"/>
              </w:rPr>
            </w:pPr>
            <w:r w:rsidRPr="005D7821">
              <w:rPr>
                <w:rFonts w:ascii="Garamond" w:hAnsi="Garamond"/>
                <w:sz w:val="22"/>
                <w:szCs w:val="22"/>
              </w:rPr>
              <w:t>Lai izvairītos no riska iestāšanās, jāsastāda precīzi līgumi ar pakalpojumu sniedzējiem, paredzot līgumsodus par novirzēm no projekta plāna. Projekta īstenošanas gaitā tiks veikta stingra līgumu izpildes uzraudzība un izmaksu atbilstība no projekta vadības grupas puses. Projekts tiks īstenots atbilstoši projekta iesniegumam, noslēgtajam līgumam ar atbildīgo iestādi un citiem ar projekta ieviešanu saistītiem normatīviem aktiem. Gadījumā, ja iestāsies risks, situācija tiks izvērtēta projekta vadības un uzraudzības grupā, ar mērķi noskaidrot cēloni, kā arī samazināt turpmāku riska iestāšanās varbūtību.</w:t>
            </w:r>
          </w:p>
        </w:tc>
      </w:tr>
      <w:tr w:rsidR="00093F03" w:rsidRPr="00A73EF1" w14:paraId="05FE165F" w14:textId="77777777" w:rsidTr="00536506">
        <w:tc>
          <w:tcPr>
            <w:tcW w:w="5000" w:type="pct"/>
            <w:gridSpan w:val="5"/>
            <w:shd w:val="clear" w:color="auto" w:fill="auto"/>
          </w:tcPr>
          <w:p w14:paraId="254C9508" w14:textId="77777777" w:rsidR="00093F03" w:rsidRPr="00A73EF1" w:rsidRDefault="00093F03" w:rsidP="00A94C75">
            <w:pPr>
              <w:ind w:right="142"/>
              <w:rPr>
                <w:rFonts w:ascii="Garamond" w:hAnsi="Garamond"/>
                <w:b/>
                <w:bCs/>
                <w:sz w:val="22"/>
                <w:szCs w:val="22"/>
              </w:rPr>
            </w:pPr>
            <w:r w:rsidRPr="00A73EF1">
              <w:rPr>
                <w:rFonts w:ascii="Garamond" w:hAnsi="Garamond"/>
                <w:b/>
                <w:bCs/>
                <w:sz w:val="22"/>
                <w:szCs w:val="22"/>
              </w:rPr>
              <w:t>2.   Īstenošanas riski:</w:t>
            </w:r>
          </w:p>
        </w:tc>
      </w:tr>
      <w:tr w:rsidR="00E45B7A" w:rsidRPr="00A73EF1" w14:paraId="4913E387" w14:textId="77777777" w:rsidTr="005D7821">
        <w:trPr>
          <w:trHeight w:val="1155"/>
        </w:trPr>
        <w:tc>
          <w:tcPr>
            <w:tcW w:w="437" w:type="pct"/>
            <w:shd w:val="clear" w:color="auto" w:fill="auto"/>
            <w:vAlign w:val="center"/>
          </w:tcPr>
          <w:p w14:paraId="7FACF268" w14:textId="77777777" w:rsidR="00E45B7A" w:rsidRPr="00A73EF1" w:rsidRDefault="00E45B7A" w:rsidP="00A94C75">
            <w:pPr>
              <w:ind w:right="140"/>
              <w:jc w:val="center"/>
              <w:rPr>
                <w:rFonts w:ascii="Garamond" w:hAnsi="Garamond"/>
                <w:sz w:val="22"/>
                <w:szCs w:val="22"/>
              </w:rPr>
            </w:pPr>
            <w:r w:rsidRPr="00A73EF1">
              <w:rPr>
                <w:rFonts w:ascii="Garamond" w:hAnsi="Garamond"/>
                <w:sz w:val="22"/>
                <w:szCs w:val="22"/>
              </w:rPr>
              <w:t>2.1.</w:t>
            </w:r>
          </w:p>
        </w:tc>
        <w:tc>
          <w:tcPr>
            <w:tcW w:w="964" w:type="pct"/>
            <w:shd w:val="clear" w:color="auto" w:fill="auto"/>
            <w:vAlign w:val="center"/>
          </w:tcPr>
          <w:p w14:paraId="28DC6CF4" w14:textId="1ACC0F2D" w:rsidR="00E45B7A" w:rsidRPr="00A73EF1" w:rsidRDefault="005D7821" w:rsidP="00A94C75">
            <w:pPr>
              <w:ind w:right="140"/>
              <w:rPr>
                <w:rFonts w:ascii="Garamond" w:hAnsi="Garamond"/>
                <w:sz w:val="22"/>
                <w:szCs w:val="22"/>
              </w:rPr>
            </w:pPr>
            <w:r w:rsidRPr="005D7821">
              <w:rPr>
                <w:rFonts w:ascii="Garamond" w:hAnsi="Garamond"/>
                <w:sz w:val="22"/>
                <w:szCs w:val="22"/>
              </w:rPr>
              <w:t>Kļūdains vai prasībām neatbilstošs sistēmas dizains</w:t>
            </w:r>
          </w:p>
        </w:tc>
        <w:tc>
          <w:tcPr>
            <w:tcW w:w="518" w:type="pct"/>
            <w:shd w:val="clear" w:color="auto" w:fill="auto"/>
            <w:vAlign w:val="center"/>
          </w:tcPr>
          <w:p w14:paraId="349BE560" w14:textId="0347FEBE" w:rsidR="00E45B7A" w:rsidRPr="00A73EF1" w:rsidRDefault="005D7821" w:rsidP="00A94C75">
            <w:pPr>
              <w:ind w:right="140"/>
              <w:jc w:val="center"/>
              <w:rPr>
                <w:rFonts w:ascii="Garamond" w:hAnsi="Garamond"/>
                <w:sz w:val="22"/>
                <w:szCs w:val="22"/>
              </w:rPr>
            </w:pPr>
            <w:r>
              <w:rPr>
                <w:rFonts w:ascii="Garamond" w:hAnsi="Garamond"/>
                <w:sz w:val="22"/>
                <w:szCs w:val="22"/>
              </w:rPr>
              <w:t>Augsta</w:t>
            </w:r>
          </w:p>
        </w:tc>
        <w:tc>
          <w:tcPr>
            <w:tcW w:w="644" w:type="pct"/>
            <w:shd w:val="clear" w:color="auto" w:fill="auto"/>
            <w:vAlign w:val="center"/>
          </w:tcPr>
          <w:p w14:paraId="5BBB71E9" w14:textId="015FB71B" w:rsidR="00E45B7A" w:rsidRPr="00A73EF1" w:rsidRDefault="005D7821" w:rsidP="00A94C75">
            <w:pPr>
              <w:ind w:right="140"/>
              <w:jc w:val="center"/>
              <w:rPr>
                <w:rFonts w:ascii="Garamond" w:hAnsi="Garamond"/>
                <w:sz w:val="22"/>
                <w:szCs w:val="22"/>
              </w:rPr>
            </w:pPr>
            <w:r>
              <w:rPr>
                <w:rFonts w:ascii="Garamond" w:hAnsi="Garamond"/>
                <w:sz w:val="22"/>
                <w:szCs w:val="22"/>
              </w:rPr>
              <w:t>Vidēja</w:t>
            </w:r>
          </w:p>
        </w:tc>
        <w:tc>
          <w:tcPr>
            <w:tcW w:w="2436" w:type="pct"/>
            <w:shd w:val="clear" w:color="auto" w:fill="auto"/>
            <w:vAlign w:val="center"/>
          </w:tcPr>
          <w:p w14:paraId="49EDF66F" w14:textId="2937BAB7" w:rsidR="00E45B7A" w:rsidRPr="00A73EF1" w:rsidRDefault="005D7821" w:rsidP="00E45B7A">
            <w:pPr>
              <w:ind w:right="140"/>
              <w:jc w:val="both"/>
              <w:rPr>
                <w:rFonts w:ascii="Garamond" w:hAnsi="Garamond"/>
                <w:sz w:val="22"/>
                <w:szCs w:val="22"/>
              </w:rPr>
            </w:pPr>
            <w:r w:rsidRPr="005D7821">
              <w:rPr>
                <w:rFonts w:ascii="Garamond" w:hAnsi="Garamond"/>
                <w:sz w:val="22"/>
                <w:szCs w:val="22"/>
              </w:rPr>
              <w:t>Jāveic rūpīgu lietotāju prasību izpēti un sistēmas projektēšanu, iesaistot pieredzējušus IT sistēmu un programmatūras ekspertus. Regulāri jātestē katru izstrādes posmu, lai laikus identificētu un novērstu problēmas.</w:t>
            </w:r>
          </w:p>
        </w:tc>
      </w:tr>
      <w:tr w:rsidR="005D7821" w:rsidRPr="00A73EF1" w14:paraId="3EAE4C07" w14:textId="77777777" w:rsidTr="005D7821">
        <w:trPr>
          <w:trHeight w:val="1118"/>
        </w:trPr>
        <w:tc>
          <w:tcPr>
            <w:tcW w:w="437" w:type="pct"/>
            <w:shd w:val="clear" w:color="auto" w:fill="auto"/>
            <w:vAlign w:val="center"/>
          </w:tcPr>
          <w:p w14:paraId="26909825" w14:textId="2593353E" w:rsidR="005D7821" w:rsidRPr="00A73EF1" w:rsidRDefault="005D7821" w:rsidP="005D7821">
            <w:pPr>
              <w:ind w:right="140"/>
              <w:jc w:val="center"/>
              <w:rPr>
                <w:rFonts w:ascii="Garamond" w:hAnsi="Garamond"/>
                <w:sz w:val="22"/>
                <w:szCs w:val="22"/>
              </w:rPr>
            </w:pPr>
            <w:r>
              <w:rPr>
                <w:rFonts w:ascii="Garamond" w:hAnsi="Garamond"/>
                <w:sz w:val="22"/>
                <w:szCs w:val="22"/>
              </w:rPr>
              <w:t>2.2.</w:t>
            </w:r>
          </w:p>
        </w:tc>
        <w:tc>
          <w:tcPr>
            <w:tcW w:w="964" w:type="pct"/>
            <w:shd w:val="clear" w:color="auto" w:fill="auto"/>
            <w:vAlign w:val="center"/>
          </w:tcPr>
          <w:p w14:paraId="14298B87" w14:textId="329453BF" w:rsidR="005D7821" w:rsidRPr="00A73EF1" w:rsidRDefault="005D7821" w:rsidP="005D7821">
            <w:pPr>
              <w:ind w:right="140"/>
              <w:rPr>
                <w:rFonts w:ascii="Garamond" w:hAnsi="Garamond"/>
                <w:sz w:val="22"/>
                <w:szCs w:val="22"/>
              </w:rPr>
            </w:pPr>
            <w:r w:rsidRPr="00A73EF1">
              <w:rPr>
                <w:rFonts w:ascii="Garamond" w:hAnsi="Garamond"/>
                <w:sz w:val="22"/>
                <w:szCs w:val="22"/>
              </w:rPr>
              <w:t>Neatbilstoša pakalpojumu kvalitāte</w:t>
            </w:r>
          </w:p>
        </w:tc>
        <w:tc>
          <w:tcPr>
            <w:tcW w:w="518" w:type="pct"/>
            <w:shd w:val="clear" w:color="auto" w:fill="auto"/>
            <w:vAlign w:val="center"/>
          </w:tcPr>
          <w:p w14:paraId="18DA637B" w14:textId="7F5D9881" w:rsidR="005D7821" w:rsidRPr="004D14A6" w:rsidRDefault="005D7821" w:rsidP="005D7821">
            <w:pPr>
              <w:ind w:right="140"/>
              <w:jc w:val="center"/>
              <w:rPr>
                <w:rFonts w:ascii="Garamond" w:hAnsi="Garamond"/>
                <w:sz w:val="22"/>
                <w:szCs w:val="22"/>
              </w:rPr>
            </w:pPr>
            <w:r w:rsidRPr="004D14A6">
              <w:rPr>
                <w:rFonts w:ascii="Garamond" w:hAnsi="Garamond"/>
                <w:sz w:val="22"/>
                <w:szCs w:val="22"/>
              </w:rPr>
              <w:t>Augsta</w:t>
            </w:r>
          </w:p>
        </w:tc>
        <w:tc>
          <w:tcPr>
            <w:tcW w:w="644" w:type="pct"/>
            <w:shd w:val="clear" w:color="auto" w:fill="auto"/>
            <w:vAlign w:val="center"/>
          </w:tcPr>
          <w:p w14:paraId="0D272A52" w14:textId="44B09010" w:rsidR="005D7821" w:rsidRPr="00A73EF1" w:rsidRDefault="005D7821" w:rsidP="005D7821">
            <w:pPr>
              <w:ind w:right="140"/>
              <w:jc w:val="center"/>
              <w:rPr>
                <w:rFonts w:ascii="Garamond" w:hAnsi="Garamond"/>
                <w:sz w:val="22"/>
                <w:szCs w:val="22"/>
              </w:rPr>
            </w:pPr>
            <w:r w:rsidRPr="00A73EF1">
              <w:rPr>
                <w:rFonts w:ascii="Garamond" w:hAnsi="Garamond"/>
                <w:sz w:val="22"/>
                <w:szCs w:val="22"/>
              </w:rPr>
              <w:t>Vidēja</w:t>
            </w:r>
          </w:p>
        </w:tc>
        <w:tc>
          <w:tcPr>
            <w:tcW w:w="2436" w:type="pct"/>
            <w:shd w:val="clear" w:color="auto" w:fill="auto"/>
            <w:vAlign w:val="center"/>
          </w:tcPr>
          <w:p w14:paraId="328F4DF4" w14:textId="2CAB69C6" w:rsidR="005D7821" w:rsidRPr="00E45B7A" w:rsidRDefault="005D7821" w:rsidP="005D7821">
            <w:pPr>
              <w:ind w:right="140"/>
              <w:jc w:val="both"/>
              <w:rPr>
                <w:rFonts w:ascii="Garamond" w:hAnsi="Garamond"/>
                <w:sz w:val="22"/>
                <w:szCs w:val="22"/>
              </w:rPr>
            </w:pPr>
            <w:r w:rsidRPr="005D7821">
              <w:rPr>
                <w:rFonts w:ascii="Garamond" w:hAnsi="Garamond"/>
                <w:sz w:val="22"/>
                <w:szCs w:val="22"/>
              </w:rPr>
              <w:t>Pakalpojumu sniedzēju atlasē jāizvērtē ne tikai finansiālais izdevīgums, bet arī veikto darbu kvalitāte, pieredze līdzīgu pasūtījumu īstenošanā un citi aspekti, kas ļautu pārliecināties par izpildītāja spējām. Līgumā jāiekļauj kvalitātes garantijas prasības.</w:t>
            </w:r>
          </w:p>
        </w:tc>
      </w:tr>
      <w:tr w:rsidR="005D7821" w:rsidRPr="00A73EF1" w14:paraId="4E338E2F" w14:textId="77777777" w:rsidTr="00536506">
        <w:tc>
          <w:tcPr>
            <w:tcW w:w="5000" w:type="pct"/>
            <w:gridSpan w:val="5"/>
            <w:shd w:val="clear" w:color="auto" w:fill="auto"/>
          </w:tcPr>
          <w:p w14:paraId="1B0C9EC4" w14:textId="77777777" w:rsidR="005D7821" w:rsidRPr="00A73EF1" w:rsidRDefault="005D7821" w:rsidP="005D7821">
            <w:pPr>
              <w:ind w:right="142"/>
              <w:rPr>
                <w:rFonts w:ascii="Garamond" w:hAnsi="Garamond"/>
                <w:b/>
                <w:bCs/>
                <w:sz w:val="22"/>
                <w:szCs w:val="22"/>
              </w:rPr>
            </w:pPr>
            <w:r w:rsidRPr="00A73EF1">
              <w:rPr>
                <w:rFonts w:ascii="Garamond" w:hAnsi="Garamond"/>
                <w:b/>
                <w:bCs/>
                <w:sz w:val="22"/>
                <w:szCs w:val="22"/>
              </w:rPr>
              <w:t>3.   Rezultātu un uzraudzības rādītāju sasniegšanas riski:</w:t>
            </w:r>
          </w:p>
        </w:tc>
      </w:tr>
      <w:tr w:rsidR="005D7821" w:rsidRPr="00A73EF1" w14:paraId="104EADF5" w14:textId="77777777" w:rsidTr="005D7821">
        <w:trPr>
          <w:trHeight w:val="966"/>
        </w:trPr>
        <w:tc>
          <w:tcPr>
            <w:tcW w:w="437" w:type="pct"/>
            <w:shd w:val="clear" w:color="auto" w:fill="auto"/>
            <w:vAlign w:val="center"/>
          </w:tcPr>
          <w:p w14:paraId="2AE277C5" w14:textId="77777777" w:rsidR="005D7821" w:rsidRPr="00A73EF1" w:rsidRDefault="005D7821" w:rsidP="005D7821">
            <w:pPr>
              <w:ind w:right="140"/>
              <w:jc w:val="center"/>
              <w:rPr>
                <w:rFonts w:ascii="Garamond" w:hAnsi="Garamond"/>
                <w:sz w:val="22"/>
                <w:szCs w:val="22"/>
              </w:rPr>
            </w:pPr>
          </w:p>
          <w:p w14:paraId="4D197A1C" w14:textId="77777777" w:rsidR="005D7821" w:rsidRPr="00A73EF1" w:rsidRDefault="005D7821" w:rsidP="005D7821">
            <w:pPr>
              <w:ind w:right="140"/>
              <w:jc w:val="center"/>
              <w:rPr>
                <w:rFonts w:ascii="Garamond" w:hAnsi="Garamond"/>
                <w:sz w:val="22"/>
                <w:szCs w:val="22"/>
              </w:rPr>
            </w:pPr>
            <w:r w:rsidRPr="00A73EF1">
              <w:rPr>
                <w:rFonts w:ascii="Garamond" w:hAnsi="Garamond"/>
                <w:sz w:val="22"/>
                <w:szCs w:val="22"/>
              </w:rPr>
              <w:t>3.1.</w:t>
            </w:r>
          </w:p>
          <w:p w14:paraId="656E7131" w14:textId="77777777" w:rsidR="005D7821" w:rsidRPr="00A73EF1" w:rsidRDefault="005D7821" w:rsidP="005D7821">
            <w:pPr>
              <w:ind w:right="140"/>
              <w:jc w:val="center"/>
              <w:rPr>
                <w:rFonts w:ascii="Garamond" w:hAnsi="Garamond"/>
                <w:sz w:val="22"/>
                <w:szCs w:val="22"/>
              </w:rPr>
            </w:pPr>
          </w:p>
        </w:tc>
        <w:tc>
          <w:tcPr>
            <w:tcW w:w="964" w:type="pct"/>
            <w:shd w:val="clear" w:color="auto" w:fill="auto"/>
            <w:vAlign w:val="center"/>
          </w:tcPr>
          <w:p w14:paraId="58F949A7" w14:textId="77C111BF" w:rsidR="005D7821" w:rsidRPr="00A73EF1" w:rsidRDefault="005D7821" w:rsidP="005D7821">
            <w:pPr>
              <w:ind w:right="140"/>
              <w:rPr>
                <w:rFonts w:ascii="Garamond" w:hAnsi="Garamond"/>
                <w:sz w:val="22"/>
                <w:szCs w:val="22"/>
              </w:rPr>
            </w:pPr>
            <w:r w:rsidRPr="00A73EF1">
              <w:rPr>
                <w:rFonts w:ascii="Garamond" w:hAnsi="Garamond"/>
                <w:sz w:val="22"/>
                <w:szCs w:val="22"/>
              </w:rPr>
              <w:t>Netiek iz</w:t>
            </w:r>
            <w:r>
              <w:rPr>
                <w:rFonts w:ascii="Garamond" w:hAnsi="Garamond"/>
                <w:sz w:val="22"/>
                <w:szCs w:val="22"/>
              </w:rPr>
              <w:t>veidots</w:t>
            </w:r>
            <w:r w:rsidRPr="00A73EF1">
              <w:rPr>
                <w:rFonts w:ascii="Garamond" w:hAnsi="Garamond"/>
                <w:sz w:val="22"/>
                <w:szCs w:val="22"/>
              </w:rPr>
              <w:t xml:space="preserve"> plānotais infrastruktūras apjoms</w:t>
            </w:r>
          </w:p>
        </w:tc>
        <w:tc>
          <w:tcPr>
            <w:tcW w:w="518" w:type="pct"/>
            <w:shd w:val="clear" w:color="auto" w:fill="auto"/>
            <w:vAlign w:val="center"/>
          </w:tcPr>
          <w:p w14:paraId="77909D90" w14:textId="77777777" w:rsidR="005D7821" w:rsidRPr="00A73EF1" w:rsidRDefault="005D7821" w:rsidP="005D7821">
            <w:pPr>
              <w:ind w:right="140"/>
              <w:jc w:val="center"/>
              <w:rPr>
                <w:rFonts w:ascii="Garamond" w:hAnsi="Garamond"/>
                <w:sz w:val="22"/>
                <w:szCs w:val="22"/>
              </w:rPr>
            </w:pPr>
            <w:r w:rsidRPr="00A73EF1">
              <w:rPr>
                <w:rFonts w:ascii="Garamond" w:hAnsi="Garamond"/>
                <w:sz w:val="22"/>
                <w:szCs w:val="22"/>
              </w:rPr>
              <w:t>Vidēja</w:t>
            </w:r>
          </w:p>
        </w:tc>
        <w:tc>
          <w:tcPr>
            <w:tcW w:w="644" w:type="pct"/>
            <w:shd w:val="clear" w:color="auto" w:fill="auto"/>
            <w:vAlign w:val="center"/>
          </w:tcPr>
          <w:p w14:paraId="01F9A29D" w14:textId="77777777" w:rsidR="005D7821" w:rsidRPr="00A73EF1" w:rsidRDefault="005D7821" w:rsidP="005D7821">
            <w:pPr>
              <w:ind w:right="140"/>
              <w:jc w:val="center"/>
              <w:rPr>
                <w:rFonts w:ascii="Garamond" w:hAnsi="Garamond"/>
                <w:sz w:val="22"/>
                <w:szCs w:val="22"/>
              </w:rPr>
            </w:pPr>
            <w:r w:rsidRPr="00A73EF1">
              <w:rPr>
                <w:rFonts w:ascii="Garamond" w:hAnsi="Garamond"/>
                <w:sz w:val="22"/>
                <w:szCs w:val="22"/>
              </w:rPr>
              <w:t>Zema</w:t>
            </w:r>
          </w:p>
        </w:tc>
        <w:tc>
          <w:tcPr>
            <w:tcW w:w="2436" w:type="pct"/>
            <w:shd w:val="clear" w:color="auto" w:fill="auto"/>
            <w:vAlign w:val="center"/>
          </w:tcPr>
          <w:p w14:paraId="60E019E7" w14:textId="30C79259" w:rsidR="005D7821" w:rsidRPr="00A73EF1" w:rsidRDefault="005D7821" w:rsidP="005D7821">
            <w:pPr>
              <w:ind w:right="140"/>
              <w:jc w:val="both"/>
              <w:rPr>
                <w:rFonts w:ascii="Garamond" w:hAnsi="Garamond"/>
                <w:sz w:val="22"/>
                <w:szCs w:val="22"/>
              </w:rPr>
            </w:pPr>
            <w:r w:rsidRPr="00E45B7A">
              <w:rPr>
                <w:rFonts w:ascii="Garamond" w:hAnsi="Garamond"/>
                <w:sz w:val="22"/>
                <w:szCs w:val="22"/>
              </w:rPr>
              <w:t>Riska pakāpe nebūtiska. Risku iespējams mazināt, nodrošinot efektīvu projekta vadību un projekta īstenošanas uzraudzību. Projekta īstenošanai tiks piesaistīti kompetenti speciālisti ar projekta vadības pieredzi līdzvērtīgu projektu īstenošanā.</w:t>
            </w:r>
            <w:r w:rsidRPr="00E45B7A">
              <w:rPr>
                <w:rFonts w:ascii="Garamond" w:hAnsi="Garamond"/>
                <w:sz w:val="22"/>
                <w:szCs w:val="22"/>
              </w:rPr>
              <w:tab/>
            </w:r>
          </w:p>
        </w:tc>
      </w:tr>
      <w:tr w:rsidR="005D7821" w:rsidRPr="00A73EF1" w14:paraId="4776010E" w14:textId="77777777" w:rsidTr="00536506">
        <w:tc>
          <w:tcPr>
            <w:tcW w:w="5000" w:type="pct"/>
            <w:gridSpan w:val="5"/>
            <w:shd w:val="clear" w:color="auto" w:fill="auto"/>
          </w:tcPr>
          <w:p w14:paraId="35743DDC" w14:textId="5D734B6F" w:rsidR="005D7821" w:rsidRPr="00A73EF1" w:rsidRDefault="005D7821" w:rsidP="005D7821">
            <w:pPr>
              <w:ind w:right="142"/>
              <w:rPr>
                <w:rFonts w:ascii="Garamond" w:hAnsi="Garamond"/>
                <w:b/>
                <w:bCs/>
                <w:sz w:val="22"/>
                <w:szCs w:val="22"/>
              </w:rPr>
            </w:pPr>
            <w:r w:rsidRPr="00A73EF1">
              <w:rPr>
                <w:rFonts w:ascii="Garamond" w:hAnsi="Garamond"/>
                <w:b/>
                <w:bCs/>
                <w:sz w:val="22"/>
                <w:szCs w:val="22"/>
              </w:rPr>
              <w:t xml:space="preserve">4.   Projekta </w:t>
            </w:r>
            <w:r>
              <w:rPr>
                <w:rFonts w:ascii="Garamond" w:hAnsi="Garamond"/>
                <w:b/>
                <w:bCs/>
                <w:sz w:val="22"/>
                <w:szCs w:val="22"/>
              </w:rPr>
              <w:t>administrēšanas</w:t>
            </w:r>
            <w:r w:rsidRPr="00A73EF1">
              <w:rPr>
                <w:rFonts w:ascii="Garamond" w:hAnsi="Garamond"/>
                <w:b/>
                <w:bCs/>
                <w:sz w:val="22"/>
                <w:szCs w:val="22"/>
              </w:rPr>
              <w:t xml:space="preserve"> riski:</w:t>
            </w:r>
          </w:p>
        </w:tc>
      </w:tr>
      <w:tr w:rsidR="005D7821" w:rsidRPr="00A73EF1" w14:paraId="5CA4A9F1" w14:textId="77777777" w:rsidTr="005D7821">
        <w:tc>
          <w:tcPr>
            <w:tcW w:w="437" w:type="pct"/>
            <w:shd w:val="clear" w:color="auto" w:fill="auto"/>
            <w:vAlign w:val="center"/>
          </w:tcPr>
          <w:p w14:paraId="151351A7" w14:textId="77777777" w:rsidR="005D7821" w:rsidRPr="00A73EF1" w:rsidRDefault="005D7821" w:rsidP="005D7821">
            <w:pPr>
              <w:ind w:right="140"/>
              <w:jc w:val="center"/>
              <w:rPr>
                <w:rFonts w:ascii="Garamond" w:hAnsi="Garamond"/>
                <w:sz w:val="22"/>
                <w:szCs w:val="22"/>
              </w:rPr>
            </w:pPr>
            <w:r w:rsidRPr="00A73EF1">
              <w:rPr>
                <w:rFonts w:ascii="Garamond" w:hAnsi="Garamond"/>
                <w:sz w:val="22"/>
                <w:szCs w:val="22"/>
              </w:rPr>
              <w:t>4.1.</w:t>
            </w:r>
          </w:p>
        </w:tc>
        <w:tc>
          <w:tcPr>
            <w:tcW w:w="964" w:type="pct"/>
            <w:shd w:val="clear" w:color="auto" w:fill="auto"/>
            <w:vAlign w:val="center"/>
          </w:tcPr>
          <w:p w14:paraId="213025CC" w14:textId="4249003E" w:rsidR="005D7821" w:rsidRPr="00A73EF1" w:rsidRDefault="005D7821" w:rsidP="005D7821">
            <w:pPr>
              <w:ind w:right="140"/>
              <w:rPr>
                <w:rFonts w:ascii="Garamond" w:hAnsi="Garamond"/>
                <w:sz w:val="22"/>
                <w:szCs w:val="22"/>
              </w:rPr>
            </w:pPr>
            <w:r>
              <w:rPr>
                <w:rFonts w:ascii="Garamond" w:hAnsi="Garamond"/>
                <w:sz w:val="22"/>
                <w:szCs w:val="22"/>
              </w:rPr>
              <w:t>D</w:t>
            </w:r>
            <w:r w:rsidRPr="00A73EF1">
              <w:rPr>
                <w:rFonts w:ascii="Garamond" w:hAnsi="Garamond"/>
                <w:sz w:val="22"/>
                <w:szCs w:val="22"/>
              </w:rPr>
              <w:t>arbu izpildes termiņa pagarinājums</w:t>
            </w:r>
          </w:p>
        </w:tc>
        <w:tc>
          <w:tcPr>
            <w:tcW w:w="518" w:type="pct"/>
            <w:shd w:val="clear" w:color="auto" w:fill="auto"/>
            <w:vAlign w:val="center"/>
          </w:tcPr>
          <w:p w14:paraId="1E3127E5" w14:textId="77777777" w:rsidR="005D7821" w:rsidRPr="00A73EF1" w:rsidRDefault="005D7821" w:rsidP="005D7821">
            <w:pPr>
              <w:ind w:right="140"/>
              <w:jc w:val="center"/>
              <w:rPr>
                <w:rFonts w:ascii="Garamond" w:hAnsi="Garamond"/>
                <w:sz w:val="22"/>
                <w:szCs w:val="22"/>
              </w:rPr>
            </w:pPr>
            <w:r w:rsidRPr="00A73EF1">
              <w:rPr>
                <w:rFonts w:ascii="Garamond" w:hAnsi="Garamond"/>
                <w:sz w:val="22"/>
                <w:szCs w:val="22"/>
              </w:rPr>
              <w:t>Vidēja</w:t>
            </w:r>
          </w:p>
        </w:tc>
        <w:tc>
          <w:tcPr>
            <w:tcW w:w="644" w:type="pct"/>
            <w:shd w:val="clear" w:color="auto" w:fill="auto"/>
            <w:vAlign w:val="center"/>
          </w:tcPr>
          <w:p w14:paraId="5ED443AC" w14:textId="5DB3E163" w:rsidR="005D7821" w:rsidRPr="00A73EF1" w:rsidRDefault="005D7821" w:rsidP="005D7821">
            <w:pPr>
              <w:ind w:right="140"/>
              <w:jc w:val="center"/>
              <w:rPr>
                <w:rFonts w:ascii="Garamond" w:hAnsi="Garamond"/>
                <w:sz w:val="22"/>
                <w:szCs w:val="22"/>
              </w:rPr>
            </w:pPr>
            <w:r>
              <w:rPr>
                <w:rFonts w:ascii="Garamond" w:hAnsi="Garamond"/>
                <w:sz w:val="22"/>
                <w:szCs w:val="22"/>
              </w:rPr>
              <w:t>Vidēja</w:t>
            </w:r>
          </w:p>
        </w:tc>
        <w:tc>
          <w:tcPr>
            <w:tcW w:w="2436" w:type="pct"/>
            <w:shd w:val="clear" w:color="auto" w:fill="auto"/>
          </w:tcPr>
          <w:p w14:paraId="10350244" w14:textId="364504AA" w:rsidR="005D7821" w:rsidRPr="00A73EF1" w:rsidRDefault="005D7821" w:rsidP="005D7821">
            <w:pPr>
              <w:ind w:right="140"/>
              <w:jc w:val="both"/>
              <w:rPr>
                <w:rFonts w:ascii="Garamond" w:hAnsi="Garamond"/>
                <w:sz w:val="22"/>
                <w:szCs w:val="22"/>
              </w:rPr>
            </w:pPr>
            <w:r w:rsidRPr="005D7821">
              <w:rPr>
                <w:rFonts w:ascii="Garamond" w:hAnsi="Garamond"/>
                <w:sz w:val="22"/>
                <w:szCs w:val="22"/>
              </w:rPr>
              <w:t xml:space="preserve">Līgumā par darbu veikšanu izpildītāja saistību nepildīšanas gadījumā jāparedz sankcijas (līgumsods). Projekta darbības jāplāno, pieļaujot nelielas aktivitāšu izpildes termiņu korekcijas (ārkārtas apstākļu radītas). Kā vienu no galvenajiem kritērijiem potenciālo izpildītāju izvēlē jānosaka to pieredzi, kapacitāti, kā </w:t>
            </w:r>
            <w:r w:rsidRPr="005D7821">
              <w:rPr>
                <w:rFonts w:ascii="Garamond" w:hAnsi="Garamond"/>
                <w:sz w:val="22"/>
                <w:szCs w:val="22"/>
              </w:rPr>
              <w:lastRenderedPageBreak/>
              <w:t>arī sniegtās rekomendācijas un atsauksmes par citiem līdzvērtīgiem pretendenta veiktajiem darbiem.</w:t>
            </w:r>
          </w:p>
        </w:tc>
      </w:tr>
      <w:tr w:rsidR="005D7821" w:rsidRPr="00A73EF1" w14:paraId="7CA0393C" w14:textId="77777777" w:rsidTr="005D7821">
        <w:tc>
          <w:tcPr>
            <w:tcW w:w="437" w:type="pct"/>
            <w:shd w:val="clear" w:color="auto" w:fill="auto"/>
            <w:vAlign w:val="center"/>
          </w:tcPr>
          <w:p w14:paraId="10F38424" w14:textId="729E08F3" w:rsidR="005D7821" w:rsidRPr="00A73EF1" w:rsidRDefault="005D7821" w:rsidP="005D7821">
            <w:pPr>
              <w:ind w:right="140"/>
              <w:jc w:val="center"/>
              <w:rPr>
                <w:rFonts w:ascii="Garamond" w:hAnsi="Garamond"/>
                <w:sz w:val="22"/>
                <w:szCs w:val="22"/>
              </w:rPr>
            </w:pPr>
            <w:r>
              <w:rPr>
                <w:rFonts w:ascii="Garamond" w:hAnsi="Garamond"/>
                <w:sz w:val="22"/>
                <w:szCs w:val="22"/>
              </w:rPr>
              <w:lastRenderedPageBreak/>
              <w:t>4.2.</w:t>
            </w:r>
          </w:p>
        </w:tc>
        <w:tc>
          <w:tcPr>
            <w:tcW w:w="964" w:type="pct"/>
            <w:shd w:val="clear" w:color="auto" w:fill="auto"/>
            <w:vAlign w:val="center"/>
          </w:tcPr>
          <w:p w14:paraId="6921158B" w14:textId="1ED9E88E" w:rsidR="005D7821" w:rsidRPr="00A73EF1" w:rsidRDefault="005D7821" w:rsidP="005D7821">
            <w:pPr>
              <w:ind w:right="140"/>
              <w:rPr>
                <w:rFonts w:ascii="Garamond" w:hAnsi="Garamond"/>
                <w:sz w:val="22"/>
                <w:szCs w:val="22"/>
              </w:rPr>
            </w:pPr>
            <w:r>
              <w:rPr>
                <w:rFonts w:ascii="Garamond" w:hAnsi="Garamond"/>
                <w:sz w:val="22"/>
                <w:szCs w:val="22"/>
              </w:rPr>
              <w:t>Iepirkumu pārsūdzēšana</w:t>
            </w:r>
          </w:p>
        </w:tc>
        <w:tc>
          <w:tcPr>
            <w:tcW w:w="518" w:type="pct"/>
            <w:shd w:val="clear" w:color="auto" w:fill="auto"/>
            <w:vAlign w:val="center"/>
          </w:tcPr>
          <w:p w14:paraId="1BFFE140" w14:textId="5690FFD6" w:rsidR="005D7821" w:rsidRPr="00A73EF1" w:rsidRDefault="005D7821" w:rsidP="005D7821">
            <w:pPr>
              <w:ind w:right="140"/>
              <w:jc w:val="center"/>
              <w:rPr>
                <w:rFonts w:ascii="Garamond" w:hAnsi="Garamond"/>
                <w:sz w:val="22"/>
                <w:szCs w:val="22"/>
              </w:rPr>
            </w:pPr>
            <w:r>
              <w:rPr>
                <w:rFonts w:ascii="Garamond" w:hAnsi="Garamond"/>
                <w:sz w:val="22"/>
                <w:szCs w:val="22"/>
              </w:rPr>
              <w:t>Vidēja</w:t>
            </w:r>
          </w:p>
        </w:tc>
        <w:tc>
          <w:tcPr>
            <w:tcW w:w="644" w:type="pct"/>
            <w:shd w:val="clear" w:color="auto" w:fill="auto"/>
            <w:vAlign w:val="center"/>
          </w:tcPr>
          <w:p w14:paraId="427102B5" w14:textId="191838CC" w:rsidR="005D7821" w:rsidRDefault="005D7821" w:rsidP="005D7821">
            <w:pPr>
              <w:ind w:right="140"/>
              <w:jc w:val="center"/>
              <w:rPr>
                <w:rFonts w:ascii="Garamond" w:hAnsi="Garamond"/>
                <w:sz w:val="22"/>
                <w:szCs w:val="22"/>
              </w:rPr>
            </w:pPr>
            <w:r>
              <w:rPr>
                <w:rFonts w:ascii="Garamond" w:hAnsi="Garamond"/>
                <w:sz w:val="22"/>
                <w:szCs w:val="22"/>
              </w:rPr>
              <w:t>Vidēja</w:t>
            </w:r>
          </w:p>
        </w:tc>
        <w:tc>
          <w:tcPr>
            <w:tcW w:w="2436" w:type="pct"/>
            <w:shd w:val="clear" w:color="auto" w:fill="auto"/>
          </w:tcPr>
          <w:p w14:paraId="0481A4E9" w14:textId="7F191D1C" w:rsidR="005D7821" w:rsidRPr="00E45B7A" w:rsidRDefault="005D7821" w:rsidP="005D7821">
            <w:pPr>
              <w:ind w:right="140"/>
              <w:jc w:val="both"/>
              <w:rPr>
                <w:rFonts w:ascii="Garamond" w:hAnsi="Garamond"/>
                <w:sz w:val="22"/>
                <w:szCs w:val="22"/>
              </w:rPr>
            </w:pPr>
            <w:r w:rsidRPr="005D7821">
              <w:rPr>
                <w:rFonts w:ascii="Garamond" w:hAnsi="Garamond"/>
                <w:sz w:val="22"/>
                <w:szCs w:val="22"/>
              </w:rPr>
              <w:t>Projekta īstenotājam ir liela pieredze iepirkumu dokumentācijas kvalitatīvā izstrāde un iepirkuma procesu vadībā. Lai samazinātu šī riska iestāšanās varbūtību, uz projekta ieviešanas uzsākšanas brīdi tiks detalizēti, atbilstoši visām prasībām (normatīvo aktu līmenī) un projekta vajadzībām, sagatavota iepirkuma tehniskā dokumentācija, samazinot iepirkumu rezultātu apstrīdēšanas iespēju. Lai mazinātu šī riska potenciālo ietekmi, projekta darbību un to ieviešanas laika plānā ir iekļauta atbilstoša laika rezerve.</w:t>
            </w:r>
          </w:p>
        </w:tc>
      </w:tr>
      <w:tr w:rsidR="005D7821" w:rsidRPr="00A73EF1" w14:paraId="3DDE661B" w14:textId="77777777" w:rsidTr="005D7821">
        <w:trPr>
          <w:trHeight w:val="737"/>
        </w:trPr>
        <w:tc>
          <w:tcPr>
            <w:tcW w:w="437" w:type="pct"/>
            <w:shd w:val="clear" w:color="auto" w:fill="auto"/>
            <w:vAlign w:val="center"/>
          </w:tcPr>
          <w:p w14:paraId="34186814" w14:textId="71A04376" w:rsidR="005D7821" w:rsidRPr="00A73EF1" w:rsidRDefault="005D7821" w:rsidP="005D7821">
            <w:pPr>
              <w:ind w:right="140"/>
              <w:jc w:val="center"/>
              <w:rPr>
                <w:rFonts w:ascii="Garamond" w:hAnsi="Garamond"/>
                <w:sz w:val="22"/>
                <w:szCs w:val="22"/>
              </w:rPr>
            </w:pPr>
            <w:r w:rsidRPr="00A73EF1">
              <w:rPr>
                <w:rFonts w:ascii="Garamond" w:hAnsi="Garamond"/>
                <w:sz w:val="22"/>
                <w:szCs w:val="22"/>
              </w:rPr>
              <w:t>4.</w:t>
            </w:r>
            <w:r>
              <w:rPr>
                <w:rFonts w:ascii="Garamond" w:hAnsi="Garamond"/>
                <w:sz w:val="22"/>
                <w:szCs w:val="22"/>
              </w:rPr>
              <w:t>3</w:t>
            </w:r>
            <w:r w:rsidRPr="00A73EF1">
              <w:rPr>
                <w:rFonts w:ascii="Garamond" w:hAnsi="Garamond"/>
                <w:sz w:val="22"/>
                <w:szCs w:val="22"/>
              </w:rPr>
              <w:t>.</w:t>
            </w:r>
          </w:p>
        </w:tc>
        <w:tc>
          <w:tcPr>
            <w:tcW w:w="964" w:type="pct"/>
            <w:shd w:val="clear" w:color="auto" w:fill="auto"/>
            <w:vAlign w:val="center"/>
          </w:tcPr>
          <w:p w14:paraId="275DA5D4" w14:textId="77777777" w:rsidR="005D7821" w:rsidRPr="00A73EF1" w:rsidRDefault="005D7821" w:rsidP="005D7821">
            <w:pPr>
              <w:ind w:right="140"/>
              <w:rPr>
                <w:rFonts w:ascii="Garamond" w:hAnsi="Garamond"/>
                <w:sz w:val="22"/>
                <w:szCs w:val="22"/>
              </w:rPr>
            </w:pPr>
            <w:r w:rsidRPr="00A73EF1">
              <w:rPr>
                <w:rFonts w:ascii="Garamond" w:hAnsi="Garamond"/>
                <w:sz w:val="22"/>
                <w:szCs w:val="22"/>
              </w:rPr>
              <w:t>Neatbilstoša projekta vadības kvalitāte</w:t>
            </w:r>
          </w:p>
        </w:tc>
        <w:tc>
          <w:tcPr>
            <w:tcW w:w="518" w:type="pct"/>
            <w:shd w:val="clear" w:color="auto" w:fill="auto"/>
            <w:vAlign w:val="center"/>
          </w:tcPr>
          <w:p w14:paraId="3BC2092F" w14:textId="77777777" w:rsidR="005D7821" w:rsidRPr="00A73EF1" w:rsidRDefault="005D7821" w:rsidP="005D7821">
            <w:pPr>
              <w:ind w:right="140"/>
              <w:jc w:val="center"/>
              <w:rPr>
                <w:rFonts w:ascii="Garamond" w:hAnsi="Garamond"/>
                <w:sz w:val="22"/>
                <w:szCs w:val="22"/>
              </w:rPr>
            </w:pPr>
            <w:r>
              <w:rPr>
                <w:rFonts w:ascii="Garamond" w:hAnsi="Garamond"/>
                <w:sz w:val="22"/>
                <w:szCs w:val="22"/>
              </w:rPr>
              <w:t>Vidēja</w:t>
            </w:r>
          </w:p>
        </w:tc>
        <w:tc>
          <w:tcPr>
            <w:tcW w:w="644" w:type="pct"/>
            <w:shd w:val="clear" w:color="auto" w:fill="auto"/>
            <w:vAlign w:val="center"/>
          </w:tcPr>
          <w:p w14:paraId="1DE735E7" w14:textId="77777777" w:rsidR="005D7821" w:rsidRPr="00A73EF1" w:rsidRDefault="005D7821" w:rsidP="005D7821">
            <w:pPr>
              <w:ind w:right="140"/>
              <w:jc w:val="center"/>
              <w:rPr>
                <w:rFonts w:ascii="Garamond" w:hAnsi="Garamond"/>
                <w:sz w:val="22"/>
                <w:szCs w:val="22"/>
              </w:rPr>
            </w:pPr>
            <w:r>
              <w:rPr>
                <w:rFonts w:ascii="Garamond" w:hAnsi="Garamond"/>
                <w:sz w:val="22"/>
                <w:szCs w:val="22"/>
              </w:rPr>
              <w:t>Zema</w:t>
            </w:r>
          </w:p>
        </w:tc>
        <w:tc>
          <w:tcPr>
            <w:tcW w:w="2436" w:type="pct"/>
            <w:shd w:val="clear" w:color="auto" w:fill="auto"/>
            <w:vAlign w:val="center"/>
          </w:tcPr>
          <w:p w14:paraId="4A0BB2FD" w14:textId="425CE204" w:rsidR="005D7821" w:rsidRPr="00A73EF1" w:rsidRDefault="005D7821" w:rsidP="005D7821">
            <w:pPr>
              <w:ind w:right="140"/>
              <w:jc w:val="both"/>
              <w:rPr>
                <w:rFonts w:ascii="Garamond" w:hAnsi="Garamond"/>
                <w:sz w:val="22"/>
                <w:szCs w:val="22"/>
              </w:rPr>
            </w:pPr>
            <w:r w:rsidRPr="005D7821">
              <w:rPr>
                <w:rFonts w:ascii="Garamond" w:hAnsi="Garamond"/>
                <w:sz w:val="22"/>
                <w:szCs w:val="22"/>
              </w:rPr>
              <w:t>Riska pakāpe nebūtiska. Projekta īstenošanu veiks kompetenti speciālisti ar pieredzi līdzvērtīgu projektu īstenošanā.</w:t>
            </w:r>
          </w:p>
        </w:tc>
      </w:tr>
    </w:tbl>
    <w:p w14:paraId="270D5F76" w14:textId="4713FA9F" w:rsidR="00093F03" w:rsidRDefault="00093F03" w:rsidP="00E90178">
      <w:pPr>
        <w:pStyle w:val="GaramondTeksts"/>
        <w:spacing w:after="120" w:line="240" w:lineRule="auto"/>
        <w:jc w:val="both"/>
        <w:rPr>
          <w:rFonts w:cs="Arial"/>
          <w:color w:val="000000"/>
        </w:rPr>
      </w:pPr>
    </w:p>
    <w:p w14:paraId="64828DE9" w14:textId="7F8B0FEA" w:rsidR="00093F03" w:rsidRDefault="00093F03" w:rsidP="00E90178">
      <w:pPr>
        <w:pStyle w:val="GaramondTeksts"/>
        <w:spacing w:after="120" w:line="240" w:lineRule="auto"/>
        <w:jc w:val="both"/>
        <w:rPr>
          <w:rFonts w:cs="Arial"/>
          <w:color w:val="000000"/>
        </w:rPr>
      </w:pPr>
    </w:p>
    <w:p w14:paraId="328AC6EB" w14:textId="77777777" w:rsidR="007E7422" w:rsidRDefault="007E7422" w:rsidP="00E45B7A">
      <w:pPr>
        <w:ind w:right="140"/>
      </w:pPr>
    </w:p>
    <w:sectPr w:rsidR="007E7422" w:rsidSect="00093F03">
      <w:pgSz w:w="11906" w:h="16838"/>
      <w:pgMar w:top="1440" w:right="1985"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23245" w14:textId="77777777" w:rsidR="00444B40" w:rsidRDefault="00444B40">
      <w:r>
        <w:separator/>
      </w:r>
    </w:p>
  </w:endnote>
  <w:endnote w:type="continuationSeparator" w:id="0">
    <w:p w14:paraId="14705BAC" w14:textId="77777777" w:rsidR="00444B40" w:rsidRDefault="00444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78A43" w14:textId="77777777" w:rsidR="00B36805" w:rsidRDefault="00B36805">
    <w:pPr>
      <w:pStyle w:val="Footer"/>
    </w:pPr>
    <w:r>
      <w:t>SIA „</w:t>
    </w:r>
    <w:proofErr w:type="spellStart"/>
    <w:r>
      <w:t>Bizpro</w:t>
    </w:r>
    <w:proofErr w:type="spellEnd"/>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90F8" w14:textId="77777777" w:rsidR="00B36805" w:rsidRPr="009B5B75" w:rsidRDefault="00B36805" w:rsidP="001D0696">
    <w:pPr>
      <w:pStyle w:val="Footer"/>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fldChar w:fldCharType="begin"/>
    </w:r>
    <w:r>
      <w:rPr>
        <w:rFonts w:ascii="Garamond" w:hAnsi="Garamond"/>
        <w:sz w:val="22"/>
        <w:szCs w:val="22"/>
      </w:rPr>
      <w:instrText xml:space="preserve"> PAGE  \* Arabic  \* MERGEFORMAT </w:instrText>
    </w:r>
    <w:r>
      <w:rPr>
        <w:rFonts w:ascii="Garamond" w:hAnsi="Garamond"/>
        <w:sz w:val="22"/>
        <w:szCs w:val="22"/>
      </w:rPr>
      <w:fldChar w:fldCharType="separate"/>
    </w:r>
    <w:r w:rsidR="00700640">
      <w:rPr>
        <w:rFonts w:ascii="Garamond" w:hAnsi="Garamond"/>
        <w:noProof/>
        <w:sz w:val="22"/>
        <w:szCs w:val="22"/>
      </w:rPr>
      <w:t>9</w:t>
    </w:r>
    <w:r>
      <w:rPr>
        <w:rFonts w:ascii="Garamond" w:hAnsi="Garamond"/>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92CFD" w14:textId="77777777" w:rsidR="00B36805" w:rsidRPr="009B5B75" w:rsidRDefault="00B36805" w:rsidP="00661547">
    <w:pPr>
      <w:pStyle w:val="Footer"/>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fldChar w:fldCharType="begin"/>
    </w:r>
    <w:r>
      <w:rPr>
        <w:rFonts w:ascii="Garamond" w:hAnsi="Garamond"/>
        <w:sz w:val="22"/>
        <w:szCs w:val="22"/>
      </w:rPr>
      <w:instrText xml:space="preserve"> PAGE  \* Arabic  \* MERGEFORMAT </w:instrText>
    </w:r>
    <w:r>
      <w:rPr>
        <w:rFonts w:ascii="Garamond" w:hAnsi="Garamond"/>
        <w:sz w:val="22"/>
        <w:szCs w:val="22"/>
      </w:rPr>
      <w:fldChar w:fldCharType="separate"/>
    </w:r>
    <w:r>
      <w:rPr>
        <w:rFonts w:ascii="Garamond" w:hAnsi="Garamond"/>
        <w:noProof/>
        <w:sz w:val="22"/>
        <w:szCs w:val="22"/>
      </w:rPr>
      <w:t>2</w:t>
    </w:r>
    <w:r>
      <w:rPr>
        <w:rFonts w:ascii="Garamond" w:hAnsi="Garamond"/>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F7077" w14:textId="77777777" w:rsidR="00444B40" w:rsidRDefault="00444B40">
      <w:r>
        <w:separator/>
      </w:r>
    </w:p>
  </w:footnote>
  <w:footnote w:type="continuationSeparator" w:id="0">
    <w:p w14:paraId="725C7D44" w14:textId="77777777" w:rsidR="00444B40" w:rsidRDefault="00444B40">
      <w:r>
        <w:continuationSeparator/>
      </w:r>
    </w:p>
  </w:footnote>
  <w:footnote w:id="1">
    <w:p w14:paraId="556AA16B" w14:textId="1168BF6C" w:rsidR="00B36805" w:rsidRDefault="00B36805" w:rsidP="007455DD">
      <w:pPr>
        <w:pStyle w:val="FootnoteText"/>
      </w:pPr>
      <w:r>
        <w:rPr>
          <w:rStyle w:val="FootnoteReference"/>
        </w:rPr>
        <w:footnoteRef/>
      </w:r>
      <w:r>
        <w:t xml:space="preserve">  </w:t>
      </w:r>
      <w:r w:rsidRPr="001A7B0A">
        <w:t>Guide to Cost-Benefit Analysis of Investment Projects. Economic appraisal tool for Cohesion Policy 2014-2020</w:t>
      </w:r>
      <w:r>
        <w:t>,</w:t>
      </w:r>
      <w:r w:rsidR="001A5B05">
        <w:t xml:space="preserve"> 2014,</w:t>
      </w:r>
      <w:r>
        <w:t xml:space="preserve"> pieejams: </w:t>
      </w:r>
      <w:hyperlink r:id="rId1" w:history="1">
        <w:r w:rsidRPr="00E727EE">
          <w:rPr>
            <w:rStyle w:val="Hyperlink"/>
          </w:rPr>
          <w:t>http://ec.europa.eu/regional_policy/sources/docgener/studies/pdf/cba_guide.pdf</w:t>
        </w:r>
      </w:hyperlink>
      <w:r>
        <w:t xml:space="preserve">  </w:t>
      </w:r>
    </w:p>
  </w:footnote>
  <w:footnote w:id="2">
    <w:p w14:paraId="49966BF0" w14:textId="12CA680C" w:rsidR="005D0467" w:rsidRDefault="005D0467">
      <w:pPr>
        <w:pStyle w:val="FootnoteText"/>
      </w:pPr>
      <w:r>
        <w:rPr>
          <w:rStyle w:val="FootnoteReference"/>
        </w:rPr>
        <w:footnoteRef/>
      </w:r>
      <w:r>
        <w:t xml:space="preserve"> </w:t>
      </w:r>
      <w:r w:rsidRPr="005D0467">
        <w:t xml:space="preserve"> Economic Appraisal Vademecum 2021-2027</w:t>
      </w:r>
      <w:r>
        <w:t>,</w:t>
      </w:r>
      <w:r w:rsidR="001A5B05">
        <w:t xml:space="preserve"> 2021,</w:t>
      </w:r>
      <w:r>
        <w:t xml:space="preserve"> pieejams: </w:t>
      </w:r>
      <w:hyperlink r:id="rId2" w:history="1">
        <w:r w:rsidRPr="001F5500">
          <w:rPr>
            <w:rStyle w:val="Hyperlink"/>
          </w:rPr>
          <w:t>https://ec.europa.eu/regional_policy/en/newsroom/news/2021/09/20-09-2021-project-selection-the-economic-appraisal-vademecum</w:t>
        </w:r>
      </w:hyperlink>
      <w:r>
        <w:t xml:space="preserve"> </w:t>
      </w:r>
    </w:p>
  </w:footnote>
  <w:footnote w:id="3">
    <w:p w14:paraId="31611929" w14:textId="39E6D56E" w:rsidR="00616386" w:rsidRDefault="00616386" w:rsidP="00616386">
      <w:pPr>
        <w:pStyle w:val="FootnoteText"/>
      </w:pPr>
      <w:r>
        <w:rPr>
          <w:rStyle w:val="FootnoteReference"/>
        </w:rPr>
        <w:footnoteRef/>
      </w:r>
      <w:r>
        <w:t xml:space="preserve"> Commission Staff Working Document. Impact Assessment</w:t>
      </w:r>
      <w:r w:rsidRPr="00616386">
        <w:t xml:space="preserve"> </w:t>
      </w:r>
      <w:r>
        <w:t>accompanying the document Proposal for a Regulation of the European Parliament and of the Council establishing a European Maritime Single Window environment and repealing directive 2010/65/EU,</w:t>
      </w:r>
      <w:r w:rsidR="001A5B05">
        <w:t xml:space="preserve"> 2018,</w:t>
      </w:r>
      <w:r>
        <w:t xml:space="preserve"> pieejams: </w:t>
      </w:r>
      <w:hyperlink r:id="rId3" w:history="1">
        <w:r w:rsidRPr="00860687">
          <w:rPr>
            <w:rStyle w:val="Hyperlink"/>
          </w:rPr>
          <w:t>https://eur-lex.europa.eu/legal-content/EN/TXT/?uri=CELEX%3A52018SC0181</w:t>
        </w:r>
      </w:hyperlink>
      <w:r>
        <w:t xml:space="preserve"> </w:t>
      </w:r>
    </w:p>
  </w:footnote>
  <w:footnote w:id="4">
    <w:p w14:paraId="027F0A38" w14:textId="4ADF1B0A" w:rsidR="003845EB" w:rsidRDefault="003845EB">
      <w:pPr>
        <w:pStyle w:val="FootnoteText"/>
      </w:pPr>
      <w:r>
        <w:rPr>
          <w:rStyle w:val="FootnoteReference"/>
        </w:rPr>
        <w:footnoteRef/>
      </w:r>
      <w:r>
        <w:t xml:space="preserve"> IIA aprēķinu modelis un aizpildīšanas metodika ir pieejami šeit: </w:t>
      </w:r>
      <w:hyperlink r:id="rId4" w:history="1">
        <w:r w:rsidRPr="00860687">
          <w:rPr>
            <w:rStyle w:val="Hyperlink"/>
          </w:rPr>
          <w:t>https://www.cfla.gov.lv/lv/izmaksu-un-ieguvumu-analize</w:t>
        </w:r>
      </w:hyperlink>
      <w:r>
        <w:t xml:space="preserve"> </w:t>
      </w:r>
    </w:p>
  </w:footnote>
  <w:footnote w:id="5">
    <w:p w14:paraId="0429C603" w14:textId="3E8FC431" w:rsidR="00B36805" w:rsidRDefault="00B36805">
      <w:pPr>
        <w:pStyle w:val="FootnoteText"/>
      </w:pPr>
      <w:r>
        <w:rPr>
          <w:rStyle w:val="FootnoteReference"/>
        </w:rPr>
        <w:footnoteRef/>
      </w:r>
      <w:r>
        <w:t xml:space="preserve"> </w:t>
      </w:r>
      <w:r w:rsidRPr="00185EA8">
        <w:t xml:space="preserve">Gadījumos, kad valstī nav noteikti vienoti SKF, </w:t>
      </w:r>
      <w:r>
        <w:t>EK</w:t>
      </w:r>
      <w:r w:rsidRPr="00185EA8">
        <w:t xml:space="preserve"> </w:t>
      </w:r>
      <w:r w:rsidR="00670B0C">
        <w:t>vadlīnijas</w:t>
      </w:r>
      <w:r w:rsidRPr="00185EA8">
        <w:t xml:space="preserve"> iesaka piemērot SKF likmi 1, proti, ignorēt konversijas faktorus un ekonomiskajā analīzē izmantot tirgus cenas.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2F95F" w14:textId="510230E0" w:rsidR="005175F3" w:rsidRDefault="005175F3">
    <w:pPr>
      <w:pStyle w:val="Header"/>
    </w:pPr>
    <w:r w:rsidRPr="000D72A1">
      <w:rPr>
        <w:noProof/>
      </w:rPr>
      <w:drawing>
        <wp:inline distT="0" distB="0" distL="0" distR="0" wp14:anchorId="5C19D931" wp14:editId="66AE0224">
          <wp:extent cx="1514475" cy="431800"/>
          <wp:effectExtent l="0" t="0" r="9525" b="6350"/>
          <wp:docPr id="3"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Ico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4318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E7EC" w14:textId="56B63F8C" w:rsidR="00B36805" w:rsidRPr="00245EDE" w:rsidRDefault="00B36805" w:rsidP="004618A2">
    <w:pPr>
      <w:pStyle w:val="Header"/>
      <w:spacing w:after="60"/>
      <w:rPr>
        <w:rFonts w:ascii="Garamond" w:hAnsi="Garamond"/>
        <w:sz w:val="18"/>
        <w:szCs w:val="18"/>
      </w:rPr>
    </w:pPr>
    <w:r w:rsidRPr="0077746A">
      <w:rPr>
        <w:noProof/>
        <w:sz w:val="26"/>
      </w:rPr>
      <mc:AlternateContent>
        <mc:Choice Requires="wps">
          <w:drawing>
            <wp:anchor distT="0" distB="0" distL="114300" distR="114300" simplePos="0" relativeHeight="251659264" behindDoc="0" locked="0" layoutInCell="1" allowOverlap="1" wp14:anchorId="334C0E6B" wp14:editId="07D1F5DE">
              <wp:simplePos x="0" y="0"/>
              <wp:positionH relativeFrom="column">
                <wp:posOffset>7620</wp:posOffset>
              </wp:positionH>
              <wp:positionV relativeFrom="paragraph">
                <wp:posOffset>308311</wp:posOffset>
              </wp:positionV>
              <wp:extent cx="5477510" cy="0"/>
              <wp:effectExtent l="7620" t="10160" r="10795"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7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BC9A75" id="_x0000_t32" coordsize="21600,21600" o:spt="32" o:oned="t" path="m,l21600,21600e" filled="f">
              <v:path arrowok="t" fillok="f" o:connecttype="none"/>
              <o:lock v:ext="edit" shapetype="t"/>
            </v:shapetype>
            <v:shape id="AutoShape 1" o:spid="_x0000_s1026" type="#_x0000_t32" style="position:absolute;margin-left:.6pt;margin-top:24.3pt;width:431.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oHwHwIAADsEAAAOAAAAZHJzL2Uyb0RvYy54bWysU82O2jAQvlfqO1i+QxIaW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"/>
          </w:pict>
        </mc:Fallback>
      </mc:AlternateContent>
    </w:r>
    <w:r w:rsidRPr="001B7720">
      <w:rPr>
        <w:rFonts w:ascii="Garamond" w:hAnsi="Garamond"/>
        <w:sz w:val="20"/>
        <w:szCs w:val="18"/>
      </w:rPr>
      <w:t>Projekta “</w:t>
    </w:r>
    <w:r w:rsidRPr="0009001D">
      <w:rPr>
        <w:rFonts w:ascii="Garamond" w:hAnsi="Garamond"/>
        <w:sz w:val="20"/>
        <w:szCs w:val="18"/>
      </w:rPr>
      <w:t>Viestura ielas, Draudzības alejas un Jaunās ielas degradēto teritoriju atjaunošana un publiskās infrastruktūras uzlabošana uzņēmējdarbības attīstībai</w:t>
    </w:r>
    <w:r w:rsidRPr="001B7720">
      <w:rPr>
        <w:rFonts w:ascii="Garamond" w:hAnsi="Garamond"/>
        <w:sz w:val="20"/>
        <w:szCs w:val="18"/>
      </w:rPr>
      <w:t>”</w:t>
    </w:r>
    <w:r>
      <w:rPr>
        <w:rFonts w:ascii="Garamond" w:hAnsi="Garamond"/>
        <w:sz w:val="20"/>
        <w:szCs w:val="18"/>
      </w:rPr>
      <w:t xml:space="preserve"> </w:t>
    </w:r>
    <w:r w:rsidRPr="001B7720">
      <w:rPr>
        <w:rFonts w:ascii="Garamond" w:hAnsi="Garamond"/>
        <w:sz w:val="20"/>
        <w:szCs w:val="18"/>
      </w:rPr>
      <w:t>izmaksu un ieguvumu analīze</w:t>
    </w:r>
  </w:p>
  <w:p w14:paraId="6A9835EB" w14:textId="77777777" w:rsidR="00B36805" w:rsidRDefault="00B368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CA76" w14:textId="593522BE" w:rsidR="00B36805" w:rsidRPr="00245EDE" w:rsidRDefault="00B36805" w:rsidP="001B7720">
    <w:pPr>
      <w:pStyle w:val="Header"/>
      <w:spacing w:after="60"/>
      <w:rPr>
        <w:rFonts w:ascii="Garamond" w:hAnsi="Garamond"/>
        <w:sz w:val="18"/>
        <w:szCs w:val="18"/>
      </w:rPr>
    </w:pPr>
    <w:r w:rsidRPr="0077746A">
      <w:rPr>
        <w:noProof/>
        <w:sz w:val="26"/>
      </w:rPr>
      <mc:AlternateContent>
        <mc:Choice Requires="wps">
          <w:drawing>
            <wp:anchor distT="0" distB="0" distL="114300" distR="114300" simplePos="0" relativeHeight="251660800" behindDoc="0" locked="0" layoutInCell="1" allowOverlap="1" wp14:anchorId="44EDDD9D" wp14:editId="34251AA9">
              <wp:simplePos x="0" y="0"/>
              <wp:positionH relativeFrom="column">
                <wp:posOffset>7620</wp:posOffset>
              </wp:positionH>
              <wp:positionV relativeFrom="paragraph">
                <wp:posOffset>308311</wp:posOffset>
              </wp:positionV>
              <wp:extent cx="5477510" cy="0"/>
              <wp:effectExtent l="7620" t="10160" r="10795" b="889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7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9B13AC" id="_x0000_t32" coordsize="21600,21600" o:spt="32" o:oned="t" path="m,l21600,21600e" filled="f">
              <v:path arrowok="t" fillok="f" o:connecttype="none"/>
              <o:lock v:ext="edit" shapetype="t"/>
            </v:shapetype>
            <v:shape id="AutoShape 1" o:spid="_x0000_s1026" type="#_x0000_t32" style="position:absolute;margin-left:.6pt;margin-top:24.3pt;width:431.3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umHwIAADsEAAAOAAAAZHJzL2Uyb0RvYy54bWysU82O2jAQvlfqO1i+QxIaW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"/>
          </w:pict>
        </mc:Fallback>
      </mc:AlternateContent>
    </w:r>
    <w:r w:rsidRPr="001B7720">
      <w:rPr>
        <w:rFonts w:ascii="Garamond" w:hAnsi="Garamond"/>
        <w:sz w:val="20"/>
        <w:szCs w:val="18"/>
      </w:rPr>
      <w:t>Projekta “</w:t>
    </w:r>
    <w:r w:rsidR="008A0876" w:rsidRPr="008A0876">
      <w:rPr>
        <w:rFonts w:ascii="Garamond" w:hAnsi="Garamond"/>
        <w:sz w:val="20"/>
        <w:szCs w:val="18"/>
      </w:rPr>
      <w:t xml:space="preserve">Eiropas Jūras </w:t>
    </w:r>
    <w:proofErr w:type="spellStart"/>
    <w:r w:rsidR="008A0876" w:rsidRPr="008A0876">
      <w:rPr>
        <w:rFonts w:ascii="Garamond" w:hAnsi="Garamond"/>
        <w:sz w:val="20"/>
        <w:szCs w:val="18"/>
      </w:rPr>
      <w:t>vienloga</w:t>
    </w:r>
    <w:proofErr w:type="spellEnd"/>
    <w:r w:rsidR="008A0876" w:rsidRPr="008A0876">
      <w:rPr>
        <w:rFonts w:ascii="Garamond" w:hAnsi="Garamond"/>
        <w:sz w:val="20"/>
        <w:szCs w:val="18"/>
      </w:rPr>
      <w:t xml:space="preserve"> sistēmas </w:t>
    </w:r>
    <w:proofErr w:type="spellStart"/>
    <w:r w:rsidR="008A0876" w:rsidRPr="008A0876">
      <w:rPr>
        <w:rFonts w:ascii="Garamond" w:hAnsi="Garamond"/>
        <w:sz w:val="20"/>
        <w:szCs w:val="18"/>
      </w:rPr>
      <w:t>EMSWe</w:t>
    </w:r>
    <w:proofErr w:type="spellEnd"/>
    <w:r w:rsidR="008A0876" w:rsidRPr="008A0876">
      <w:rPr>
        <w:rFonts w:ascii="Garamond" w:hAnsi="Garamond"/>
        <w:sz w:val="20"/>
        <w:szCs w:val="18"/>
      </w:rPr>
      <w:t xml:space="preserve"> ieviešana</w:t>
    </w:r>
    <w:r w:rsidR="00731EA5">
      <w:rPr>
        <w:rFonts w:ascii="Garamond" w:hAnsi="Garamond"/>
        <w:sz w:val="20"/>
        <w:szCs w:val="18"/>
      </w:rPr>
      <w:t>”</w:t>
    </w:r>
    <w:r>
      <w:rPr>
        <w:rFonts w:ascii="Garamond" w:hAnsi="Garamond"/>
        <w:sz w:val="20"/>
        <w:szCs w:val="18"/>
      </w:rPr>
      <w:t xml:space="preserve"> </w:t>
    </w:r>
    <w:r w:rsidRPr="001B7720">
      <w:rPr>
        <w:rFonts w:ascii="Garamond" w:hAnsi="Garamond"/>
        <w:sz w:val="20"/>
        <w:szCs w:val="18"/>
      </w:rPr>
      <w:t>izmaksu un ieguvumu</w:t>
    </w:r>
    <w:r>
      <w:rPr>
        <w:rFonts w:ascii="Garamond" w:hAnsi="Garamond"/>
        <w:sz w:val="20"/>
        <w:szCs w:val="18"/>
      </w:rPr>
      <w:t xml:space="preserve"> </w:t>
    </w:r>
    <w:r w:rsidRPr="001B7720">
      <w:rPr>
        <w:rFonts w:ascii="Garamond" w:hAnsi="Garamond"/>
        <w:sz w:val="20"/>
        <w:szCs w:val="18"/>
      </w:rPr>
      <w:t>analīze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D5DD8"/>
    <w:multiLevelType w:val="multilevel"/>
    <w:tmpl w:val="27E009F6"/>
    <w:lvl w:ilvl="0">
      <w:start w:val="1"/>
      <w:numFmt w:val="decimal"/>
      <w:pStyle w:val="Heading1"/>
      <w:lvlText w:val="%1."/>
      <w:lvlJc w:val="left"/>
      <w:pPr>
        <w:ind w:left="360" w:hanging="360"/>
      </w:pPr>
      <w:rPr>
        <w:rFonts w:ascii="Garamond" w:hAnsi="Garamond" w:cs="Times New Roman" w:hint="default"/>
        <w:b/>
        <w:i w:val="0"/>
        <w:sz w:val="32"/>
      </w:rPr>
    </w:lvl>
    <w:lvl w:ilvl="1">
      <w:start w:val="1"/>
      <w:numFmt w:val="decimal"/>
      <w:pStyle w:val="Heading2"/>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 w15:restartNumberingAfterBreak="0">
    <w:nsid w:val="0AC71696"/>
    <w:multiLevelType w:val="hybridMultilevel"/>
    <w:tmpl w:val="3AF2C90E"/>
    <w:name w:val="WW8Num1122222"/>
    <w:lvl w:ilvl="0" w:tplc="04260001">
      <w:start w:val="1"/>
      <w:numFmt w:val="bullet"/>
      <w:pStyle w:val="ListBullet"/>
      <w:lvlText w:val=""/>
      <w:lvlJc w:val="left"/>
      <w:pPr>
        <w:ind w:left="678" w:hanging="360"/>
      </w:pPr>
      <w:rPr>
        <w:rFonts w:ascii="Symbol" w:hAnsi="Symbol" w:hint="default"/>
      </w:rPr>
    </w:lvl>
    <w:lvl w:ilvl="1" w:tplc="04260003" w:tentative="1">
      <w:start w:val="1"/>
      <w:numFmt w:val="bullet"/>
      <w:lvlText w:val="o"/>
      <w:lvlJc w:val="left"/>
      <w:pPr>
        <w:ind w:left="1398" w:hanging="360"/>
      </w:pPr>
      <w:rPr>
        <w:rFonts w:ascii="Courier New" w:hAnsi="Courier New" w:hint="default"/>
      </w:rPr>
    </w:lvl>
    <w:lvl w:ilvl="2" w:tplc="04260005" w:tentative="1">
      <w:start w:val="1"/>
      <w:numFmt w:val="bullet"/>
      <w:lvlText w:val=""/>
      <w:lvlJc w:val="left"/>
      <w:pPr>
        <w:ind w:left="2118" w:hanging="360"/>
      </w:pPr>
      <w:rPr>
        <w:rFonts w:ascii="Wingdings" w:hAnsi="Wingdings" w:hint="default"/>
      </w:rPr>
    </w:lvl>
    <w:lvl w:ilvl="3" w:tplc="04260001" w:tentative="1">
      <w:start w:val="1"/>
      <w:numFmt w:val="bullet"/>
      <w:lvlText w:val=""/>
      <w:lvlJc w:val="left"/>
      <w:pPr>
        <w:ind w:left="2838" w:hanging="360"/>
      </w:pPr>
      <w:rPr>
        <w:rFonts w:ascii="Symbol" w:hAnsi="Symbol" w:hint="default"/>
      </w:rPr>
    </w:lvl>
    <w:lvl w:ilvl="4" w:tplc="04260003" w:tentative="1">
      <w:start w:val="1"/>
      <w:numFmt w:val="bullet"/>
      <w:lvlText w:val="o"/>
      <w:lvlJc w:val="left"/>
      <w:pPr>
        <w:ind w:left="3558" w:hanging="360"/>
      </w:pPr>
      <w:rPr>
        <w:rFonts w:ascii="Courier New" w:hAnsi="Courier New" w:hint="default"/>
      </w:rPr>
    </w:lvl>
    <w:lvl w:ilvl="5" w:tplc="04260005" w:tentative="1">
      <w:start w:val="1"/>
      <w:numFmt w:val="bullet"/>
      <w:lvlText w:val=""/>
      <w:lvlJc w:val="left"/>
      <w:pPr>
        <w:ind w:left="4278" w:hanging="360"/>
      </w:pPr>
      <w:rPr>
        <w:rFonts w:ascii="Wingdings" w:hAnsi="Wingdings" w:hint="default"/>
      </w:rPr>
    </w:lvl>
    <w:lvl w:ilvl="6" w:tplc="04260001" w:tentative="1">
      <w:start w:val="1"/>
      <w:numFmt w:val="bullet"/>
      <w:lvlText w:val=""/>
      <w:lvlJc w:val="left"/>
      <w:pPr>
        <w:ind w:left="4998" w:hanging="360"/>
      </w:pPr>
      <w:rPr>
        <w:rFonts w:ascii="Symbol" w:hAnsi="Symbol" w:hint="default"/>
      </w:rPr>
    </w:lvl>
    <w:lvl w:ilvl="7" w:tplc="04260003" w:tentative="1">
      <w:start w:val="1"/>
      <w:numFmt w:val="bullet"/>
      <w:lvlText w:val="o"/>
      <w:lvlJc w:val="left"/>
      <w:pPr>
        <w:ind w:left="5718" w:hanging="360"/>
      </w:pPr>
      <w:rPr>
        <w:rFonts w:ascii="Courier New" w:hAnsi="Courier New" w:hint="default"/>
      </w:rPr>
    </w:lvl>
    <w:lvl w:ilvl="8" w:tplc="04260005" w:tentative="1">
      <w:start w:val="1"/>
      <w:numFmt w:val="bullet"/>
      <w:lvlText w:val=""/>
      <w:lvlJc w:val="left"/>
      <w:pPr>
        <w:ind w:left="6438" w:hanging="360"/>
      </w:pPr>
      <w:rPr>
        <w:rFonts w:ascii="Wingdings" w:hAnsi="Wingdings" w:hint="default"/>
      </w:rPr>
    </w:lvl>
  </w:abstractNum>
  <w:abstractNum w:abstractNumId="2" w15:restartNumberingAfterBreak="0">
    <w:nsid w:val="10D164BD"/>
    <w:multiLevelType w:val="hybridMultilevel"/>
    <w:tmpl w:val="8D6E4502"/>
    <w:lvl w:ilvl="0" w:tplc="EBF6BEE2">
      <w:start w:val="1"/>
      <w:numFmt w:val="bullet"/>
      <w:pStyle w:val="BulletPoints"/>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393B9F"/>
    <w:multiLevelType w:val="hybridMultilevel"/>
    <w:tmpl w:val="E8442C4C"/>
    <w:name w:val="WW8Num1122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03351C"/>
    <w:multiLevelType w:val="hybridMultilevel"/>
    <w:tmpl w:val="4D5C30D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CD9C8D98">
      <w:numFmt w:val="bullet"/>
      <w:lvlText w:val="•"/>
      <w:lvlJc w:val="left"/>
      <w:pPr>
        <w:ind w:left="3240" w:hanging="720"/>
      </w:pPr>
      <w:rPr>
        <w:rFonts w:ascii="Garamond" w:eastAsia="Times New Roman" w:hAnsi="Garamond"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E930D7"/>
    <w:multiLevelType w:val="multilevel"/>
    <w:tmpl w:val="EFD2E05E"/>
    <w:name w:val="List Number 2"/>
    <w:lvl w:ilvl="0">
      <w:start w:val="1"/>
      <w:numFmt w:val="decimal"/>
      <w:lvlRestart w:val="0"/>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2B5B7F3D"/>
    <w:multiLevelType w:val="hybridMultilevel"/>
    <w:tmpl w:val="519680A4"/>
    <w:lvl w:ilvl="0" w:tplc="04260001">
      <w:start w:val="1"/>
      <w:numFmt w:val="bullet"/>
      <w:lvlText w:val=""/>
      <w:lvlJc w:val="left"/>
      <w:pPr>
        <w:ind w:left="774" w:hanging="360"/>
      </w:pPr>
      <w:rPr>
        <w:rFonts w:ascii="Symbol" w:hAnsi="Symbol"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7" w15:restartNumberingAfterBreak="0">
    <w:nsid w:val="2F33760D"/>
    <w:multiLevelType w:val="hybridMultilevel"/>
    <w:tmpl w:val="467447CA"/>
    <w:lvl w:ilvl="0" w:tplc="04260001">
      <w:start w:val="1"/>
      <w:numFmt w:val="bullet"/>
      <w:lvlText w:val=""/>
      <w:lvlJc w:val="left"/>
      <w:pPr>
        <w:ind w:left="761" w:hanging="360"/>
      </w:pPr>
      <w:rPr>
        <w:rFonts w:ascii="Symbol" w:hAnsi="Symbol" w:hint="default"/>
      </w:rPr>
    </w:lvl>
    <w:lvl w:ilvl="1" w:tplc="04260003" w:tentative="1">
      <w:start w:val="1"/>
      <w:numFmt w:val="bullet"/>
      <w:lvlText w:val="o"/>
      <w:lvlJc w:val="left"/>
      <w:pPr>
        <w:ind w:left="1481" w:hanging="360"/>
      </w:pPr>
      <w:rPr>
        <w:rFonts w:ascii="Courier New" w:hAnsi="Courier New" w:hint="default"/>
      </w:rPr>
    </w:lvl>
    <w:lvl w:ilvl="2" w:tplc="04260005" w:tentative="1">
      <w:start w:val="1"/>
      <w:numFmt w:val="bullet"/>
      <w:lvlText w:val=""/>
      <w:lvlJc w:val="left"/>
      <w:pPr>
        <w:ind w:left="2201" w:hanging="360"/>
      </w:pPr>
      <w:rPr>
        <w:rFonts w:ascii="Wingdings" w:hAnsi="Wingdings" w:hint="default"/>
      </w:rPr>
    </w:lvl>
    <w:lvl w:ilvl="3" w:tplc="04260001" w:tentative="1">
      <w:start w:val="1"/>
      <w:numFmt w:val="bullet"/>
      <w:lvlText w:val=""/>
      <w:lvlJc w:val="left"/>
      <w:pPr>
        <w:ind w:left="2921" w:hanging="360"/>
      </w:pPr>
      <w:rPr>
        <w:rFonts w:ascii="Symbol" w:hAnsi="Symbol" w:hint="default"/>
      </w:rPr>
    </w:lvl>
    <w:lvl w:ilvl="4" w:tplc="04260003" w:tentative="1">
      <w:start w:val="1"/>
      <w:numFmt w:val="bullet"/>
      <w:lvlText w:val="o"/>
      <w:lvlJc w:val="left"/>
      <w:pPr>
        <w:ind w:left="3641" w:hanging="360"/>
      </w:pPr>
      <w:rPr>
        <w:rFonts w:ascii="Courier New" w:hAnsi="Courier New" w:hint="default"/>
      </w:rPr>
    </w:lvl>
    <w:lvl w:ilvl="5" w:tplc="04260005" w:tentative="1">
      <w:start w:val="1"/>
      <w:numFmt w:val="bullet"/>
      <w:lvlText w:val=""/>
      <w:lvlJc w:val="left"/>
      <w:pPr>
        <w:ind w:left="4361" w:hanging="360"/>
      </w:pPr>
      <w:rPr>
        <w:rFonts w:ascii="Wingdings" w:hAnsi="Wingdings" w:hint="default"/>
      </w:rPr>
    </w:lvl>
    <w:lvl w:ilvl="6" w:tplc="04260001" w:tentative="1">
      <w:start w:val="1"/>
      <w:numFmt w:val="bullet"/>
      <w:lvlText w:val=""/>
      <w:lvlJc w:val="left"/>
      <w:pPr>
        <w:ind w:left="5081" w:hanging="360"/>
      </w:pPr>
      <w:rPr>
        <w:rFonts w:ascii="Symbol" w:hAnsi="Symbol" w:hint="default"/>
      </w:rPr>
    </w:lvl>
    <w:lvl w:ilvl="7" w:tplc="04260003" w:tentative="1">
      <w:start w:val="1"/>
      <w:numFmt w:val="bullet"/>
      <w:lvlText w:val="o"/>
      <w:lvlJc w:val="left"/>
      <w:pPr>
        <w:ind w:left="5801" w:hanging="360"/>
      </w:pPr>
      <w:rPr>
        <w:rFonts w:ascii="Courier New" w:hAnsi="Courier New" w:hint="default"/>
      </w:rPr>
    </w:lvl>
    <w:lvl w:ilvl="8" w:tplc="04260005" w:tentative="1">
      <w:start w:val="1"/>
      <w:numFmt w:val="bullet"/>
      <w:lvlText w:val=""/>
      <w:lvlJc w:val="left"/>
      <w:pPr>
        <w:ind w:left="6521" w:hanging="360"/>
      </w:pPr>
      <w:rPr>
        <w:rFonts w:ascii="Wingdings" w:hAnsi="Wingdings" w:hint="default"/>
      </w:rPr>
    </w:lvl>
  </w:abstractNum>
  <w:abstractNum w:abstractNumId="8" w15:restartNumberingAfterBreak="0">
    <w:nsid w:val="33226A2F"/>
    <w:multiLevelType w:val="hybridMultilevel"/>
    <w:tmpl w:val="FC4A4432"/>
    <w:lvl w:ilvl="0" w:tplc="2AC42018">
      <w:start w:val="1"/>
      <w:numFmt w:val="bullet"/>
      <w:pStyle w:val="Bumbulikaste"/>
      <w:lvlText w:val=""/>
      <w:lvlJc w:val="left"/>
      <w:pPr>
        <w:ind w:left="720" w:hanging="360"/>
      </w:pPr>
      <w:rPr>
        <w:rFonts w:ascii="Wingdings" w:hAnsi="Wingdings" w:hint="default"/>
        <w:color w:val="548DD4"/>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00E8D"/>
    <w:multiLevelType w:val="hybridMultilevel"/>
    <w:tmpl w:val="AF1A01A0"/>
    <w:name w:val="WW8Num11222"/>
    <w:lvl w:ilvl="0" w:tplc="04260001">
      <w:start w:val="1"/>
      <w:numFmt w:val="bullet"/>
      <w:lvlText w:val=""/>
      <w:lvlJc w:val="left"/>
      <w:pPr>
        <w:ind w:left="678" w:hanging="360"/>
      </w:pPr>
      <w:rPr>
        <w:rFonts w:ascii="Symbol" w:hAnsi="Symbol" w:hint="default"/>
      </w:rPr>
    </w:lvl>
    <w:lvl w:ilvl="1" w:tplc="04260003" w:tentative="1">
      <w:start w:val="1"/>
      <w:numFmt w:val="bullet"/>
      <w:lvlText w:val="o"/>
      <w:lvlJc w:val="left"/>
      <w:pPr>
        <w:ind w:left="1398" w:hanging="360"/>
      </w:pPr>
      <w:rPr>
        <w:rFonts w:ascii="Courier New" w:hAnsi="Courier New" w:hint="default"/>
      </w:rPr>
    </w:lvl>
    <w:lvl w:ilvl="2" w:tplc="04260005" w:tentative="1">
      <w:start w:val="1"/>
      <w:numFmt w:val="bullet"/>
      <w:lvlText w:val=""/>
      <w:lvlJc w:val="left"/>
      <w:pPr>
        <w:ind w:left="2118" w:hanging="360"/>
      </w:pPr>
      <w:rPr>
        <w:rFonts w:ascii="Wingdings" w:hAnsi="Wingdings" w:hint="default"/>
      </w:rPr>
    </w:lvl>
    <w:lvl w:ilvl="3" w:tplc="04260001" w:tentative="1">
      <w:start w:val="1"/>
      <w:numFmt w:val="bullet"/>
      <w:lvlText w:val=""/>
      <w:lvlJc w:val="left"/>
      <w:pPr>
        <w:ind w:left="2838" w:hanging="360"/>
      </w:pPr>
      <w:rPr>
        <w:rFonts w:ascii="Symbol" w:hAnsi="Symbol" w:hint="default"/>
      </w:rPr>
    </w:lvl>
    <w:lvl w:ilvl="4" w:tplc="04260003" w:tentative="1">
      <w:start w:val="1"/>
      <w:numFmt w:val="bullet"/>
      <w:lvlText w:val="o"/>
      <w:lvlJc w:val="left"/>
      <w:pPr>
        <w:ind w:left="3558" w:hanging="360"/>
      </w:pPr>
      <w:rPr>
        <w:rFonts w:ascii="Courier New" w:hAnsi="Courier New" w:hint="default"/>
      </w:rPr>
    </w:lvl>
    <w:lvl w:ilvl="5" w:tplc="04260005" w:tentative="1">
      <w:start w:val="1"/>
      <w:numFmt w:val="bullet"/>
      <w:lvlText w:val=""/>
      <w:lvlJc w:val="left"/>
      <w:pPr>
        <w:ind w:left="4278" w:hanging="360"/>
      </w:pPr>
      <w:rPr>
        <w:rFonts w:ascii="Wingdings" w:hAnsi="Wingdings" w:hint="default"/>
      </w:rPr>
    </w:lvl>
    <w:lvl w:ilvl="6" w:tplc="04260001" w:tentative="1">
      <w:start w:val="1"/>
      <w:numFmt w:val="bullet"/>
      <w:lvlText w:val=""/>
      <w:lvlJc w:val="left"/>
      <w:pPr>
        <w:ind w:left="4998" w:hanging="360"/>
      </w:pPr>
      <w:rPr>
        <w:rFonts w:ascii="Symbol" w:hAnsi="Symbol" w:hint="default"/>
      </w:rPr>
    </w:lvl>
    <w:lvl w:ilvl="7" w:tplc="04260003" w:tentative="1">
      <w:start w:val="1"/>
      <w:numFmt w:val="bullet"/>
      <w:lvlText w:val="o"/>
      <w:lvlJc w:val="left"/>
      <w:pPr>
        <w:ind w:left="5718" w:hanging="360"/>
      </w:pPr>
      <w:rPr>
        <w:rFonts w:ascii="Courier New" w:hAnsi="Courier New" w:hint="default"/>
      </w:rPr>
    </w:lvl>
    <w:lvl w:ilvl="8" w:tplc="04260005" w:tentative="1">
      <w:start w:val="1"/>
      <w:numFmt w:val="bullet"/>
      <w:lvlText w:val=""/>
      <w:lvlJc w:val="left"/>
      <w:pPr>
        <w:ind w:left="6438" w:hanging="360"/>
      </w:pPr>
      <w:rPr>
        <w:rFonts w:ascii="Wingdings" w:hAnsi="Wingdings" w:hint="default"/>
      </w:rPr>
    </w:lvl>
  </w:abstractNum>
  <w:abstractNum w:abstractNumId="10" w15:restartNumberingAfterBreak="0">
    <w:nsid w:val="74B64738"/>
    <w:multiLevelType w:val="hybridMultilevel"/>
    <w:tmpl w:val="0714E1EA"/>
    <w:lvl w:ilvl="0" w:tplc="04260001">
      <w:start w:val="1"/>
      <w:numFmt w:val="bullet"/>
      <w:lvlText w:val=""/>
      <w:lvlJc w:val="left"/>
      <w:pPr>
        <w:ind w:left="778" w:hanging="360"/>
      </w:pPr>
      <w:rPr>
        <w:rFonts w:ascii="Symbol" w:hAnsi="Symbol"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11" w15:restartNumberingAfterBreak="0">
    <w:nsid w:val="74D84A82"/>
    <w:multiLevelType w:val="hybridMultilevel"/>
    <w:tmpl w:val="3EEAEEA2"/>
    <w:name w:val="WW8Num11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E8A4EAA"/>
    <w:multiLevelType w:val="hybridMultilevel"/>
    <w:tmpl w:val="2A544C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F7154E1"/>
    <w:multiLevelType w:val="singleLevel"/>
    <w:tmpl w:val="E3F6D2C6"/>
    <w:name w:val="List Number 1"/>
    <w:lvl w:ilvl="0">
      <w:start w:val="1"/>
      <w:numFmt w:val="bullet"/>
      <w:lvlRestart w:val="0"/>
      <w:pStyle w:val="ListBullet4"/>
      <w:lvlText w:val=""/>
      <w:lvlJc w:val="left"/>
      <w:pPr>
        <w:tabs>
          <w:tab w:val="num" w:pos="1134"/>
        </w:tabs>
        <w:ind w:left="1134" w:hanging="283"/>
      </w:pPr>
      <w:rPr>
        <w:rFonts w:ascii="Symbol" w:hAnsi="Symbol" w:hint="default"/>
      </w:rPr>
    </w:lvl>
  </w:abstractNum>
  <w:num w:numId="1" w16cid:durableId="56709267">
    <w:abstractNumId w:val="2"/>
  </w:num>
  <w:num w:numId="2" w16cid:durableId="1172909781">
    <w:abstractNumId w:val="13"/>
  </w:num>
  <w:num w:numId="3" w16cid:durableId="1814634363">
    <w:abstractNumId w:val="5"/>
  </w:num>
  <w:num w:numId="4" w16cid:durableId="1383092431">
    <w:abstractNumId w:val="0"/>
  </w:num>
  <w:num w:numId="5" w16cid:durableId="1921017698">
    <w:abstractNumId w:val="1"/>
  </w:num>
  <w:num w:numId="6" w16cid:durableId="1190291844">
    <w:abstractNumId w:val="7"/>
  </w:num>
  <w:num w:numId="7" w16cid:durableId="1329989747">
    <w:abstractNumId w:val="8"/>
  </w:num>
  <w:num w:numId="8" w16cid:durableId="774713605">
    <w:abstractNumId w:val="4"/>
  </w:num>
  <w:num w:numId="9" w16cid:durableId="1747149586">
    <w:abstractNumId w:val="6"/>
  </w:num>
  <w:num w:numId="10" w16cid:durableId="1058086903">
    <w:abstractNumId w:val="12"/>
  </w:num>
  <w:num w:numId="11" w16cid:durableId="77151633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HQgsLYxMTC0MzYyUdpeDU4uLM/DyQAqNaAFZjubYsAAAA"/>
  </w:docVars>
  <w:rsids>
    <w:rsidRoot w:val="00D04D06"/>
    <w:rsid w:val="00000DDF"/>
    <w:rsid w:val="00001F09"/>
    <w:rsid w:val="000023FC"/>
    <w:rsid w:val="00002807"/>
    <w:rsid w:val="0000282A"/>
    <w:rsid w:val="00003331"/>
    <w:rsid w:val="00003468"/>
    <w:rsid w:val="00003AA6"/>
    <w:rsid w:val="00003B43"/>
    <w:rsid w:val="00005917"/>
    <w:rsid w:val="00006360"/>
    <w:rsid w:val="000063BC"/>
    <w:rsid w:val="000069B1"/>
    <w:rsid w:val="00006D0C"/>
    <w:rsid w:val="00007D41"/>
    <w:rsid w:val="00010AF3"/>
    <w:rsid w:val="000116B8"/>
    <w:rsid w:val="00012318"/>
    <w:rsid w:val="00012416"/>
    <w:rsid w:val="00012CAB"/>
    <w:rsid w:val="000142D3"/>
    <w:rsid w:val="000154F6"/>
    <w:rsid w:val="00015907"/>
    <w:rsid w:val="0001641C"/>
    <w:rsid w:val="00016CCB"/>
    <w:rsid w:val="000172F8"/>
    <w:rsid w:val="00017ECB"/>
    <w:rsid w:val="00021936"/>
    <w:rsid w:val="00021DE6"/>
    <w:rsid w:val="00021F83"/>
    <w:rsid w:val="00024B2A"/>
    <w:rsid w:val="00024F97"/>
    <w:rsid w:val="00025093"/>
    <w:rsid w:val="000257C4"/>
    <w:rsid w:val="00026B08"/>
    <w:rsid w:val="00027F64"/>
    <w:rsid w:val="000302FC"/>
    <w:rsid w:val="00030433"/>
    <w:rsid w:val="00030C79"/>
    <w:rsid w:val="000317D9"/>
    <w:rsid w:val="00032372"/>
    <w:rsid w:val="0003251E"/>
    <w:rsid w:val="00032D26"/>
    <w:rsid w:val="0003681C"/>
    <w:rsid w:val="00037B76"/>
    <w:rsid w:val="00041110"/>
    <w:rsid w:val="00042DC7"/>
    <w:rsid w:val="000444ED"/>
    <w:rsid w:val="000445F0"/>
    <w:rsid w:val="00045EC9"/>
    <w:rsid w:val="00047A38"/>
    <w:rsid w:val="00047D9E"/>
    <w:rsid w:val="00050FAD"/>
    <w:rsid w:val="00051015"/>
    <w:rsid w:val="00051070"/>
    <w:rsid w:val="000519F2"/>
    <w:rsid w:val="00051CEF"/>
    <w:rsid w:val="0005248E"/>
    <w:rsid w:val="00052DB9"/>
    <w:rsid w:val="00053719"/>
    <w:rsid w:val="00053BD1"/>
    <w:rsid w:val="000544C4"/>
    <w:rsid w:val="00054FB5"/>
    <w:rsid w:val="000550A7"/>
    <w:rsid w:val="00055A0A"/>
    <w:rsid w:val="00055CFD"/>
    <w:rsid w:val="00055E13"/>
    <w:rsid w:val="00055EC4"/>
    <w:rsid w:val="000571E0"/>
    <w:rsid w:val="00057C34"/>
    <w:rsid w:val="00057CB1"/>
    <w:rsid w:val="0006090D"/>
    <w:rsid w:val="00060F66"/>
    <w:rsid w:val="000617B4"/>
    <w:rsid w:val="000620F0"/>
    <w:rsid w:val="00062C0B"/>
    <w:rsid w:val="00063AE5"/>
    <w:rsid w:val="00063C33"/>
    <w:rsid w:val="00063D3B"/>
    <w:rsid w:val="000648C9"/>
    <w:rsid w:val="00064BAC"/>
    <w:rsid w:val="00066345"/>
    <w:rsid w:val="0006643B"/>
    <w:rsid w:val="00070552"/>
    <w:rsid w:val="00071F19"/>
    <w:rsid w:val="00072738"/>
    <w:rsid w:val="000729D5"/>
    <w:rsid w:val="00072BE3"/>
    <w:rsid w:val="00072FEE"/>
    <w:rsid w:val="000738A0"/>
    <w:rsid w:val="00073CA2"/>
    <w:rsid w:val="00073D6B"/>
    <w:rsid w:val="00073EF3"/>
    <w:rsid w:val="000750D5"/>
    <w:rsid w:val="000758D5"/>
    <w:rsid w:val="000768C3"/>
    <w:rsid w:val="0007713D"/>
    <w:rsid w:val="00081BD5"/>
    <w:rsid w:val="00082373"/>
    <w:rsid w:val="00082E04"/>
    <w:rsid w:val="00082ECE"/>
    <w:rsid w:val="00084334"/>
    <w:rsid w:val="0008558C"/>
    <w:rsid w:val="0009001D"/>
    <w:rsid w:val="00090554"/>
    <w:rsid w:val="00090D15"/>
    <w:rsid w:val="00091003"/>
    <w:rsid w:val="000924E3"/>
    <w:rsid w:val="00093F03"/>
    <w:rsid w:val="00094420"/>
    <w:rsid w:val="0009603E"/>
    <w:rsid w:val="00096228"/>
    <w:rsid w:val="0009634F"/>
    <w:rsid w:val="000967A8"/>
    <w:rsid w:val="000977ED"/>
    <w:rsid w:val="00097CF1"/>
    <w:rsid w:val="000A060B"/>
    <w:rsid w:val="000A0648"/>
    <w:rsid w:val="000A1788"/>
    <w:rsid w:val="000A202A"/>
    <w:rsid w:val="000A2506"/>
    <w:rsid w:val="000A33F4"/>
    <w:rsid w:val="000A4D2F"/>
    <w:rsid w:val="000A52AD"/>
    <w:rsid w:val="000A59DE"/>
    <w:rsid w:val="000A6E96"/>
    <w:rsid w:val="000A736D"/>
    <w:rsid w:val="000A75AB"/>
    <w:rsid w:val="000A7FA2"/>
    <w:rsid w:val="000B0E07"/>
    <w:rsid w:val="000B1173"/>
    <w:rsid w:val="000B1254"/>
    <w:rsid w:val="000B1EF4"/>
    <w:rsid w:val="000B200F"/>
    <w:rsid w:val="000B228C"/>
    <w:rsid w:val="000B229B"/>
    <w:rsid w:val="000B285F"/>
    <w:rsid w:val="000B31B4"/>
    <w:rsid w:val="000B33A4"/>
    <w:rsid w:val="000B367F"/>
    <w:rsid w:val="000B51BA"/>
    <w:rsid w:val="000B5AAC"/>
    <w:rsid w:val="000B623C"/>
    <w:rsid w:val="000B668E"/>
    <w:rsid w:val="000B6DDE"/>
    <w:rsid w:val="000B752C"/>
    <w:rsid w:val="000B76C3"/>
    <w:rsid w:val="000C0193"/>
    <w:rsid w:val="000C024F"/>
    <w:rsid w:val="000C0625"/>
    <w:rsid w:val="000C0A8B"/>
    <w:rsid w:val="000C16C6"/>
    <w:rsid w:val="000C33BF"/>
    <w:rsid w:val="000C47DD"/>
    <w:rsid w:val="000C4BA4"/>
    <w:rsid w:val="000C5152"/>
    <w:rsid w:val="000C51CC"/>
    <w:rsid w:val="000C748F"/>
    <w:rsid w:val="000D0F51"/>
    <w:rsid w:val="000D116D"/>
    <w:rsid w:val="000D2D70"/>
    <w:rsid w:val="000D374F"/>
    <w:rsid w:val="000D378F"/>
    <w:rsid w:val="000D4CDE"/>
    <w:rsid w:val="000D5425"/>
    <w:rsid w:val="000D5EC0"/>
    <w:rsid w:val="000D7E1A"/>
    <w:rsid w:val="000E082C"/>
    <w:rsid w:val="000E193F"/>
    <w:rsid w:val="000E1A4F"/>
    <w:rsid w:val="000E22AA"/>
    <w:rsid w:val="000E3A28"/>
    <w:rsid w:val="000E4188"/>
    <w:rsid w:val="000E4E2E"/>
    <w:rsid w:val="000E5793"/>
    <w:rsid w:val="000E5AC2"/>
    <w:rsid w:val="000E5E28"/>
    <w:rsid w:val="000E65C6"/>
    <w:rsid w:val="000E6DDA"/>
    <w:rsid w:val="000F0721"/>
    <w:rsid w:val="000F1A64"/>
    <w:rsid w:val="000F1CF2"/>
    <w:rsid w:val="000F1E4C"/>
    <w:rsid w:val="000F244D"/>
    <w:rsid w:val="000F24A3"/>
    <w:rsid w:val="000F2A6E"/>
    <w:rsid w:val="000F2C12"/>
    <w:rsid w:val="000F34DF"/>
    <w:rsid w:val="000F446E"/>
    <w:rsid w:val="000F449A"/>
    <w:rsid w:val="000F58AD"/>
    <w:rsid w:val="000F5B29"/>
    <w:rsid w:val="000F6459"/>
    <w:rsid w:val="00100990"/>
    <w:rsid w:val="00101069"/>
    <w:rsid w:val="0010142E"/>
    <w:rsid w:val="0010168B"/>
    <w:rsid w:val="00101AAB"/>
    <w:rsid w:val="00102934"/>
    <w:rsid w:val="00102D79"/>
    <w:rsid w:val="00103879"/>
    <w:rsid w:val="00103AA6"/>
    <w:rsid w:val="00103D6B"/>
    <w:rsid w:val="0010448D"/>
    <w:rsid w:val="001052AA"/>
    <w:rsid w:val="00105FCD"/>
    <w:rsid w:val="00106815"/>
    <w:rsid w:val="00106FD9"/>
    <w:rsid w:val="0010710C"/>
    <w:rsid w:val="001101C5"/>
    <w:rsid w:val="00110E3B"/>
    <w:rsid w:val="00111521"/>
    <w:rsid w:val="00111AA5"/>
    <w:rsid w:val="00112CFF"/>
    <w:rsid w:val="0011305F"/>
    <w:rsid w:val="0011335E"/>
    <w:rsid w:val="00113842"/>
    <w:rsid w:val="00113EBE"/>
    <w:rsid w:val="00114957"/>
    <w:rsid w:val="00114C93"/>
    <w:rsid w:val="00115600"/>
    <w:rsid w:val="00115933"/>
    <w:rsid w:val="00115A1F"/>
    <w:rsid w:val="00116247"/>
    <w:rsid w:val="00116BAA"/>
    <w:rsid w:val="00116ED8"/>
    <w:rsid w:val="001173CC"/>
    <w:rsid w:val="00120A94"/>
    <w:rsid w:val="0012273C"/>
    <w:rsid w:val="001227BD"/>
    <w:rsid w:val="00123EDB"/>
    <w:rsid w:val="001244F9"/>
    <w:rsid w:val="001257D5"/>
    <w:rsid w:val="00125838"/>
    <w:rsid w:val="00126492"/>
    <w:rsid w:val="00127269"/>
    <w:rsid w:val="001278FF"/>
    <w:rsid w:val="00130766"/>
    <w:rsid w:val="0013190F"/>
    <w:rsid w:val="00131D26"/>
    <w:rsid w:val="00131F67"/>
    <w:rsid w:val="00132947"/>
    <w:rsid w:val="00132996"/>
    <w:rsid w:val="00133F9D"/>
    <w:rsid w:val="0013448C"/>
    <w:rsid w:val="001354F1"/>
    <w:rsid w:val="00135957"/>
    <w:rsid w:val="001360D8"/>
    <w:rsid w:val="00136222"/>
    <w:rsid w:val="00136C9D"/>
    <w:rsid w:val="00140500"/>
    <w:rsid w:val="0014063B"/>
    <w:rsid w:val="0014093C"/>
    <w:rsid w:val="00140EC0"/>
    <w:rsid w:val="0014101E"/>
    <w:rsid w:val="0014251C"/>
    <w:rsid w:val="0014358E"/>
    <w:rsid w:val="001436BE"/>
    <w:rsid w:val="00143A8D"/>
    <w:rsid w:val="00144462"/>
    <w:rsid w:val="001451B0"/>
    <w:rsid w:val="00145AF6"/>
    <w:rsid w:val="001472E7"/>
    <w:rsid w:val="001477FC"/>
    <w:rsid w:val="00150378"/>
    <w:rsid w:val="00150615"/>
    <w:rsid w:val="001507EF"/>
    <w:rsid w:val="00151CF8"/>
    <w:rsid w:val="001528B0"/>
    <w:rsid w:val="0015483F"/>
    <w:rsid w:val="00154C0B"/>
    <w:rsid w:val="00154F56"/>
    <w:rsid w:val="00155025"/>
    <w:rsid w:val="00155421"/>
    <w:rsid w:val="001568C6"/>
    <w:rsid w:val="001572E7"/>
    <w:rsid w:val="00157895"/>
    <w:rsid w:val="00160150"/>
    <w:rsid w:val="00160677"/>
    <w:rsid w:val="00160E1A"/>
    <w:rsid w:val="00161749"/>
    <w:rsid w:val="0016181B"/>
    <w:rsid w:val="00161B2C"/>
    <w:rsid w:val="00162608"/>
    <w:rsid w:val="00165300"/>
    <w:rsid w:val="00166284"/>
    <w:rsid w:val="00166785"/>
    <w:rsid w:val="00166CA5"/>
    <w:rsid w:val="00166F97"/>
    <w:rsid w:val="0016753E"/>
    <w:rsid w:val="001679B4"/>
    <w:rsid w:val="00171C66"/>
    <w:rsid w:val="0017366C"/>
    <w:rsid w:val="00173CAD"/>
    <w:rsid w:val="00174E19"/>
    <w:rsid w:val="001752C6"/>
    <w:rsid w:val="00175563"/>
    <w:rsid w:val="001756C1"/>
    <w:rsid w:val="00175B06"/>
    <w:rsid w:val="0017753F"/>
    <w:rsid w:val="00181E25"/>
    <w:rsid w:val="00182E6D"/>
    <w:rsid w:val="00183AC2"/>
    <w:rsid w:val="00183E94"/>
    <w:rsid w:val="00183F86"/>
    <w:rsid w:val="00184BDB"/>
    <w:rsid w:val="00185246"/>
    <w:rsid w:val="00185C37"/>
    <w:rsid w:val="00185EA8"/>
    <w:rsid w:val="00186075"/>
    <w:rsid w:val="001870F8"/>
    <w:rsid w:val="00190438"/>
    <w:rsid w:val="00190878"/>
    <w:rsid w:val="00191902"/>
    <w:rsid w:val="0019198C"/>
    <w:rsid w:val="001919D6"/>
    <w:rsid w:val="00192733"/>
    <w:rsid w:val="00192792"/>
    <w:rsid w:val="001933AC"/>
    <w:rsid w:val="0019457B"/>
    <w:rsid w:val="0019511C"/>
    <w:rsid w:val="00195163"/>
    <w:rsid w:val="00195395"/>
    <w:rsid w:val="00195B71"/>
    <w:rsid w:val="00195F82"/>
    <w:rsid w:val="001963B5"/>
    <w:rsid w:val="00197698"/>
    <w:rsid w:val="00197D34"/>
    <w:rsid w:val="001A060E"/>
    <w:rsid w:val="001A13B3"/>
    <w:rsid w:val="001A1949"/>
    <w:rsid w:val="001A1BA5"/>
    <w:rsid w:val="001A1D7B"/>
    <w:rsid w:val="001A2A0E"/>
    <w:rsid w:val="001A4005"/>
    <w:rsid w:val="001A5312"/>
    <w:rsid w:val="001A599A"/>
    <w:rsid w:val="001A5B05"/>
    <w:rsid w:val="001A6638"/>
    <w:rsid w:val="001A6998"/>
    <w:rsid w:val="001A7B0A"/>
    <w:rsid w:val="001B09EE"/>
    <w:rsid w:val="001B0AFE"/>
    <w:rsid w:val="001B375D"/>
    <w:rsid w:val="001B3EEB"/>
    <w:rsid w:val="001B44CD"/>
    <w:rsid w:val="001B4DBA"/>
    <w:rsid w:val="001B4EB3"/>
    <w:rsid w:val="001B5855"/>
    <w:rsid w:val="001B5A04"/>
    <w:rsid w:val="001B5FEB"/>
    <w:rsid w:val="001B7720"/>
    <w:rsid w:val="001C0566"/>
    <w:rsid w:val="001C0614"/>
    <w:rsid w:val="001C1C3C"/>
    <w:rsid w:val="001C2946"/>
    <w:rsid w:val="001C39F1"/>
    <w:rsid w:val="001C416A"/>
    <w:rsid w:val="001C6BF1"/>
    <w:rsid w:val="001C79D5"/>
    <w:rsid w:val="001D00EC"/>
    <w:rsid w:val="001D0696"/>
    <w:rsid w:val="001D11BA"/>
    <w:rsid w:val="001D1917"/>
    <w:rsid w:val="001D24A7"/>
    <w:rsid w:val="001D329F"/>
    <w:rsid w:val="001D3AFA"/>
    <w:rsid w:val="001D3E4F"/>
    <w:rsid w:val="001D55E8"/>
    <w:rsid w:val="001D5776"/>
    <w:rsid w:val="001D7A03"/>
    <w:rsid w:val="001D7E20"/>
    <w:rsid w:val="001E06E5"/>
    <w:rsid w:val="001E1546"/>
    <w:rsid w:val="001E1D1D"/>
    <w:rsid w:val="001E1F8C"/>
    <w:rsid w:val="001E2D9D"/>
    <w:rsid w:val="001E5BE2"/>
    <w:rsid w:val="001E71BB"/>
    <w:rsid w:val="001F043B"/>
    <w:rsid w:val="001F07C8"/>
    <w:rsid w:val="001F19C5"/>
    <w:rsid w:val="001F1CEF"/>
    <w:rsid w:val="001F2079"/>
    <w:rsid w:val="001F31A9"/>
    <w:rsid w:val="001F354E"/>
    <w:rsid w:val="001F3AEE"/>
    <w:rsid w:val="001F455B"/>
    <w:rsid w:val="001F4630"/>
    <w:rsid w:val="001F4736"/>
    <w:rsid w:val="001F4A22"/>
    <w:rsid w:val="001F56BD"/>
    <w:rsid w:val="001F5E9C"/>
    <w:rsid w:val="001F6718"/>
    <w:rsid w:val="002005E1"/>
    <w:rsid w:val="00201CE5"/>
    <w:rsid w:val="002021CC"/>
    <w:rsid w:val="00204E82"/>
    <w:rsid w:val="00205D16"/>
    <w:rsid w:val="00205E7E"/>
    <w:rsid w:val="002060CC"/>
    <w:rsid w:val="002069B1"/>
    <w:rsid w:val="00206B56"/>
    <w:rsid w:val="00207206"/>
    <w:rsid w:val="002072B1"/>
    <w:rsid w:val="002075C5"/>
    <w:rsid w:val="00207786"/>
    <w:rsid w:val="00211E87"/>
    <w:rsid w:val="00212830"/>
    <w:rsid w:val="002129F2"/>
    <w:rsid w:val="002130C7"/>
    <w:rsid w:val="002137B6"/>
    <w:rsid w:val="002137E2"/>
    <w:rsid w:val="00214E97"/>
    <w:rsid w:val="00214F8C"/>
    <w:rsid w:val="00215228"/>
    <w:rsid w:val="00215658"/>
    <w:rsid w:val="00215BD0"/>
    <w:rsid w:val="00220DF2"/>
    <w:rsid w:val="00220FDF"/>
    <w:rsid w:val="002212B3"/>
    <w:rsid w:val="00222017"/>
    <w:rsid w:val="0022280F"/>
    <w:rsid w:val="002228C2"/>
    <w:rsid w:val="002231BF"/>
    <w:rsid w:val="00223B09"/>
    <w:rsid w:val="00223D81"/>
    <w:rsid w:val="00224E4E"/>
    <w:rsid w:val="002250EB"/>
    <w:rsid w:val="00226B77"/>
    <w:rsid w:val="00227263"/>
    <w:rsid w:val="002300D8"/>
    <w:rsid w:val="002305D7"/>
    <w:rsid w:val="00230D45"/>
    <w:rsid w:val="002328EF"/>
    <w:rsid w:val="00232CDA"/>
    <w:rsid w:val="00232F2B"/>
    <w:rsid w:val="002334FC"/>
    <w:rsid w:val="00233866"/>
    <w:rsid w:val="00234DE9"/>
    <w:rsid w:val="002350C5"/>
    <w:rsid w:val="002356FA"/>
    <w:rsid w:val="00235958"/>
    <w:rsid w:val="00236415"/>
    <w:rsid w:val="0023642F"/>
    <w:rsid w:val="0023644A"/>
    <w:rsid w:val="00236A4D"/>
    <w:rsid w:val="0024125F"/>
    <w:rsid w:val="002417C6"/>
    <w:rsid w:val="00243A9D"/>
    <w:rsid w:val="002454E9"/>
    <w:rsid w:val="002459A9"/>
    <w:rsid w:val="00245A3A"/>
    <w:rsid w:val="00245C83"/>
    <w:rsid w:val="00245EDE"/>
    <w:rsid w:val="002467CB"/>
    <w:rsid w:val="00250F44"/>
    <w:rsid w:val="00251005"/>
    <w:rsid w:val="00251C8C"/>
    <w:rsid w:val="002523DA"/>
    <w:rsid w:val="00252471"/>
    <w:rsid w:val="00253307"/>
    <w:rsid w:val="00254150"/>
    <w:rsid w:val="002541F3"/>
    <w:rsid w:val="00254483"/>
    <w:rsid w:val="0025495B"/>
    <w:rsid w:val="00254FAE"/>
    <w:rsid w:val="0025563D"/>
    <w:rsid w:val="00255681"/>
    <w:rsid w:val="0025586E"/>
    <w:rsid w:val="00255966"/>
    <w:rsid w:val="00255ADA"/>
    <w:rsid w:val="00256214"/>
    <w:rsid w:val="00256748"/>
    <w:rsid w:val="00256A7E"/>
    <w:rsid w:val="002603A1"/>
    <w:rsid w:val="00261ABB"/>
    <w:rsid w:val="00261AD7"/>
    <w:rsid w:val="00261B35"/>
    <w:rsid w:val="00261C2A"/>
    <w:rsid w:val="00262111"/>
    <w:rsid w:val="00262DE7"/>
    <w:rsid w:val="00263479"/>
    <w:rsid w:val="00263CD1"/>
    <w:rsid w:val="002642AE"/>
    <w:rsid w:val="0026505F"/>
    <w:rsid w:val="002657DD"/>
    <w:rsid w:val="00265C69"/>
    <w:rsid w:val="0026658F"/>
    <w:rsid w:val="00266BC8"/>
    <w:rsid w:val="0026705A"/>
    <w:rsid w:val="002670D7"/>
    <w:rsid w:val="002670F4"/>
    <w:rsid w:val="00267291"/>
    <w:rsid w:val="0027059B"/>
    <w:rsid w:val="00271F1C"/>
    <w:rsid w:val="0027278D"/>
    <w:rsid w:val="002728FC"/>
    <w:rsid w:val="00272B42"/>
    <w:rsid w:val="00272F15"/>
    <w:rsid w:val="002739F2"/>
    <w:rsid w:val="002742C5"/>
    <w:rsid w:val="002746B0"/>
    <w:rsid w:val="00275693"/>
    <w:rsid w:val="002759E2"/>
    <w:rsid w:val="0027605C"/>
    <w:rsid w:val="002762D8"/>
    <w:rsid w:val="00276B37"/>
    <w:rsid w:val="0027770D"/>
    <w:rsid w:val="00280C4D"/>
    <w:rsid w:val="00280DE5"/>
    <w:rsid w:val="00280F65"/>
    <w:rsid w:val="0028176C"/>
    <w:rsid w:val="00281ADF"/>
    <w:rsid w:val="002821FC"/>
    <w:rsid w:val="002822FA"/>
    <w:rsid w:val="00282746"/>
    <w:rsid w:val="00282760"/>
    <w:rsid w:val="00283800"/>
    <w:rsid w:val="00283F64"/>
    <w:rsid w:val="00284224"/>
    <w:rsid w:val="00284C6C"/>
    <w:rsid w:val="00286196"/>
    <w:rsid w:val="002863DC"/>
    <w:rsid w:val="00286649"/>
    <w:rsid w:val="00287711"/>
    <w:rsid w:val="0028792C"/>
    <w:rsid w:val="00287F02"/>
    <w:rsid w:val="00290491"/>
    <w:rsid w:val="0029056B"/>
    <w:rsid w:val="00290F3A"/>
    <w:rsid w:val="00290FDD"/>
    <w:rsid w:val="00292BCB"/>
    <w:rsid w:val="0029315B"/>
    <w:rsid w:val="002935BF"/>
    <w:rsid w:val="0029522A"/>
    <w:rsid w:val="002956C5"/>
    <w:rsid w:val="0029594E"/>
    <w:rsid w:val="00295C06"/>
    <w:rsid w:val="002960E1"/>
    <w:rsid w:val="0029613A"/>
    <w:rsid w:val="0029758A"/>
    <w:rsid w:val="00297BBA"/>
    <w:rsid w:val="002A0512"/>
    <w:rsid w:val="002A0C50"/>
    <w:rsid w:val="002A1644"/>
    <w:rsid w:val="002A1705"/>
    <w:rsid w:val="002A1BA9"/>
    <w:rsid w:val="002A250E"/>
    <w:rsid w:val="002A2E2E"/>
    <w:rsid w:val="002A3C5F"/>
    <w:rsid w:val="002A3D27"/>
    <w:rsid w:val="002A41D5"/>
    <w:rsid w:val="002A484C"/>
    <w:rsid w:val="002A4D5F"/>
    <w:rsid w:val="002A60FA"/>
    <w:rsid w:val="002A6FB8"/>
    <w:rsid w:val="002A7B6A"/>
    <w:rsid w:val="002B019F"/>
    <w:rsid w:val="002B0260"/>
    <w:rsid w:val="002B16B6"/>
    <w:rsid w:val="002B1742"/>
    <w:rsid w:val="002B1D90"/>
    <w:rsid w:val="002B260A"/>
    <w:rsid w:val="002B3362"/>
    <w:rsid w:val="002B3562"/>
    <w:rsid w:val="002B361F"/>
    <w:rsid w:val="002B420F"/>
    <w:rsid w:val="002B47BB"/>
    <w:rsid w:val="002B4DD3"/>
    <w:rsid w:val="002B5402"/>
    <w:rsid w:val="002B5CDD"/>
    <w:rsid w:val="002B601F"/>
    <w:rsid w:val="002B6302"/>
    <w:rsid w:val="002B66CB"/>
    <w:rsid w:val="002B690D"/>
    <w:rsid w:val="002B702F"/>
    <w:rsid w:val="002B730C"/>
    <w:rsid w:val="002B7D8A"/>
    <w:rsid w:val="002B7E74"/>
    <w:rsid w:val="002C0F45"/>
    <w:rsid w:val="002C0F55"/>
    <w:rsid w:val="002C12AB"/>
    <w:rsid w:val="002C13B0"/>
    <w:rsid w:val="002C1B2D"/>
    <w:rsid w:val="002C1E5F"/>
    <w:rsid w:val="002C221B"/>
    <w:rsid w:val="002C3861"/>
    <w:rsid w:val="002C38EB"/>
    <w:rsid w:val="002C3BB9"/>
    <w:rsid w:val="002C4537"/>
    <w:rsid w:val="002C51E2"/>
    <w:rsid w:val="002C5603"/>
    <w:rsid w:val="002C63E6"/>
    <w:rsid w:val="002C66F6"/>
    <w:rsid w:val="002C6F99"/>
    <w:rsid w:val="002C7354"/>
    <w:rsid w:val="002C797D"/>
    <w:rsid w:val="002C7A2B"/>
    <w:rsid w:val="002C7BD1"/>
    <w:rsid w:val="002D0360"/>
    <w:rsid w:val="002D0436"/>
    <w:rsid w:val="002D0D95"/>
    <w:rsid w:val="002D218C"/>
    <w:rsid w:val="002D2E09"/>
    <w:rsid w:val="002D31C8"/>
    <w:rsid w:val="002D3C9E"/>
    <w:rsid w:val="002D448E"/>
    <w:rsid w:val="002D49E5"/>
    <w:rsid w:val="002D4BC5"/>
    <w:rsid w:val="002D5E64"/>
    <w:rsid w:val="002D6FCC"/>
    <w:rsid w:val="002D7726"/>
    <w:rsid w:val="002D775F"/>
    <w:rsid w:val="002D7DB6"/>
    <w:rsid w:val="002E0026"/>
    <w:rsid w:val="002E00D4"/>
    <w:rsid w:val="002E16F3"/>
    <w:rsid w:val="002E24B0"/>
    <w:rsid w:val="002E3076"/>
    <w:rsid w:val="002E3331"/>
    <w:rsid w:val="002E3FD6"/>
    <w:rsid w:val="002E4B17"/>
    <w:rsid w:val="002E5BC2"/>
    <w:rsid w:val="002E5F1C"/>
    <w:rsid w:val="002E706E"/>
    <w:rsid w:val="002F07B0"/>
    <w:rsid w:val="002F1CCC"/>
    <w:rsid w:val="002F2B00"/>
    <w:rsid w:val="002F42AF"/>
    <w:rsid w:val="002F59CA"/>
    <w:rsid w:val="002F6233"/>
    <w:rsid w:val="002F6ABE"/>
    <w:rsid w:val="002F6D33"/>
    <w:rsid w:val="002F6DA6"/>
    <w:rsid w:val="002F7347"/>
    <w:rsid w:val="002F74EC"/>
    <w:rsid w:val="002F7BD5"/>
    <w:rsid w:val="002F7D71"/>
    <w:rsid w:val="003018E2"/>
    <w:rsid w:val="00301E37"/>
    <w:rsid w:val="00301FCC"/>
    <w:rsid w:val="00302D1D"/>
    <w:rsid w:val="003037AA"/>
    <w:rsid w:val="00304C67"/>
    <w:rsid w:val="00305176"/>
    <w:rsid w:val="0030616C"/>
    <w:rsid w:val="0030633F"/>
    <w:rsid w:val="00306C03"/>
    <w:rsid w:val="003104B5"/>
    <w:rsid w:val="003108A0"/>
    <w:rsid w:val="00311464"/>
    <w:rsid w:val="00312178"/>
    <w:rsid w:val="00315914"/>
    <w:rsid w:val="003164F5"/>
    <w:rsid w:val="0031671F"/>
    <w:rsid w:val="00316C8D"/>
    <w:rsid w:val="003173C4"/>
    <w:rsid w:val="00317D6F"/>
    <w:rsid w:val="003204A0"/>
    <w:rsid w:val="00320C21"/>
    <w:rsid w:val="00320D35"/>
    <w:rsid w:val="003217C0"/>
    <w:rsid w:val="00322C50"/>
    <w:rsid w:val="003233E1"/>
    <w:rsid w:val="00324E9D"/>
    <w:rsid w:val="00325C6E"/>
    <w:rsid w:val="003267EE"/>
    <w:rsid w:val="003275CB"/>
    <w:rsid w:val="00330A49"/>
    <w:rsid w:val="00330AEB"/>
    <w:rsid w:val="00331A06"/>
    <w:rsid w:val="003324C1"/>
    <w:rsid w:val="0033420E"/>
    <w:rsid w:val="003344FE"/>
    <w:rsid w:val="00334EEE"/>
    <w:rsid w:val="0033518B"/>
    <w:rsid w:val="00336005"/>
    <w:rsid w:val="00336139"/>
    <w:rsid w:val="00337359"/>
    <w:rsid w:val="00337DA4"/>
    <w:rsid w:val="003405AA"/>
    <w:rsid w:val="0034113A"/>
    <w:rsid w:val="003411F9"/>
    <w:rsid w:val="00341BA9"/>
    <w:rsid w:val="00341E88"/>
    <w:rsid w:val="00341F32"/>
    <w:rsid w:val="0034391C"/>
    <w:rsid w:val="0034436C"/>
    <w:rsid w:val="00344B8B"/>
    <w:rsid w:val="00345C64"/>
    <w:rsid w:val="0034608C"/>
    <w:rsid w:val="00346A9D"/>
    <w:rsid w:val="003502B3"/>
    <w:rsid w:val="003503DE"/>
    <w:rsid w:val="00353B9E"/>
    <w:rsid w:val="00353ED7"/>
    <w:rsid w:val="00354E76"/>
    <w:rsid w:val="00355150"/>
    <w:rsid w:val="0035563C"/>
    <w:rsid w:val="0035594E"/>
    <w:rsid w:val="00355C1B"/>
    <w:rsid w:val="00356940"/>
    <w:rsid w:val="00356A62"/>
    <w:rsid w:val="00357786"/>
    <w:rsid w:val="00357EE4"/>
    <w:rsid w:val="003610EC"/>
    <w:rsid w:val="003614F3"/>
    <w:rsid w:val="00361DCA"/>
    <w:rsid w:val="003628BD"/>
    <w:rsid w:val="00362DC9"/>
    <w:rsid w:val="003635E2"/>
    <w:rsid w:val="00363FF6"/>
    <w:rsid w:val="003646F2"/>
    <w:rsid w:val="00364BA4"/>
    <w:rsid w:val="00364CBF"/>
    <w:rsid w:val="0036551A"/>
    <w:rsid w:val="00365707"/>
    <w:rsid w:val="00365AFF"/>
    <w:rsid w:val="003671C4"/>
    <w:rsid w:val="0037005A"/>
    <w:rsid w:val="00370B96"/>
    <w:rsid w:val="00370C5B"/>
    <w:rsid w:val="00371AD0"/>
    <w:rsid w:val="00372057"/>
    <w:rsid w:val="00373376"/>
    <w:rsid w:val="00373687"/>
    <w:rsid w:val="00373E07"/>
    <w:rsid w:val="00373F86"/>
    <w:rsid w:val="00374916"/>
    <w:rsid w:val="00375251"/>
    <w:rsid w:val="0037563E"/>
    <w:rsid w:val="00375664"/>
    <w:rsid w:val="00376F15"/>
    <w:rsid w:val="00377553"/>
    <w:rsid w:val="003803F2"/>
    <w:rsid w:val="00380907"/>
    <w:rsid w:val="00380DC4"/>
    <w:rsid w:val="00380E48"/>
    <w:rsid w:val="00381552"/>
    <w:rsid w:val="0038167D"/>
    <w:rsid w:val="00382F14"/>
    <w:rsid w:val="003838AA"/>
    <w:rsid w:val="003845EB"/>
    <w:rsid w:val="00384740"/>
    <w:rsid w:val="00384F62"/>
    <w:rsid w:val="00385698"/>
    <w:rsid w:val="00385814"/>
    <w:rsid w:val="00385B42"/>
    <w:rsid w:val="003866E7"/>
    <w:rsid w:val="003870BD"/>
    <w:rsid w:val="00387469"/>
    <w:rsid w:val="00387ECC"/>
    <w:rsid w:val="0039082D"/>
    <w:rsid w:val="00391C31"/>
    <w:rsid w:val="00393C51"/>
    <w:rsid w:val="00393D65"/>
    <w:rsid w:val="00393E6E"/>
    <w:rsid w:val="00393E9A"/>
    <w:rsid w:val="00395858"/>
    <w:rsid w:val="00395F4C"/>
    <w:rsid w:val="003966BB"/>
    <w:rsid w:val="00396914"/>
    <w:rsid w:val="003A00C4"/>
    <w:rsid w:val="003A0416"/>
    <w:rsid w:val="003A146B"/>
    <w:rsid w:val="003A1853"/>
    <w:rsid w:val="003A241D"/>
    <w:rsid w:val="003A28B6"/>
    <w:rsid w:val="003A57D3"/>
    <w:rsid w:val="003A59DD"/>
    <w:rsid w:val="003A729C"/>
    <w:rsid w:val="003A790C"/>
    <w:rsid w:val="003A7A53"/>
    <w:rsid w:val="003B04E4"/>
    <w:rsid w:val="003B1A81"/>
    <w:rsid w:val="003B24E3"/>
    <w:rsid w:val="003B3501"/>
    <w:rsid w:val="003B378A"/>
    <w:rsid w:val="003B3A59"/>
    <w:rsid w:val="003B4445"/>
    <w:rsid w:val="003B4717"/>
    <w:rsid w:val="003B482F"/>
    <w:rsid w:val="003B4BED"/>
    <w:rsid w:val="003B5D08"/>
    <w:rsid w:val="003B6C9E"/>
    <w:rsid w:val="003C177F"/>
    <w:rsid w:val="003C2B01"/>
    <w:rsid w:val="003C2C43"/>
    <w:rsid w:val="003C57A8"/>
    <w:rsid w:val="003C66B7"/>
    <w:rsid w:val="003C6968"/>
    <w:rsid w:val="003C763B"/>
    <w:rsid w:val="003C7B47"/>
    <w:rsid w:val="003D021F"/>
    <w:rsid w:val="003D032A"/>
    <w:rsid w:val="003D0A69"/>
    <w:rsid w:val="003D0CE0"/>
    <w:rsid w:val="003D0E6F"/>
    <w:rsid w:val="003D122A"/>
    <w:rsid w:val="003D19F8"/>
    <w:rsid w:val="003D3B8D"/>
    <w:rsid w:val="003D3FF0"/>
    <w:rsid w:val="003D4BB7"/>
    <w:rsid w:val="003D5783"/>
    <w:rsid w:val="003D5D09"/>
    <w:rsid w:val="003D5FB7"/>
    <w:rsid w:val="003D61A6"/>
    <w:rsid w:val="003D6E3F"/>
    <w:rsid w:val="003D7655"/>
    <w:rsid w:val="003D781E"/>
    <w:rsid w:val="003E06AB"/>
    <w:rsid w:val="003E1784"/>
    <w:rsid w:val="003E1CFA"/>
    <w:rsid w:val="003E2050"/>
    <w:rsid w:val="003E30CF"/>
    <w:rsid w:val="003E37EF"/>
    <w:rsid w:val="003E4B4F"/>
    <w:rsid w:val="003E5E6D"/>
    <w:rsid w:val="003E6638"/>
    <w:rsid w:val="003E699D"/>
    <w:rsid w:val="003E71FA"/>
    <w:rsid w:val="003F1197"/>
    <w:rsid w:val="003F1CCC"/>
    <w:rsid w:val="003F22DB"/>
    <w:rsid w:val="003F3C7E"/>
    <w:rsid w:val="003F76C6"/>
    <w:rsid w:val="003F7A2C"/>
    <w:rsid w:val="00402610"/>
    <w:rsid w:val="004029E4"/>
    <w:rsid w:val="00403009"/>
    <w:rsid w:val="00403D5B"/>
    <w:rsid w:val="00403FCB"/>
    <w:rsid w:val="004042ED"/>
    <w:rsid w:val="004043DA"/>
    <w:rsid w:val="004044A9"/>
    <w:rsid w:val="00404621"/>
    <w:rsid w:val="004055AE"/>
    <w:rsid w:val="00405B08"/>
    <w:rsid w:val="00405BDB"/>
    <w:rsid w:val="00406C78"/>
    <w:rsid w:val="00407547"/>
    <w:rsid w:val="00407FB3"/>
    <w:rsid w:val="004101C3"/>
    <w:rsid w:val="004116FC"/>
    <w:rsid w:val="004117E0"/>
    <w:rsid w:val="00412666"/>
    <w:rsid w:val="00412941"/>
    <w:rsid w:val="00412F35"/>
    <w:rsid w:val="00413B58"/>
    <w:rsid w:val="0041481A"/>
    <w:rsid w:val="0041563D"/>
    <w:rsid w:val="0041581B"/>
    <w:rsid w:val="00415FD3"/>
    <w:rsid w:val="004174E8"/>
    <w:rsid w:val="00417F77"/>
    <w:rsid w:val="00420302"/>
    <w:rsid w:val="004224CD"/>
    <w:rsid w:val="00422935"/>
    <w:rsid w:val="004229A4"/>
    <w:rsid w:val="004235A8"/>
    <w:rsid w:val="00423BF4"/>
    <w:rsid w:val="004246A6"/>
    <w:rsid w:val="00424A25"/>
    <w:rsid w:val="00424E27"/>
    <w:rsid w:val="0042540B"/>
    <w:rsid w:val="00425D10"/>
    <w:rsid w:val="00426FA0"/>
    <w:rsid w:val="00427218"/>
    <w:rsid w:val="00431242"/>
    <w:rsid w:val="004320D1"/>
    <w:rsid w:val="00432572"/>
    <w:rsid w:val="004340F3"/>
    <w:rsid w:val="0043427B"/>
    <w:rsid w:val="00434609"/>
    <w:rsid w:val="00434A60"/>
    <w:rsid w:val="00435444"/>
    <w:rsid w:val="00435E9C"/>
    <w:rsid w:val="00435FA5"/>
    <w:rsid w:val="00436898"/>
    <w:rsid w:val="00436E10"/>
    <w:rsid w:val="00436EBF"/>
    <w:rsid w:val="00436F09"/>
    <w:rsid w:val="004378A9"/>
    <w:rsid w:val="00440024"/>
    <w:rsid w:val="0044045E"/>
    <w:rsid w:val="00440468"/>
    <w:rsid w:val="00440591"/>
    <w:rsid w:val="00440662"/>
    <w:rsid w:val="00440879"/>
    <w:rsid w:val="00440CB1"/>
    <w:rsid w:val="00440D8E"/>
    <w:rsid w:val="004419DA"/>
    <w:rsid w:val="00441B1D"/>
    <w:rsid w:val="004443E9"/>
    <w:rsid w:val="00444555"/>
    <w:rsid w:val="00444B40"/>
    <w:rsid w:val="00445167"/>
    <w:rsid w:val="004452AE"/>
    <w:rsid w:val="00450014"/>
    <w:rsid w:val="00450069"/>
    <w:rsid w:val="00450102"/>
    <w:rsid w:val="00450249"/>
    <w:rsid w:val="0045042A"/>
    <w:rsid w:val="0045078F"/>
    <w:rsid w:val="004508AF"/>
    <w:rsid w:val="00451062"/>
    <w:rsid w:val="0045186E"/>
    <w:rsid w:val="00452098"/>
    <w:rsid w:val="0045345D"/>
    <w:rsid w:val="0045374B"/>
    <w:rsid w:val="00454641"/>
    <w:rsid w:val="00454B25"/>
    <w:rsid w:val="00455A31"/>
    <w:rsid w:val="00456807"/>
    <w:rsid w:val="004570ED"/>
    <w:rsid w:val="00457ACE"/>
    <w:rsid w:val="00457CBF"/>
    <w:rsid w:val="0046010F"/>
    <w:rsid w:val="004614E2"/>
    <w:rsid w:val="004615E1"/>
    <w:rsid w:val="004618A2"/>
    <w:rsid w:val="00461BE9"/>
    <w:rsid w:val="004628A5"/>
    <w:rsid w:val="00462D87"/>
    <w:rsid w:val="00463107"/>
    <w:rsid w:val="00463AF1"/>
    <w:rsid w:val="004641AA"/>
    <w:rsid w:val="004644F0"/>
    <w:rsid w:val="00466585"/>
    <w:rsid w:val="004667CD"/>
    <w:rsid w:val="00466A0F"/>
    <w:rsid w:val="00470F41"/>
    <w:rsid w:val="00471018"/>
    <w:rsid w:val="004714AB"/>
    <w:rsid w:val="0047216E"/>
    <w:rsid w:val="00473B78"/>
    <w:rsid w:val="00474B5E"/>
    <w:rsid w:val="004751E0"/>
    <w:rsid w:val="00476001"/>
    <w:rsid w:val="004767F1"/>
    <w:rsid w:val="00477188"/>
    <w:rsid w:val="00477EF7"/>
    <w:rsid w:val="00480B1F"/>
    <w:rsid w:val="00481524"/>
    <w:rsid w:val="00481B3C"/>
    <w:rsid w:val="00482439"/>
    <w:rsid w:val="00482DF7"/>
    <w:rsid w:val="00483D0F"/>
    <w:rsid w:val="0048426D"/>
    <w:rsid w:val="0048429A"/>
    <w:rsid w:val="004846E6"/>
    <w:rsid w:val="004862A1"/>
    <w:rsid w:val="0048780C"/>
    <w:rsid w:val="0049115C"/>
    <w:rsid w:val="00492FC6"/>
    <w:rsid w:val="004931CC"/>
    <w:rsid w:val="004932E1"/>
    <w:rsid w:val="004933B0"/>
    <w:rsid w:val="0049369B"/>
    <w:rsid w:val="004937FF"/>
    <w:rsid w:val="00493A6E"/>
    <w:rsid w:val="00494D1C"/>
    <w:rsid w:val="004954BA"/>
    <w:rsid w:val="004965E3"/>
    <w:rsid w:val="00496DC8"/>
    <w:rsid w:val="0049799B"/>
    <w:rsid w:val="00497F00"/>
    <w:rsid w:val="004A05C7"/>
    <w:rsid w:val="004A0A28"/>
    <w:rsid w:val="004A0B78"/>
    <w:rsid w:val="004A1367"/>
    <w:rsid w:val="004A14D7"/>
    <w:rsid w:val="004A15CC"/>
    <w:rsid w:val="004A1FB9"/>
    <w:rsid w:val="004A2795"/>
    <w:rsid w:val="004A27D8"/>
    <w:rsid w:val="004A350D"/>
    <w:rsid w:val="004A3D80"/>
    <w:rsid w:val="004A3F8D"/>
    <w:rsid w:val="004A5FDF"/>
    <w:rsid w:val="004A7781"/>
    <w:rsid w:val="004A787E"/>
    <w:rsid w:val="004A7A59"/>
    <w:rsid w:val="004B15AC"/>
    <w:rsid w:val="004B1B3A"/>
    <w:rsid w:val="004B26C4"/>
    <w:rsid w:val="004B30E7"/>
    <w:rsid w:val="004B35EE"/>
    <w:rsid w:val="004B7008"/>
    <w:rsid w:val="004C007C"/>
    <w:rsid w:val="004C0247"/>
    <w:rsid w:val="004C0631"/>
    <w:rsid w:val="004C066A"/>
    <w:rsid w:val="004C230E"/>
    <w:rsid w:val="004C3048"/>
    <w:rsid w:val="004C3975"/>
    <w:rsid w:val="004C416B"/>
    <w:rsid w:val="004C4188"/>
    <w:rsid w:val="004C45EB"/>
    <w:rsid w:val="004C5391"/>
    <w:rsid w:val="004C581B"/>
    <w:rsid w:val="004D0C89"/>
    <w:rsid w:val="004D0DCC"/>
    <w:rsid w:val="004D1FB3"/>
    <w:rsid w:val="004D2078"/>
    <w:rsid w:val="004D2646"/>
    <w:rsid w:val="004D3736"/>
    <w:rsid w:val="004D39A9"/>
    <w:rsid w:val="004D3A40"/>
    <w:rsid w:val="004D572B"/>
    <w:rsid w:val="004D5949"/>
    <w:rsid w:val="004E17AD"/>
    <w:rsid w:val="004E2546"/>
    <w:rsid w:val="004E2910"/>
    <w:rsid w:val="004E2912"/>
    <w:rsid w:val="004E4169"/>
    <w:rsid w:val="004E49A1"/>
    <w:rsid w:val="004E5432"/>
    <w:rsid w:val="004E56B8"/>
    <w:rsid w:val="004E56EB"/>
    <w:rsid w:val="004E7485"/>
    <w:rsid w:val="004F021B"/>
    <w:rsid w:val="004F05D1"/>
    <w:rsid w:val="004F0E69"/>
    <w:rsid w:val="004F1547"/>
    <w:rsid w:val="004F208B"/>
    <w:rsid w:val="004F2C94"/>
    <w:rsid w:val="004F3681"/>
    <w:rsid w:val="004F408C"/>
    <w:rsid w:val="004F45B6"/>
    <w:rsid w:val="004F4FBE"/>
    <w:rsid w:val="004F5733"/>
    <w:rsid w:val="004F58E3"/>
    <w:rsid w:val="004F5E1E"/>
    <w:rsid w:val="004F6E2F"/>
    <w:rsid w:val="004F7C65"/>
    <w:rsid w:val="0050035D"/>
    <w:rsid w:val="0050078F"/>
    <w:rsid w:val="005017E6"/>
    <w:rsid w:val="005026C4"/>
    <w:rsid w:val="005026E7"/>
    <w:rsid w:val="005036BE"/>
    <w:rsid w:val="00503A92"/>
    <w:rsid w:val="00503BDF"/>
    <w:rsid w:val="005043E9"/>
    <w:rsid w:val="00505D88"/>
    <w:rsid w:val="00505DD2"/>
    <w:rsid w:val="00506125"/>
    <w:rsid w:val="00506889"/>
    <w:rsid w:val="00506CA1"/>
    <w:rsid w:val="00506D51"/>
    <w:rsid w:val="00507891"/>
    <w:rsid w:val="00511502"/>
    <w:rsid w:val="005119F0"/>
    <w:rsid w:val="00511BB5"/>
    <w:rsid w:val="00511E69"/>
    <w:rsid w:val="0051227A"/>
    <w:rsid w:val="005125A5"/>
    <w:rsid w:val="005127FD"/>
    <w:rsid w:val="00513450"/>
    <w:rsid w:val="00513766"/>
    <w:rsid w:val="0051409E"/>
    <w:rsid w:val="00514DA2"/>
    <w:rsid w:val="0051537D"/>
    <w:rsid w:val="00515E13"/>
    <w:rsid w:val="0051621F"/>
    <w:rsid w:val="005174B6"/>
    <w:rsid w:val="005175EA"/>
    <w:rsid w:val="005175F3"/>
    <w:rsid w:val="0051784A"/>
    <w:rsid w:val="00517DDE"/>
    <w:rsid w:val="00520405"/>
    <w:rsid w:val="00520498"/>
    <w:rsid w:val="0052078F"/>
    <w:rsid w:val="00520DC7"/>
    <w:rsid w:val="00520DEE"/>
    <w:rsid w:val="00522BB6"/>
    <w:rsid w:val="00523A7F"/>
    <w:rsid w:val="00525094"/>
    <w:rsid w:val="00525601"/>
    <w:rsid w:val="0052562B"/>
    <w:rsid w:val="0052584C"/>
    <w:rsid w:val="005262A4"/>
    <w:rsid w:val="005266B8"/>
    <w:rsid w:val="0052689F"/>
    <w:rsid w:val="00526953"/>
    <w:rsid w:val="00526F66"/>
    <w:rsid w:val="005274C0"/>
    <w:rsid w:val="00527862"/>
    <w:rsid w:val="005279F7"/>
    <w:rsid w:val="00527C37"/>
    <w:rsid w:val="0053046C"/>
    <w:rsid w:val="00530BA9"/>
    <w:rsid w:val="00530BAB"/>
    <w:rsid w:val="00530E48"/>
    <w:rsid w:val="0053116C"/>
    <w:rsid w:val="005357D6"/>
    <w:rsid w:val="0053631C"/>
    <w:rsid w:val="00536506"/>
    <w:rsid w:val="00537AF2"/>
    <w:rsid w:val="00537FC5"/>
    <w:rsid w:val="005402FF"/>
    <w:rsid w:val="0054065C"/>
    <w:rsid w:val="0054337D"/>
    <w:rsid w:val="00543701"/>
    <w:rsid w:val="005448D1"/>
    <w:rsid w:val="00545131"/>
    <w:rsid w:val="005473F6"/>
    <w:rsid w:val="00547512"/>
    <w:rsid w:val="00550B39"/>
    <w:rsid w:val="00550CD4"/>
    <w:rsid w:val="00551C0E"/>
    <w:rsid w:val="00552956"/>
    <w:rsid w:val="00552EF6"/>
    <w:rsid w:val="0055476F"/>
    <w:rsid w:val="0055504F"/>
    <w:rsid w:val="005551D7"/>
    <w:rsid w:val="005571FC"/>
    <w:rsid w:val="0055734A"/>
    <w:rsid w:val="00557839"/>
    <w:rsid w:val="005600C8"/>
    <w:rsid w:val="005607D9"/>
    <w:rsid w:val="00560833"/>
    <w:rsid w:val="0056087D"/>
    <w:rsid w:val="00560C5F"/>
    <w:rsid w:val="005610FE"/>
    <w:rsid w:val="00561B06"/>
    <w:rsid w:val="00561D7E"/>
    <w:rsid w:val="005622F9"/>
    <w:rsid w:val="0056242F"/>
    <w:rsid w:val="00563718"/>
    <w:rsid w:val="00563739"/>
    <w:rsid w:val="00563A88"/>
    <w:rsid w:val="005654B1"/>
    <w:rsid w:val="0056558B"/>
    <w:rsid w:val="0056571E"/>
    <w:rsid w:val="00565E68"/>
    <w:rsid w:val="0056749B"/>
    <w:rsid w:val="00567975"/>
    <w:rsid w:val="00571F07"/>
    <w:rsid w:val="00572070"/>
    <w:rsid w:val="00573ADA"/>
    <w:rsid w:val="00573B81"/>
    <w:rsid w:val="005748A8"/>
    <w:rsid w:val="00581FAC"/>
    <w:rsid w:val="00582362"/>
    <w:rsid w:val="00582893"/>
    <w:rsid w:val="00582F0E"/>
    <w:rsid w:val="0058345E"/>
    <w:rsid w:val="0058365A"/>
    <w:rsid w:val="00583A72"/>
    <w:rsid w:val="00583E57"/>
    <w:rsid w:val="00583ED5"/>
    <w:rsid w:val="00584088"/>
    <w:rsid w:val="0058446A"/>
    <w:rsid w:val="005847D7"/>
    <w:rsid w:val="00584DC1"/>
    <w:rsid w:val="005851BC"/>
    <w:rsid w:val="005854B3"/>
    <w:rsid w:val="00585612"/>
    <w:rsid w:val="00585A79"/>
    <w:rsid w:val="005861B5"/>
    <w:rsid w:val="0058677E"/>
    <w:rsid w:val="00586915"/>
    <w:rsid w:val="00586D44"/>
    <w:rsid w:val="00587208"/>
    <w:rsid w:val="005874A9"/>
    <w:rsid w:val="00587E1D"/>
    <w:rsid w:val="00587F79"/>
    <w:rsid w:val="0059185E"/>
    <w:rsid w:val="00592035"/>
    <w:rsid w:val="0059377C"/>
    <w:rsid w:val="00593FAA"/>
    <w:rsid w:val="005948EA"/>
    <w:rsid w:val="005949E2"/>
    <w:rsid w:val="005950DE"/>
    <w:rsid w:val="00595438"/>
    <w:rsid w:val="0059602F"/>
    <w:rsid w:val="005963E3"/>
    <w:rsid w:val="00596542"/>
    <w:rsid w:val="0059795D"/>
    <w:rsid w:val="005A0568"/>
    <w:rsid w:val="005A0EC9"/>
    <w:rsid w:val="005A1707"/>
    <w:rsid w:val="005A29C5"/>
    <w:rsid w:val="005A2EB3"/>
    <w:rsid w:val="005A3574"/>
    <w:rsid w:val="005A3610"/>
    <w:rsid w:val="005A3FE9"/>
    <w:rsid w:val="005A452C"/>
    <w:rsid w:val="005A46CD"/>
    <w:rsid w:val="005A4E68"/>
    <w:rsid w:val="005A54C0"/>
    <w:rsid w:val="005A5EF6"/>
    <w:rsid w:val="005A6738"/>
    <w:rsid w:val="005A76FF"/>
    <w:rsid w:val="005A7E00"/>
    <w:rsid w:val="005A7F72"/>
    <w:rsid w:val="005B0747"/>
    <w:rsid w:val="005B153A"/>
    <w:rsid w:val="005B18D5"/>
    <w:rsid w:val="005B24B0"/>
    <w:rsid w:val="005B266A"/>
    <w:rsid w:val="005B2902"/>
    <w:rsid w:val="005B2ED6"/>
    <w:rsid w:val="005B2FDE"/>
    <w:rsid w:val="005B366F"/>
    <w:rsid w:val="005B3EA1"/>
    <w:rsid w:val="005B4352"/>
    <w:rsid w:val="005B51E5"/>
    <w:rsid w:val="005B53D9"/>
    <w:rsid w:val="005B54A1"/>
    <w:rsid w:val="005B5598"/>
    <w:rsid w:val="005B5BBA"/>
    <w:rsid w:val="005B5E93"/>
    <w:rsid w:val="005B614A"/>
    <w:rsid w:val="005B6575"/>
    <w:rsid w:val="005B6C57"/>
    <w:rsid w:val="005B7213"/>
    <w:rsid w:val="005C0036"/>
    <w:rsid w:val="005C0049"/>
    <w:rsid w:val="005C08CB"/>
    <w:rsid w:val="005C2243"/>
    <w:rsid w:val="005C2392"/>
    <w:rsid w:val="005C2BC6"/>
    <w:rsid w:val="005C3601"/>
    <w:rsid w:val="005C3D34"/>
    <w:rsid w:val="005C41D4"/>
    <w:rsid w:val="005C4C9D"/>
    <w:rsid w:val="005C4D25"/>
    <w:rsid w:val="005C56B1"/>
    <w:rsid w:val="005C59A1"/>
    <w:rsid w:val="005C6C6B"/>
    <w:rsid w:val="005D0467"/>
    <w:rsid w:val="005D0D73"/>
    <w:rsid w:val="005D2392"/>
    <w:rsid w:val="005D23B8"/>
    <w:rsid w:val="005D2846"/>
    <w:rsid w:val="005D2DFD"/>
    <w:rsid w:val="005D3470"/>
    <w:rsid w:val="005D3F0B"/>
    <w:rsid w:val="005D4AE5"/>
    <w:rsid w:val="005D5683"/>
    <w:rsid w:val="005D56E4"/>
    <w:rsid w:val="005D5C44"/>
    <w:rsid w:val="005D6447"/>
    <w:rsid w:val="005D67D7"/>
    <w:rsid w:val="005D7663"/>
    <w:rsid w:val="005D7708"/>
    <w:rsid w:val="005D7821"/>
    <w:rsid w:val="005D7C2C"/>
    <w:rsid w:val="005E0302"/>
    <w:rsid w:val="005E0DB7"/>
    <w:rsid w:val="005E1323"/>
    <w:rsid w:val="005E2C88"/>
    <w:rsid w:val="005E36EC"/>
    <w:rsid w:val="005E3D4D"/>
    <w:rsid w:val="005E4109"/>
    <w:rsid w:val="005E4E3F"/>
    <w:rsid w:val="005E5704"/>
    <w:rsid w:val="005E5762"/>
    <w:rsid w:val="005E5805"/>
    <w:rsid w:val="005E66A2"/>
    <w:rsid w:val="005F08E0"/>
    <w:rsid w:val="005F0A4E"/>
    <w:rsid w:val="005F0C57"/>
    <w:rsid w:val="005F2D2B"/>
    <w:rsid w:val="005F3198"/>
    <w:rsid w:val="005F3916"/>
    <w:rsid w:val="005F3CB6"/>
    <w:rsid w:val="005F4420"/>
    <w:rsid w:val="005F49D9"/>
    <w:rsid w:val="005F55CE"/>
    <w:rsid w:val="005F60C1"/>
    <w:rsid w:val="00601052"/>
    <w:rsid w:val="006025A4"/>
    <w:rsid w:val="00602BDE"/>
    <w:rsid w:val="00603AE0"/>
    <w:rsid w:val="00603F9F"/>
    <w:rsid w:val="00604456"/>
    <w:rsid w:val="0060607D"/>
    <w:rsid w:val="006061DA"/>
    <w:rsid w:val="00606D59"/>
    <w:rsid w:val="00607259"/>
    <w:rsid w:val="00607383"/>
    <w:rsid w:val="00607453"/>
    <w:rsid w:val="0060792C"/>
    <w:rsid w:val="00607CD2"/>
    <w:rsid w:val="00607DF5"/>
    <w:rsid w:val="0061051D"/>
    <w:rsid w:val="006107FF"/>
    <w:rsid w:val="00610CCE"/>
    <w:rsid w:val="006114C0"/>
    <w:rsid w:val="00611889"/>
    <w:rsid w:val="0061188F"/>
    <w:rsid w:val="00611CFA"/>
    <w:rsid w:val="0061362C"/>
    <w:rsid w:val="00613802"/>
    <w:rsid w:val="00613994"/>
    <w:rsid w:val="00613C0B"/>
    <w:rsid w:val="00614791"/>
    <w:rsid w:val="00614EC7"/>
    <w:rsid w:val="00615C42"/>
    <w:rsid w:val="00616386"/>
    <w:rsid w:val="00616F71"/>
    <w:rsid w:val="0061785E"/>
    <w:rsid w:val="006202C6"/>
    <w:rsid w:val="00621528"/>
    <w:rsid w:val="006219F8"/>
    <w:rsid w:val="00622FEF"/>
    <w:rsid w:val="006242C6"/>
    <w:rsid w:val="0062443B"/>
    <w:rsid w:val="00624C4A"/>
    <w:rsid w:val="00625245"/>
    <w:rsid w:val="00625782"/>
    <w:rsid w:val="00625EA2"/>
    <w:rsid w:val="006270F2"/>
    <w:rsid w:val="00627766"/>
    <w:rsid w:val="00627B90"/>
    <w:rsid w:val="00627BB6"/>
    <w:rsid w:val="006301B6"/>
    <w:rsid w:val="00630987"/>
    <w:rsid w:val="00630FF8"/>
    <w:rsid w:val="00631253"/>
    <w:rsid w:val="00633360"/>
    <w:rsid w:val="006357D1"/>
    <w:rsid w:val="006358D9"/>
    <w:rsid w:val="0063650E"/>
    <w:rsid w:val="00636BC8"/>
    <w:rsid w:val="00636D5F"/>
    <w:rsid w:val="00640F7F"/>
    <w:rsid w:val="00641359"/>
    <w:rsid w:val="00641C69"/>
    <w:rsid w:val="00642463"/>
    <w:rsid w:val="00642823"/>
    <w:rsid w:val="00643859"/>
    <w:rsid w:val="00643AD6"/>
    <w:rsid w:val="00643B3B"/>
    <w:rsid w:val="0064441E"/>
    <w:rsid w:val="00644DCE"/>
    <w:rsid w:val="00645A6C"/>
    <w:rsid w:val="00645ACE"/>
    <w:rsid w:val="00646B36"/>
    <w:rsid w:val="00646E72"/>
    <w:rsid w:val="00650203"/>
    <w:rsid w:val="006503AA"/>
    <w:rsid w:val="00650B35"/>
    <w:rsid w:val="00650D9B"/>
    <w:rsid w:val="006513EE"/>
    <w:rsid w:val="00651505"/>
    <w:rsid w:val="006519C8"/>
    <w:rsid w:val="00652F02"/>
    <w:rsid w:val="0065355F"/>
    <w:rsid w:val="00654C8A"/>
    <w:rsid w:val="00654F37"/>
    <w:rsid w:val="006553DA"/>
    <w:rsid w:val="00655473"/>
    <w:rsid w:val="00655DC2"/>
    <w:rsid w:val="0065684C"/>
    <w:rsid w:val="00656DF4"/>
    <w:rsid w:val="00660267"/>
    <w:rsid w:val="006603F3"/>
    <w:rsid w:val="00660446"/>
    <w:rsid w:val="00660F9D"/>
    <w:rsid w:val="006612CA"/>
    <w:rsid w:val="0066131A"/>
    <w:rsid w:val="00661547"/>
    <w:rsid w:val="00661597"/>
    <w:rsid w:val="006620C3"/>
    <w:rsid w:val="006620DF"/>
    <w:rsid w:val="00662789"/>
    <w:rsid w:val="00663C12"/>
    <w:rsid w:val="00663FEC"/>
    <w:rsid w:val="006642F2"/>
    <w:rsid w:val="006642FC"/>
    <w:rsid w:val="0066460A"/>
    <w:rsid w:val="00665048"/>
    <w:rsid w:val="00665116"/>
    <w:rsid w:val="0066630A"/>
    <w:rsid w:val="006669C5"/>
    <w:rsid w:val="00666F25"/>
    <w:rsid w:val="00667406"/>
    <w:rsid w:val="006679D1"/>
    <w:rsid w:val="006707AD"/>
    <w:rsid w:val="00670B0C"/>
    <w:rsid w:val="00670B67"/>
    <w:rsid w:val="00671509"/>
    <w:rsid w:val="00671E2F"/>
    <w:rsid w:val="00671FB5"/>
    <w:rsid w:val="006722EC"/>
    <w:rsid w:val="00672317"/>
    <w:rsid w:val="00672DF6"/>
    <w:rsid w:val="00673726"/>
    <w:rsid w:val="00673CBE"/>
    <w:rsid w:val="00673F65"/>
    <w:rsid w:val="00674544"/>
    <w:rsid w:val="00674621"/>
    <w:rsid w:val="006756E5"/>
    <w:rsid w:val="00677216"/>
    <w:rsid w:val="00677F72"/>
    <w:rsid w:val="00680161"/>
    <w:rsid w:val="006808AE"/>
    <w:rsid w:val="00680D04"/>
    <w:rsid w:val="00680EEF"/>
    <w:rsid w:val="00680EFD"/>
    <w:rsid w:val="00683785"/>
    <w:rsid w:val="00683F42"/>
    <w:rsid w:val="0068440D"/>
    <w:rsid w:val="00684599"/>
    <w:rsid w:val="00685404"/>
    <w:rsid w:val="00685E7A"/>
    <w:rsid w:val="00687928"/>
    <w:rsid w:val="00690C41"/>
    <w:rsid w:val="006915E5"/>
    <w:rsid w:val="00691694"/>
    <w:rsid w:val="00691F20"/>
    <w:rsid w:val="00692409"/>
    <w:rsid w:val="00692934"/>
    <w:rsid w:val="00692A7C"/>
    <w:rsid w:val="00692CD2"/>
    <w:rsid w:val="006932C6"/>
    <w:rsid w:val="006934EC"/>
    <w:rsid w:val="00693B89"/>
    <w:rsid w:val="00694778"/>
    <w:rsid w:val="00694905"/>
    <w:rsid w:val="00694F06"/>
    <w:rsid w:val="0069561C"/>
    <w:rsid w:val="00695716"/>
    <w:rsid w:val="006965C1"/>
    <w:rsid w:val="0069671C"/>
    <w:rsid w:val="00696EBA"/>
    <w:rsid w:val="00697DAD"/>
    <w:rsid w:val="006A0460"/>
    <w:rsid w:val="006A05CF"/>
    <w:rsid w:val="006A0CF2"/>
    <w:rsid w:val="006A0CF4"/>
    <w:rsid w:val="006A1862"/>
    <w:rsid w:val="006A4982"/>
    <w:rsid w:val="006A49BB"/>
    <w:rsid w:val="006A4A1B"/>
    <w:rsid w:val="006A4B8C"/>
    <w:rsid w:val="006A52D8"/>
    <w:rsid w:val="006A5CC7"/>
    <w:rsid w:val="006A7720"/>
    <w:rsid w:val="006A7814"/>
    <w:rsid w:val="006B0B60"/>
    <w:rsid w:val="006B0C51"/>
    <w:rsid w:val="006B1B54"/>
    <w:rsid w:val="006B1EEF"/>
    <w:rsid w:val="006B21AA"/>
    <w:rsid w:val="006B2CFA"/>
    <w:rsid w:val="006B2D6C"/>
    <w:rsid w:val="006B3106"/>
    <w:rsid w:val="006B3C27"/>
    <w:rsid w:val="006B446F"/>
    <w:rsid w:val="006B4637"/>
    <w:rsid w:val="006B4C4B"/>
    <w:rsid w:val="006B56F6"/>
    <w:rsid w:val="006B66EE"/>
    <w:rsid w:val="006B6C9C"/>
    <w:rsid w:val="006C06D6"/>
    <w:rsid w:val="006C0F98"/>
    <w:rsid w:val="006C1CA4"/>
    <w:rsid w:val="006C25F2"/>
    <w:rsid w:val="006C2D44"/>
    <w:rsid w:val="006C33BE"/>
    <w:rsid w:val="006C3CB6"/>
    <w:rsid w:val="006C4855"/>
    <w:rsid w:val="006C4B72"/>
    <w:rsid w:val="006C4DCC"/>
    <w:rsid w:val="006D082B"/>
    <w:rsid w:val="006D0919"/>
    <w:rsid w:val="006D0B80"/>
    <w:rsid w:val="006D0E1B"/>
    <w:rsid w:val="006D0FCB"/>
    <w:rsid w:val="006D11E0"/>
    <w:rsid w:val="006D31DE"/>
    <w:rsid w:val="006D3234"/>
    <w:rsid w:val="006D3495"/>
    <w:rsid w:val="006D4245"/>
    <w:rsid w:val="006D42DB"/>
    <w:rsid w:val="006D4838"/>
    <w:rsid w:val="006D50C5"/>
    <w:rsid w:val="006D52FA"/>
    <w:rsid w:val="006D661E"/>
    <w:rsid w:val="006D6B7C"/>
    <w:rsid w:val="006D7466"/>
    <w:rsid w:val="006D7923"/>
    <w:rsid w:val="006D7B4B"/>
    <w:rsid w:val="006E0C3D"/>
    <w:rsid w:val="006E0D5F"/>
    <w:rsid w:val="006E1880"/>
    <w:rsid w:val="006E1946"/>
    <w:rsid w:val="006E2D02"/>
    <w:rsid w:val="006E3E5E"/>
    <w:rsid w:val="006E54F7"/>
    <w:rsid w:val="006E5594"/>
    <w:rsid w:val="006E57F9"/>
    <w:rsid w:val="006E5965"/>
    <w:rsid w:val="006E5A65"/>
    <w:rsid w:val="006E6CC2"/>
    <w:rsid w:val="006E6F9A"/>
    <w:rsid w:val="006E6FF9"/>
    <w:rsid w:val="006E7841"/>
    <w:rsid w:val="006F01A1"/>
    <w:rsid w:val="006F0268"/>
    <w:rsid w:val="006F2111"/>
    <w:rsid w:val="006F4570"/>
    <w:rsid w:val="006F4732"/>
    <w:rsid w:val="006F4DB8"/>
    <w:rsid w:val="006F52A3"/>
    <w:rsid w:val="006F5477"/>
    <w:rsid w:val="006F5DA0"/>
    <w:rsid w:val="006F5E42"/>
    <w:rsid w:val="006F653A"/>
    <w:rsid w:val="006F6DFD"/>
    <w:rsid w:val="006F783B"/>
    <w:rsid w:val="006F7F11"/>
    <w:rsid w:val="00700289"/>
    <w:rsid w:val="00700640"/>
    <w:rsid w:val="00700782"/>
    <w:rsid w:val="00701859"/>
    <w:rsid w:val="007027CB"/>
    <w:rsid w:val="00702FD1"/>
    <w:rsid w:val="00703A3C"/>
    <w:rsid w:val="00703A40"/>
    <w:rsid w:val="00706A07"/>
    <w:rsid w:val="00707349"/>
    <w:rsid w:val="00707672"/>
    <w:rsid w:val="007112D9"/>
    <w:rsid w:val="0071159A"/>
    <w:rsid w:val="00712522"/>
    <w:rsid w:val="007127E5"/>
    <w:rsid w:val="00712982"/>
    <w:rsid w:val="00712EF8"/>
    <w:rsid w:val="007154F9"/>
    <w:rsid w:val="00715DAC"/>
    <w:rsid w:val="007161DC"/>
    <w:rsid w:val="00716639"/>
    <w:rsid w:val="00717A51"/>
    <w:rsid w:val="007203C4"/>
    <w:rsid w:val="00720D1A"/>
    <w:rsid w:val="00720E40"/>
    <w:rsid w:val="00721457"/>
    <w:rsid w:val="00721803"/>
    <w:rsid w:val="007222B1"/>
    <w:rsid w:val="00722455"/>
    <w:rsid w:val="00722BAB"/>
    <w:rsid w:val="00722D0E"/>
    <w:rsid w:val="00724287"/>
    <w:rsid w:val="0072615D"/>
    <w:rsid w:val="0072690A"/>
    <w:rsid w:val="0072695C"/>
    <w:rsid w:val="00726B7A"/>
    <w:rsid w:val="00727689"/>
    <w:rsid w:val="007278D0"/>
    <w:rsid w:val="00730CAE"/>
    <w:rsid w:val="007313E5"/>
    <w:rsid w:val="0073140A"/>
    <w:rsid w:val="00731478"/>
    <w:rsid w:val="00731A20"/>
    <w:rsid w:val="00731EA5"/>
    <w:rsid w:val="00731FE9"/>
    <w:rsid w:val="0073225F"/>
    <w:rsid w:val="007332CE"/>
    <w:rsid w:val="00733683"/>
    <w:rsid w:val="007360F0"/>
    <w:rsid w:val="007363BB"/>
    <w:rsid w:val="00736633"/>
    <w:rsid w:val="00736692"/>
    <w:rsid w:val="007367D5"/>
    <w:rsid w:val="00736942"/>
    <w:rsid w:val="00737BEB"/>
    <w:rsid w:val="00737FF4"/>
    <w:rsid w:val="0074145B"/>
    <w:rsid w:val="007417A8"/>
    <w:rsid w:val="0074289F"/>
    <w:rsid w:val="007430EC"/>
    <w:rsid w:val="00743694"/>
    <w:rsid w:val="00743CF9"/>
    <w:rsid w:val="00744270"/>
    <w:rsid w:val="007446DE"/>
    <w:rsid w:val="00744EED"/>
    <w:rsid w:val="007455DD"/>
    <w:rsid w:val="00746155"/>
    <w:rsid w:val="0075156F"/>
    <w:rsid w:val="007534ED"/>
    <w:rsid w:val="00753985"/>
    <w:rsid w:val="00754667"/>
    <w:rsid w:val="007547C0"/>
    <w:rsid w:val="0075489E"/>
    <w:rsid w:val="00754EED"/>
    <w:rsid w:val="00755607"/>
    <w:rsid w:val="00757210"/>
    <w:rsid w:val="00757776"/>
    <w:rsid w:val="00760735"/>
    <w:rsid w:val="007607FB"/>
    <w:rsid w:val="00760A8D"/>
    <w:rsid w:val="007612DF"/>
    <w:rsid w:val="00762A0D"/>
    <w:rsid w:val="00762B50"/>
    <w:rsid w:val="00762E54"/>
    <w:rsid w:val="007631A7"/>
    <w:rsid w:val="00763351"/>
    <w:rsid w:val="007641B0"/>
    <w:rsid w:val="00764670"/>
    <w:rsid w:val="00765F31"/>
    <w:rsid w:val="007663E7"/>
    <w:rsid w:val="00770F11"/>
    <w:rsid w:val="00770F7F"/>
    <w:rsid w:val="0077343B"/>
    <w:rsid w:val="00773B6D"/>
    <w:rsid w:val="007746B5"/>
    <w:rsid w:val="00774B43"/>
    <w:rsid w:val="0077567A"/>
    <w:rsid w:val="00775B70"/>
    <w:rsid w:val="00776521"/>
    <w:rsid w:val="0077698C"/>
    <w:rsid w:val="00777423"/>
    <w:rsid w:val="0077746A"/>
    <w:rsid w:val="0077768E"/>
    <w:rsid w:val="007800DD"/>
    <w:rsid w:val="00780B52"/>
    <w:rsid w:val="0078275D"/>
    <w:rsid w:val="00783B72"/>
    <w:rsid w:val="00783BFF"/>
    <w:rsid w:val="007849EF"/>
    <w:rsid w:val="00784C4A"/>
    <w:rsid w:val="007852A5"/>
    <w:rsid w:val="00786004"/>
    <w:rsid w:val="00787122"/>
    <w:rsid w:val="00787D6E"/>
    <w:rsid w:val="0079074F"/>
    <w:rsid w:val="00790973"/>
    <w:rsid w:val="00791A51"/>
    <w:rsid w:val="00795BBE"/>
    <w:rsid w:val="00796534"/>
    <w:rsid w:val="007965A1"/>
    <w:rsid w:val="00796D9C"/>
    <w:rsid w:val="007971D4"/>
    <w:rsid w:val="00797A77"/>
    <w:rsid w:val="00797B53"/>
    <w:rsid w:val="007A0102"/>
    <w:rsid w:val="007A3AB4"/>
    <w:rsid w:val="007A40DC"/>
    <w:rsid w:val="007A4ACA"/>
    <w:rsid w:val="007A4BA7"/>
    <w:rsid w:val="007A5E11"/>
    <w:rsid w:val="007A60DF"/>
    <w:rsid w:val="007A67E3"/>
    <w:rsid w:val="007A6AE7"/>
    <w:rsid w:val="007A76A9"/>
    <w:rsid w:val="007B0230"/>
    <w:rsid w:val="007B2171"/>
    <w:rsid w:val="007B23D8"/>
    <w:rsid w:val="007B35C1"/>
    <w:rsid w:val="007B365D"/>
    <w:rsid w:val="007B3A07"/>
    <w:rsid w:val="007B55CF"/>
    <w:rsid w:val="007B608E"/>
    <w:rsid w:val="007B670B"/>
    <w:rsid w:val="007B686B"/>
    <w:rsid w:val="007B6A80"/>
    <w:rsid w:val="007B7678"/>
    <w:rsid w:val="007B7749"/>
    <w:rsid w:val="007C0AEF"/>
    <w:rsid w:val="007C104F"/>
    <w:rsid w:val="007C19E2"/>
    <w:rsid w:val="007C1A75"/>
    <w:rsid w:val="007C1E3A"/>
    <w:rsid w:val="007C2743"/>
    <w:rsid w:val="007C3594"/>
    <w:rsid w:val="007C35AF"/>
    <w:rsid w:val="007C39C3"/>
    <w:rsid w:val="007C4774"/>
    <w:rsid w:val="007C5968"/>
    <w:rsid w:val="007C6173"/>
    <w:rsid w:val="007C65B1"/>
    <w:rsid w:val="007D016E"/>
    <w:rsid w:val="007D044A"/>
    <w:rsid w:val="007D1B84"/>
    <w:rsid w:val="007D1F19"/>
    <w:rsid w:val="007D3202"/>
    <w:rsid w:val="007D33F7"/>
    <w:rsid w:val="007D3EA6"/>
    <w:rsid w:val="007D3F29"/>
    <w:rsid w:val="007D407D"/>
    <w:rsid w:val="007D5090"/>
    <w:rsid w:val="007D5481"/>
    <w:rsid w:val="007D640A"/>
    <w:rsid w:val="007D6C39"/>
    <w:rsid w:val="007D7AF6"/>
    <w:rsid w:val="007D7F9F"/>
    <w:rsid w:val="007E02DF"/>
    <w:rsid w:val="007E06CE"/>
    <w:rsid w:val="007E0EBC"/>
    <w:rsid w:val="007E1424"/>
    <w:rsid w:val="007E1FC0"/>
    <w:rsid w:val="007E21CC"/>
    <w:rsid w:val="007E2A73"/>
    <w:rsid w:val="007E30CF"/>
    <w:rsid w:val="007E45AD"/>
    <w:rsid w:val="007E5161"/>
    <w:rsid w:val="007E55CF"/>
    <w:rsid w:val="007E5643"/>
    <w:rsid w:val="007E680A"/>
    <w:rsid w:val="007E68E9"/>
    <w:rsid w:val="007E6ADA"/>
    <w:rsid w:val="007E7422"/>
    <w:rsid w:val="007E76AA"/>
    <w:rsid w:val="007F05E1"/>
    <w:rsid w:val="007F0832"/>
    <w:rsid w:val="007F2475"/>
    <w:rsid w:val="007F2605"/>
    <w:rsid w:val="007F26C6"/>
    <w:rsid w:val="007F2F02"/>
    <w:rsid w:val="007F382F"/>
    <w:rsid w:val="007F3990"/>
    <w:rsid w:val="007F4239"/>
    <w:rsid w:val="007F4383"/>
    <w:rsid w:val="007F4E47"/>
    <w:rsid w:val="007F5585"/>
    <w:rsid w:val="007F5AC5"/>
    <w:rsid w:val="007F72FB"/>
    <w:rsid w:val="007F7C85"/>
    <w:rsid w:val="00802902"/>
    <w:rsid w:val="00803E59"/>
    <w:rsid w:val="008042C8"/>
    <w:rsid w:val="0080455C"/>
    <w:rsid w:val="00804731"/>
    <w:rsid w:val="008053A2"/>
    <w:rsid w:val="008057FF"/>
    <w:rsid w:val="008059AC"/>
    <w:rsid w:val="00805FCE"/>
    <w:rsid w:val="008061D2"/>
    <w:rsid w:val="0080664F"/>
    <w:rsid w:val="0080756E"/>
    <w:rsid w:val="00807C11"/>
    <w:rsid w:val="008100C2"/>
    <w:rsid w:val="00810287"/>
    <w:rsid w:val="008108CF"/>
    <w:rsid w:val="0081098A"/>
    <w:rsid w:val="00810A26"/>
    <w:rsid w:val="00810DCC"/>
    <w:rsid w:val="00811306"/>
    <w:rsid w:val="0081194D"/>
    <w:rsid w:val="008120FD"/>
    <w:rsid w:val="008130A7"/>
    <w:rsid w:val="00814382"/>
    <w:rsid w:val="008146BF"/>
    <w:rsid w:val="00814D1D"/>
    <w:rsid w:val="00815A17"/>
    <w:rsid w:val="008164F5"/>
    <w:rsid w:val="00817D05"/>
    <w:rsid w:val="0082005B"/>
    <w:rsid w:val="0082025C"/>
    <w:rsid w:val="00820A43"/>
    <w:rsid w:val="00820DDD"/>
    <w:rsid w:val="0082115F"/>
    <w:rsid w:val="00822001"/>
    <w:rsid w:val="00822D81"/>
    <w:rsid w:val="00823985"/>
    <w:rsid w:val="00823D27"/>
    <w:rsid w:val="008246B1"/>
    <w:rsid w:val="00824897"/>
    <w:rsid w:val="00825745"/>
    <w:rsid w:val="00825E82"/>
    <w:rsid w:val="008262F0"/>
    <w:rsid w:val="00826374"/>
    <w:rsid w:val="00826F7B"/>
    <w:rsid w:val="00827732"/>
    <w:rsid w:val="00827F4C"/>
    <w:rsid w:val="00830E94"/>
    <w:rsid w:val="00831804"/>
    <w:rsid w:val="00831901"/>
    <w:rsid w:val="00831D20"/>
    <w:rsid w:val="00833205"/>
    <w:rsid w:val="008342E1"/>
    <w:rsid w:val="00834C90"/>
    <w:rsid w:val="0083583E"/>
    <w:rsid w:val="008361DE"/>
    <w:rsid w:val="008412C1"/>
    <w:rsid w:val="008412C2"/>
    <w:rsid w:val="00841B9D"/>
    <w:rsid w:val="00842A09"/>
    <w:rsid w:val="00843F87"/>
    <w:rsid w:val="00845067"/>
    <w:rsid w:val="00845780"/>
    <w:rsid w:val="00850CA2"/>
    <w:rsid w:val="00851193"/>
    <w:rsid w:val="008513B0"/>
    <w:rsid w:val="00851628"/>
    <w:rsid w:val="00851849"/>
    <w:rsid w:val="008526DD"/>
    <w:rsid w:val="00852744"/>
    <w:rsid w:val="0085421A"/>
    <w:rsid w:val="00854665"/>
    <w:rsid w:val="00855611"/>
    <w:rsid w:val="00855CD3"/>
    <w:rsid w:val="00855D84"/>
    <w:rsid w:val="00855E79"/>
    <w:rsid w:val="00856156"/>
    <w:rsid w:val="008562B3"/>
    <w:rsid w:val="008567B2"/>
    <w:rsid w:val="008567BF"/>
    <w:rsid w:val="0085697A"/>
    <w:rsid w:val="008606E0"/>
    <w:rsid w:val="00860C98"/>
    <w:rsid w:val="0086177E"/>
    <w:rsid w:val="008618C0"/>
    <w:rsid w:val="00861B44"/>
    <w:rsid w:val="00862E26"/>
    <w:rsid w:val="00863047"/>
    <w:rsid w:val="00863F30"/>
    <w:rsid w:val="0086493B"/>
    <w:rsid w:val="00864E71"/>
    <w:rsid w:val="00865DEA"/>
    <w:rsid w:val="008669FB"/>
    <w:rsid w:val="00866FE7"/>
    <w:rsid w:val="00867D7A"/>
    <w:rsid w:val="008707D1"/>
    <w:rsid w:val="00870BC4"/>
    <w:rsid w:val="00870C4C"/>
    <w:rsid w:val="008717B4"/>
    <w:rsid w:val="00871CD9"/>
    <w:rsid w:val="0087269C"/>
    <w:rsid w:val="00872AB3"/>
    <w:rsid w:val="00872BFD"/>
    <w:rsid w:val="0087357A"/>
    <w:rsid w:val="008736D9"/>
    <w:rsid w:val="00873ABB"/>
    <w:rsid w:val="008756EA"/>
    <w:rsid w:val="008757F2"/>
    <w:rsid w:val="00876B6C"/>
    <w:rsid w:val="00876B7E"/>
    <w:rsid w:val="00876EA9"/>
    <w:rsid w:val="00876F25"/>
    <w:rsid w:val="008776D7"/>
    <w:rsid w:val="00877A62"/>
    <w:rsid w:val="00877F43"/>
    <w:rsid w:val="00880AFC"/>
    <w:rsid w:val="00881A50"/>
    <w:rsid w:val="00881DFB"/>
    <w:rsid w:val="00882D11"/>
    <w:rsid w:val="00882FD4"/>
    <w:rsid w:val="008848F8"/>
    <w:rsid w:val="00884D85"/>
    <w:rsid w:val="00884EF7"/>
    <w:rsid w:val="00884FF7"/>
    <w:rsid w:val="00885990"/>
    <w:rsid w:val="00886EFA"/>
    <w:rsid w:val="00887D38"/>
    <w:rsid w:val="00887D85"/>
    <w:rsid w:val="00887FC7"/>
    <w:rsid w:val="00890FBF"/>
    <w:rsid w:val="008917FB"/>
    <w:rsid w:val="008922DE"/>
    <w:rsid w:val="0089267D"/>
    <w:rsid w:val="00892710"/>
    <w:rsid w:val="0089281E"/>
    <w:rsid w:val="00892F1D"/>
    <w:rsid w:val="00894253"/>
    <w:rsid w:val="008963B7"/>
    <w:rsid w:val="00896766"/>
    <w:rsid w:val="008967AB"/>
    <w:rsid w:val="008968A1"/>
    <w:rsid w:val="00896B2E"/>
    <w:rsid w:val="00896CF8"/>
    <w:rsid w:val="008974B2"/>
    <w:rsid w:val="00897B71"/>
    <w:rsid w:val="008A05EA"/>
    <w:rsid w:val="008A0876"/>
    <w:rsid w:val="008A3E85"/>
    <w:rsid w:val="008A539E"/>
    <w:rsid w:val="008A55EE"/>
    <w:rsid w:val="008A5CB1"/>
    <w:rsid w:val="008A5E94"/>
    <w:rsid w:val="008A622F"/>
    <w:rsid w:val="008A6795"/>
    <w:rsid w:val="008A6973"/>
    <w:rsid w:val="008A7834"/>
    <w:rsid w:val="008B0DAA"/>
    <w:rsid w:val="008B137D"/>
    <w:rsid w:val="008B161F"/>
    <w:rsid w:val="008B165F"/>
    <w:rsid w:val="008B181A"/>
    <w:rsid w:val="008B18BA"/>
    <w:rsid w:val="008B1CED"/>
    <w:rsid w:val="008B2B3D"/>
    <w:rsid w:val="008B2B8C"/>
    <w:rsid w:val="008B2E4B"/>
    <w:rsid w:val="008B2E4F"/>
    <w:rsid w:val="008B6D79"/>
    <w:rsid w:val="008B7427"/>
    <w:rsid w:val="008B7747"/>
    <w:rsid w:val="008C038E"/>
    <w:rsid w:val="008C0ED3"/>
    <w:rsid w:val="008C164C"/>
    <w:rsid w:val="008C2EC9"/>
    <w:rsid w:val="008C3498"/>
    <w:rsid w:val="008C4769"/>
    <w:rsid w:val="008C5755"/>
    <w:rsid w:val="008C5EF2"/>
    <w:rsid w:val="008C683D"/>
    <w:rsid w:val="008C6AFB"/>
    <w:rsid w:val="008C7193"/>
    <w:rsid w:val="008D0226"/>
    <w:rsid w:val="008D10ED"/>
    <w:rsid w:val="008D145B"/>
    <w:rsid w:val="008D1832"/>
    <w:rsid w:val="008D1951"/>
    <w:rsid w:val="008D1E1F"/>
    <w:rsid w:val="008D38DF"/>
    <w:rsid w:val="008D3A54"/>
    <w:rsid w:val="008D66D2"/>
    <w:rsid w:val="008D6DF8"/>
    <w:rsid w:val="008D721F"/>
    <w:rsid w:val="008E0A4B"/>
    <w:rsid w:val="008E1966"/>
    <w:rsid w:val="008E1A58"/>
    <w:rsid w:val="008E1C37"/>
    <w:rsid w:val="008E28ED"/>
    <w:rsid w:val="008E2A38"/>
    <w:rsid w:val="008E3B69"/>
    <w:rsid w:val="008E4B4E"/>
    <w:rsid w:val="008E4B6E"/>
    <w:rsid w:val="008E616B"/>
    <w:rsid w:val="008E6B73"/>
    <w:rsid w:val="008E6BC1"/>
    <w:rsid w:val="008E703C"/>
    <w:rsid w:val="008E70FC"/>
    <w:rsid w:val="008E77DE"/>
    <w:rsid w:val="008E7D01"/>
    <w:rsid w:val="008E7F73"/>
    <w:rsid w:val="008F0324"/>
    <w:rsid w:val="008F0403"/>
    <w:rsid w:val="008F0530"/>
    <w:rsid w:val="008F06B5"/>
    <w:rsid w:val="008F0AC2"/>
    <w:rsid w:val="008F0DA1"/>
    <w:rsid w:val="008F19AA"/>
    <w:rsid w:val="008F24DE"/>
    <w:rsid w:val="008F38A7"/>
    <w:rsid w:val="008F4346"/>
    <w:rsid w:val="008F45C8"/>
    <w:rsid w:val="008F5FD3"/>
    <w:rsid w:val="008F6921"/>
    <w:rsid w:val="008F6E78"/>
    <w:rsid w:val="008F75C6"/>
    <w:rsid w:val="008F773C"/>
    <w:rsid w:val="00900000"/>
    <w:rsid w:val="009009C4"/>
    <w:rsid w:val="00900A16"/>
    <w:rsid w:val="00900B48"/>
    <w:rsid w:val="00900D8D"/>
    <w:rsid w:val="00901615"/>
    <w:rsid w:val="00902319"/>
    <w:rsid w:val="00902D75"/>
    <w:rsid w:val="009031D9"/>
    <w:rsid w:val="009041DF"/>
    <w:rsid w:val="009043C2"/>
    <w:rsid w:val="009045FE"/>
    <w:rsid w:val="00904695"/>
    <w:rsid w:val="009046CC"/>
    <w:rsid w:val="0090475F"/>
    <w:rsid w:val="009053AC"/>
    <w:rsid w:val="009054C0"/>
    <w:rsid w:val="0090567B"/>
    <w:rsid w:val="0090592C"/>
    <w:rsid w:val="00905AC2"/>
    <w:rsid w:val="00905F1E"/>
    <w:rsid w:val="00906B08"/>
    <w:rsid w:val="00907ADF"/>
    <w:rsid w:val="0091003F"/>
    <w:rsid w:val="00910D97"/>
    <w:rsid w:val="00911896"/>
    <w:rsid w:val="009127C2"/>
    <w:rsid w:val="00912EBA"/>
    <w:rsid w:val="00913348"/>
    <w:rsid w:val="009134DB"/>
    <w:rsid w:val="0091387C"/>
    <w:rsid w:val="00914E08"/>
    <w:rsid w:val="00915870"/>
    <w:rsid w:val="00917008"/>
    <w:rsid w:val="00917483"/>
    <w:rsid w:val="00920BE7"/>
    <w:rsid w:val="00920FED"/>
    <w:rsid w:val="0092176D"/>
    <w:rsid w:val="00922181"/>
    <w:rsid w:val="00926033"/>
    <w:rsid w:val="00926D90"/>
    <w:rsid w:val="009274F4"/>
    <w:rsid w:val="00931790"/>
    <w:rsid w:val="009321A4"/>
    <w:rsid w:val="00932363"/>
    <w:rsid w:val="00932DF9"/>
    <w:rsid w:val="009340F4"/>
    <w:rsid w:val="00934922"/>
    <w:rsid w:val="00934D4C"/>
    <w:rsid w:val="009353EE"/>
    <w:rsid w:val="00935E9F"/>
    <w:rsid w:val="009365A3"/>
    <w:rsid w:val="00936742"/>
    <w:rsid w:val="00936AAB"/>
    <w:rsid w:val="00936C35"/>
    <w:rsid w:val="0093775B"/>
    <w:rsid w:val="00937A39"/>
    <w:rsid w:val="00940944"/>
    <w:rsid w:val="00940F42"/>
    <w:rsid w:val="0094123D"/>
    <w:rsid w:val="0094126E"/>
    <w:rsid w:val="00943304"/>
    <w:rsid w:val="0094351A"/>
    <w:rsid w:val="00943642"/>
    <w:rsid w:val="00943A17"/>
    <w:rsid w:val="00943ACA"/>
    <w:rsid w:val="00943F34"/>
    <w:rsid w:val="0094474A"/>
    <w:rsid w:val="00944A1E"/>
    <w:rsid w:val="0094711C"/>
    <w:rsid w:val="00947702"/>
    <w:rsid w:val="009513E8"/>
    <w:rsid w:val="00951D82"/>
    <w:rsid w:val="00952F22"/>
    <w:rsid w:val="009534F3"/>
    <w:rsid w:val="0095368D"/>
    <w:rsid w:val="009537E0"/>
    <w:rsid w:val="009574F8"/>
    <w:rsid w:val="0095762A"/>
    <w:rsid w:val="0096068C"/>
    <w:rsid w:val="009616BB"/>
    <w:rsid w:val="00961815"/>
    <w:rsid w:val="00961DE0"/>
    <w:rsid w:val="0096200E"/>
    <w:rsid w:val="00962334"/>
    <w:rsid w:val="00962564"/>
    <w:rsid w:val="009634D5"/>
    <w:rsid w:val="00964342"/>
    <w:rsid w:val="00964FF7"/>
    <w:rsid w:val="009655BE"/>
    <w:rsid w:val="009659D4"/>
    <w:rsid w:val="009663F6"/>
    <w:rsid w:val="009664F6"/>
    <w:rsid w:val="00966B4C"/>
    <w:rsid w:val="00967315"/>
    <w:rsid w:val="00971186"/>
    <w:rsid w:val="00971311"/>
    <w:rsid w:val="00971480"/>
    <w:rsid w:val="009720CF"/>
    <w:rsid w:val="009728B5"/>
    <w:rsid w:val="009749D2"/>
    <w:rsid w:val="009751B3"/>
    <w:rsid w:val="00975F02"/>
    <w:rsid w:val="009770D0"/>
    <w:rsid w:val="00977340"/>
    <w:rsid w:val="00977438"/>
    <w:rsid w:val="0098003D"/>
    <w:rsid w:val="0098007A"/>
    <w:rsid w:val="0098126D"/>
    <w:rsid w:val="009813BC"/>
    <w:rsid w:val="00981441"/>
    <w:rsid w:val="0098158A"/>
    <w:rsid w:val="009815F8"/>
    <w:rsid w:val="0098227B"/>
    <w:rsid w:val="00982485"/>
    <w:rsid w:val="00982785"/>
    <w:rsid w:val="00982BA3"/>
    <w:rsid w:val="00984071"/>
    <w:rsid w:val="00984972"/>
    <w:rsid w:val="00985632"/>
    <w:rsid w:val="00985BC7"/>
    <w:rsid w:val="0098666E"/>
    <w:rsid w:val="00987FB4"/>
    <w:rsid w:val="00990C57"/>
    <w:rsid w:val="00990C6C"/>
    <w:rsid w:val="00991D7F"/>
    <w:rsid w:val="00992994"/>
    <w:rsid w:val="00993017"/>
    <w:rsid w:val="0099345F"/>
    <w:rsid w:val="0099367B"/>
    <w:rsid w:val="00993975"/>
    <w:rsid w:val="00993D97"/>
    <w:rsid w:val="0099418F"/>
    <w:rsid w:val="009951EA"/>
    <w:rsid w:val="009959B0"/>
    <w:rsid w:val="00995D8E"/>
    <w:rsid w:val="009969F6"/>
    <w:rsid w:val="00996FEC"/>
    <w:rsid w:val="0099734E"/>
    <w:rsid w:val="00997552"/>
    <w:rsid w:val="009A0851"/>
    <w:rsid w:val="009A0B45"/>
    <w:rsid w:val="009A0D4E"/>
    <w:rsid w:val="009A170C"/>
    <w:rsid w:val="009A1E50"/>
    <w:rsid w:val="009A1F71"/>
    <w:rsid w:val="009A26E7"/>
    <w:rsid w:val="009A2F92"/>
    <w:rsid w:val="009A3048"/>
    <w:rsid w:val="009A3F86"/>
    <w:rsid w:val="009A4030"/>
    <w:rsid w:val="009A4FF8"/>
    <w:rsid w:val="009A54D6"/>
    <w:rsid w:val="009A5A84"/>
    <w:rsid w:val="009A6040"/>
    <w:rsid w:val="009A619A"/>
    <w:rsid w:val="009A619F"/>
    <w:rsid w:val="009A751F"/>
    <w:rsid w:val="009A7C90"/>
    <w:rsid w:val="009A7DDF"/>
    <w:rsid w:val="009A7DE1"/>
    <w:rsid w:val="009B0E64"/>
    <w:rsid w:val="009B14A5"/>
    <w:rsid w:val="009B2526"/>
    <w:rsid w:val="009B3685"/>
    <w:rsid w:val="009B36C9"/>
    <w:rsid w:val="009B4661"/>
    <w:rsid w:val="009B4CF8"/>
    <w:rsid w:val="009B5B75"/>
    <w:rsid w:val="009B7286"/>
    <w:rsid w:val="009C012C"/>
    <w:rsid w:val="009C140B"/>
    <w:rsid w:val="009C25A4"/>
    <w:rsid w:val="009C2F17"/>
    <w:rsid w:val="009C30AE"/>
    <w:rsid w:val="009C3282"/>
    <w:rsid w:val="009C3F8A"/>
    <w:rsid w:val="009C56FF"/>
    <w:rsid w:val="009C5CE8"/>
    <w:rsid w:val="009C680B"/>
    <w:rsid w:val="009C6DE8"/>
    <w:rsid w:val="009C7085"/>
    <w:rsid w:val="009C7C3E"/>
    <w:rsid w:val="009D1D0E"/>
    <w:rsid w:val="009D2637"/>
    <w:rsid w:val="009D367A"/>
    <w:rsid w:val="009D3B5A"/>
    <w:rsid w:val="009D4BC4"/>
    <w:rsid w:val="009D4DC7"/>
    <w:rsid w:val="009D5031"/>
    <w:rsid w:val="009D5639"/>
    <w:rsid w:val="009D5D67"/>
    <w:rsid w:val="009D5FEF"/>
    <w:rsid w:val="009D6B82"/>
    <w:rsid w:val="009D7EB7"/>
    <w:rsid w:val="009E0CF8"/>
    <w:rsid w:val="009E1B8A"/>
    <w:rsid w:val="009E20AB"/>
    <w:rsid w:val="009E2263"/>
    <w:rsid w:val="009E25AE"/>
    <w:rsid w:val="009E2844"/>
    <w:rsid w:val="009E2F25"/>
    <w:rsid w:val="009E2FB2"/>
    <w:rsid w:val="009E31D5"/>
    <w:rsid w:val="009E3842"/>
    <w:rsid w:val="009E3A6C"/>
    <w:rsid w:val="009E4859"/>
    <w:rsid w:val="009E48B0"/>
    <w:rsid w:val="009E4B68"/>
    <w:rsid w:val="009E6B17"/>
    <w:rsid w:val="009E6C06"/>
    <w:rsid w:val="009E7018"/>
    <w:rsid w:val="009E75D2"/>
    <w:rsid w:val="009E76E0"/>
    <w:rsid w:val="009E7F8A"/>
    <w:rsid w:val="009F0765"/>
    <w:rsid w:val="009F1A2D"/>
    <w:rsid w:val="009F2FC9"/>
    <w:rsid w:val="009F317B"/>
    <w:rsid w:val="009F3805"/>
    <w:rsid w:val="009F4B37"/>
    <w:rsid w:val="009F4C98"/>
    <w:rsid w:val="009F4E0B"/>
    <w:rsid w:val="009F6169"/>
    <w:rsid w:val="009F6B8D"/>
    <w:rsid w:val="009F73B6"/>
    <w:rsid w:val="009F7A0E"/>
    <w:rsid w:val="009F7DA1"/>
    <w:rsid w:val="00A00343"/>
    <w:rsid w:val="00A00666"/>
    <w:rsid w:val="00A01940"/>
    <w:rsid w:val="00A01D58"/>
    <w:rsid w:val="00A02A9B"/>
    <w:rsid w:val="00A036BA"/>
    <w:rsid w:val="00A04731"/>
    <w:rsid w:val="00A07F59"/>
    <w:rsid w:val="00A10055"/>
    <w:rsid w:val="00A10BDC"/>
    <w:rsid w:val="00A10E2C"/>
    <w:rsid w:val="00A10EB8"/>
    <w:rsid w:val="00A11634"/>
    <w:rsid w:val="00A11FBD"/>
    <w:rsid w:val="00A12E20"/>
    <w:rsid w:val="00A12F09"/>
    <w:rsid w:val="00A14196"/>
    <w:rsid w:val="00A14577"/>
    <w:rsid w:val="00A1507D"/>
    <w:rsid w:val="00A1585D"/>
    <w:rsid w:val="00A16A47"/>
    <w:rsid w:val="00A16A55"/>
    <w:rsid w:val="00A16DFB"/>
    <w:rsid w:val="00A17CDB"/>
    <w:rsid w:val="00A20C0A"/>
    <w:rsid w:val="00A2103A"/>
    <w:rsid w:val="00A21313"/>
    <w:rsid w:val="00A2161A"/>
    <w:rsid w:val="00A21814"/>
    <w:rsid w:val="00A21B09"/>
    <w:rsid w:val="00A21E9B"/>
    <w:rsid w:val="00A22E7D"/>
    <w:rsid w:val="00A23369"/>
    <w:rsid w:val="00A23F04"/>
    <w:rsid w:val="00A245AF"/>
    <w:rsid w:val="00A24A28"/>
    <w:rsid w:val="00A2520B"/>
    <w:rsid w:val="00A25C2E"/>
    <w:rsid w:val="00A26517"/>
    <w:rsid w:val="00A26696"/>
    <w:rsid w:val="00A26E4A"/>
    <w:rsid w:val="00A2751F"/>
    <w:rsid w:val="00A30A95"/>
    <w:rsid w:val="00A30FE7"/>
    <w:rsid w:val="00A32D73"/>
    <w:rsid w:val="00A32E3B"/>
    <w:rsid w:val="00A32FC4"/>
    <w:rsid w:val="00A3327F"/>
    <w:rsid w:val="00A3479D"/>
    <w:rsid w:val="00A34C34"/>
    <w:rsid w:val="00A3543F"/>
    <w:rsid w:val="00A3560C"/>
    <w:rsid w:val="00A3634C"/>
    <w:rsid w:val="00A36A9C"/>
    <w:rsid w:val="00A36C28"/>
    <w:rsid w:val="00A37D7E"/>
    <w:rsid w:val="00A40837"/>
    <w:rsid w:val="00A41D90"/>
    <w:rsid w:val="00A42BF2"/>
    <w:rsid w:val="00A42C34"/>
    <w:rsid w:val="00A43259"/>
    <w:rsid w:val="00A4354E"/>
    <w:rsid w:val="00A44343"/>
    <w:rsid w:val="00A44837"/>
    <w:rsid w:val="00A46789"/>
    <w:rsid w:val="00A46A32"/>
    <w:rsid w:val="00A46C51"/>
    <w:rsid w:val="00A46FB1"/>
    <w:rsid w:val="00A47C84"/>
    <w:rsid w:val="00A47DC3"/>
    <w:rsid w:val="00A47EF6"/>
    <w:rsid w:val="00A50EF5"/>
    <w:rsid w:val="00A53998"/>
    <w:rsid w:val="00A539CE"/>
    <w:rsid w:val="00A54DD6"/>
    <w:rsid w:val="00A557B3"/>
    <w:rsid w:val="00A55AAB"/>
    <w:rsid w:val="00A56B85"/>
    <w:rsid w:val="00A56B92"/>
    <w:rsid w:val="00A5751E"/>
    <w:rsid w:val="00A57A61"/>
    <w:rsid w:val="00A60648"/>
    <w:rsid w:val="00A6149A"/>
    <w:rsid w:val="00A6164E"/>
    <w:rsid w:val="00A619AF"/>
    <w:rsid w:val="00A62644"/>
    <w:rsid w:val="00A62689"/>
    <w:rsid w:val="00A63EAA"/>
    <w:rsid w:val="00A63F66"/>
    <w:rsid w:val="00A6585F"/>
    <w:rsid w:val="00A66021"/>
    <w:rsid w:val="00A6620E"/>
    <w:rsid w:val="00A66EB4"/>
    <w:rsid w:val="00A67F57"/>
    <w:rsid w:val="00A700BD"/>
    <w:rsid w:val="00A701AE"/>
    <w:rsid w:val="00A70384"/>
    <w:rsid w:val="00A70F8C"/>
    <w:rsid w:val="00A71DD9"/>
    <w:rsid w:val="00A71E54"/>
    <w:rsid w:val="00A73045"/>
    <w:rsid w:val="00A73EF1"/>
    <w:rsid w:val="00A7453A"/>
    <w:rsid w:val="00A7583A"/>
    <w:rsid w:val="00A762D0"/>
    <w:rsid w:val="00A776FB"/>
    <w:rsid w:val="00A807D2"/>
    <w:rsid w:val="00A813D0"/>
    <w:rsid w:val="00A8203F"/>
    <w:rsid w:val="00A82264"/>
    <w:rsid w:val="00A82C49"/>
    <w:rsid w:val="00A83094"/>
    <w:rsid w:val="00A8316D"/>
    <w:rsid w:val="00A8377D"/>
    <w:rsid w:val="00A83BB2"/>
    <w:rsid w:val="00A85AF2"/>
    <w:rsid w:val="00A85D58"/>
    <w:rsid w:val="00A879FD"/>
    <w:rsid w:val="00A9048A"/>
    <w:rsid w:val="00A91B84"/>
    <w:rsid w:val="00A91DF5"/>
    <w:rsid w:val="00A92F91"/>
    <w:rsid w:val="00A9319B"/>
    <w:rsid w:val="00A93DB6"/>
    <w:rsid w:val="00A93EB8"/>
    <w:rsid w:val="00A95787"/>
    <w:rsid w:val="00A95A68"/>
    <w:rsid w:val="00A970D3"/>
    <w:rsid w:val="00A977C1"/>
    <w:rsid w:val="00AA0734"/>
    <w:rsid w:val="00AA07B7"/>
    <w:rsid w:val="00AA0FA3"/>
    <w:rsid w:val="00AA1214"/>
    <w:rsid w:val="00AA161A"/>
    <w:rsid w:val="00AA1C9C"/>
    <w:rsid w:val="00AA1EB0"/>
    <w:rsid w:val="00AA204B"/>
    <w:rsid w:val="00AA22D8"/>
    <w:rsid w:val="00AA2A0E"/>
    <w:rsid w:val="00AA41E4"/>
    <w:rsid w:val="00AA5A61"/>
    <w:rsid w:val="00AA68E1"/>
    <w:rsid w:val="00AA6979"/>
    <w:rsid w:val="00AA7B1F"/>
    <w:rsid w:val="00AB13FA"/>
    <w:rsid w:val="00AB21DC"/>
    <w:rsid w:val="00AB295E"/>
    <w:rsid w:val="00AB2C4B"/>
    <w:rsid w:val="00AB2CBD"/>
    <w:rsid w:val="00AB2E2E"/>
    <w:rsid w:val="00AB2FCB"/>
    <w:rsid w:val="00AB33DD"/>
    <w:rsid w:val="00AB3C7B"/>
    <w:rsid w:val="00AB419C"/>
    <w:rsid w:val="00AB4595"/>
    <w:rsid w:val="00AB4A81"/>
    <w:rsid w:val="00AB4C92"/>
    <w:rsid w:val="00AB5059"/>
    <w:rsid w:val="00AB54F0"/>
    <w:rsid w:val="00AB5BC9"/>
    <w:rsid w:val="00AB5C7C"/>
    <w:rsid w:val="00AB5EA2"/>
    <w:rsid w:val="00AB6C48"/>
    <w:rsid w:val="00AB73DC"/>
    <w:rsid w:val="00AB788A"/>
    <w:rsid w:val="00AC0708"/>
    <w:rsid w:val="00AC0978"/>
    <w:rsid w:val="00AC272E"/>
    <w:rsid w:val="00AC38B1"/>
    <w:rsid w:val="00AC3DA9"/>
    <w:rsid w:val="00AC4836"/>
    <w:rsid w:val="00AC4A56"/>
    <w:rsid w:val="00AC5715"/>
    <w:rsid w:val="00AC5978"/>
    <w:rsid w:val="00AC611F"/>
    <w:rsid w:val="00AC719A"/>
    <w:rsid w:val="00AC7AC6"/>
    <w:rsid w:val="00AC7C76"/>
    <w:rsid w:val="00AD014F"/>
    <w:rsid w:val="00AD055D"/>
    <w:rsid w:val="00AD0987"/>
    <w:rsid w:val="00AD0C93"/>
    <w:rsid w:val="00AD0EEF"/>
    <w:rsid w:val="00AD24FF"/>
    <w:rsid w:val="00AD2789"/>
    <w:rsid w:val="00AD280B"/>
    <w:rsid w:val="00AD37B9"/>
    <w:rsid w:val="00AD48B8"/>
    <w:rsid w:val="00AD4BE5"/>
    <w:rsid w:val="00AD57D0"/>
    <w:rsid w:val="00AD6DEB"/>
    <w:rsid w:val="00AE046D"/>
    <w:rsid w:val="00AE0F1A"/>
    <w:rsid w:val="00AE1661"/>
    <w:rsid w:val="00AE24D6"/>
    <w:rsid w:val="00AE2622"/>
    <w:rsid w:val="00AE281C"/>
    <w:rsid w:val="00AE4429"/>
    <w:rsid w:val="00AE4636"/>
    <w:rsid w:val="00AE4920"/>
    <w:rsid w:val="00AE52F8"/>
    <w:rsid w:val="00AE79E0"/>
    <w:rsid w:val="00AF0572"/>
    <w:rsid w:val="00AF0BA1"/>
    <w:rsid w:val="00AF1E94"/>
    <w:rsid w:val="00AF26BB"/>
    <w:rsid w:val="00AF2775"/>
    <w:rsid w:val="00AF34B7"/>
    <w:rsid w:val="00AF3CE1"/>
    <w:rsid w:val="00AF3D4F"/>
    <w:rsid w:val="00AF43CA"/>
    <w:rsid w:val="00AF43CF"/>
    <w:rsid w:val="00AF4586"/>
    <w:rsid w:val="00AF53FC"/>
    <w:rsid w:val="00AF549A"/>
    <w:rsid w:val="00AF5502"/>
    <w:rsid w:val="00AF56AD"/>
    <w:rsid w:val="00AF584C"/>
    <w:rsid w:val="00AF5F1E"/>
    <w:rsid w:val="00AF74B7"/>
    <w:rsid w:val="00AF7937"/>
    <w:rsid w:val="00B000B0"/>
    <w:rsid w:val="00B00711"/>
    <w:rsid w:val="00B00DAD"/>
    <w:rsid w:val="00B00F34"/>
    <w:rsid w:val="00B03297"/>
    <w:rsid w:val="00B03FD5"/>
    <w:rsid w:val="00B04282"/>
    <w:rsid w:val="00B04B9D"/>
    <w:rsid w:val="00B061F4"/>
    <w:rsid w:val="00B062FE"/>
    <w:rsid w:val="00B06E32"/>
    <w:rsid w:val="00B07788"/>
    <w:rsid w:val="00B07835"/>
    <w:rsid w:val="00B109DD"/>
    <w:rsid w:val="00B1174A"/>
    <w:rsid w:val="00B11C46"/>
    <w:rsid w:val="00B12630"/>
    <w:rsid w:val="00B130D2"/>
    <w:rsid w:val="00B136B5"/>
    <w:rsid w:val="00B15476"/>
    <w:rsid w:val="00B15A4B"/>
    <w:rsid w:val="00B16D4F"/>
    <w:rsid w:val="00B1760D"/>
    <w:rsid w:val="00B20FA8"/>
    <w:rsid w:val="00B21948"/>
    <w:rsid w:val="00B22287"/>
    <w:rsid w:val="00B24753"/>
    <w:rsid w:val="00B277BC"/>
    <w:rsid w:val="00B3175E"/>
    <w:rsid w:val="00B3313C"/>
    <w:rsid w:val="00B367DF"/>
    <w:rsid w:val="00B36805"/>
    <w:rsid w:val="00B36B8F"/>
    <w:rsid w:val="00B36C71"/>
    <w:rsid w:val="00B377D4"/>
    <w:rsid w:val="00B41FD7"/>
    <w:rsid w:val="00B42680"/>
    <w:rsid w:val="00B42AB8"/>
    <w:rsid w:val="00B42FE3"/>
    <w:rsid w:val="00B439E1"/>
    <w:rsid w:val="00B43A5D"/>
    <w:rsid w:val="00B445BD"/>
    <w:rsid w:val="00B47B74"/>
    <w:rsid w:val="00B5034F"/>
    <w:rsid w:val="00B50E92"/>
    <w:rsid w:val="00B51A2F"/>
    <w:rsid w:val="00B52B4F"/>
    <w:rsid w:val="00B534C6"/>
    <w:rsid w:val="00B53AD9"/>
    <w:rsid w:val="00B549A2"/>
    <w:rsid w:val="00B54F86"/>
    <w:rsid w:val="00B5517B"/>
    <w:rsid w:val="00B555EC"/>
    <w:rsid w:val="00B5566A"/>
    <w:rsid w:val="00B5597E"/>
    <w:rsid w:val="00B55F95"/>
    <w:rsid w:val="00B55FDA"/>
    <w:rsid w:val="00B563D9"/>
    <w:rsid w:val="00B57179"/>
    <w:rsid w:val="00B603F9"/>
    <w:rsid w:val="00B60AC1"/>
    <w:rsid w:val="00B60E8E"/>
    <w:rsid w:val="00B6181E"/>
    <w:rsid w:val="00B623BE"/>
    <w:rsid w:val="00B62411"/>
    <w:rsid w:val="00B624A3"/>
    <w:rsid w:val="00B625C0"/>
    <w:rsid w:val="00B62DF1"/>
    <w:rsid w:val="00B630FE"/>
    <w:rsid w:val="00B63697"/>
    <w:rsid w:val="00B63A11"/>
    <w:rsid w:val="00B65785"/>
    <w:rsid w:val="00B66229"/>
    <w:rsid w:val="00B663C9"/>
    <w:rsid w:val="00B663CB"/>
    <w:rsid w:val="00B70134"/>
    <w:rsid w:val="00B7068D"/>
    <w:rsid w:val="00B7070D"/>
    <w:rsid w:val="00B72DE0"/>
    <w:rsid w:val="00B736F7"/>
    <w:rsid w:val="00B73A49"/>
    <w:rsid w:val="00B73BC0"/>
    <w:rsid w:val="00B74215"/>
    <w:rsid w:val="00B7524F"/>
    <w:rsid w:val="00B75843"/>
    <w:rsid w:val="00B77B77"/>
    <w:rsid w:val="00B8073B"/>
    <w:rsid w:val="00B81646"/>
    <w:rsid w:val="00B819B6"/>
    <w:rsid w:val="00B822F9"/>
    <w:rsid w:val="00B8287A"/>
    <w:rsid w:val="00B832F3"/>
    <w:rsid w:val="00B834A0"/>
    <w:rsid w:val="00B83ABA"/>
    <w:rsid w:val="00B83D8E"/>
    <w:rsid w:val="00B84460"/>
    <w:rsid w:val="00B85536"/>
    <w:rsid w:val="00B864DD"/>
    <w:rsid w:val="00B86880"/>
    <w:rsid w:val="00B86981"/>
    <w:rsid w:val="00B86EC9"/>
    <w:rsid w:val="00B86F2D"/>
    <w:rsid w:val="00B873CB"/>
    <w:rsid w:val="00B87EA0"/>
    <w:rsid w:val="00B91B18"/>
    <w:rsid w:val="00B92128"/>
    <w:rsid w:val="00B92B63"/>
    <w:rsid w:val="00B945DA"/>
    <w:rsid w:val="00B94669"/>
    <w:rsid w:val="00B946A7"/>
    <w:rsid w:val="00B947B4"/>
    <w:rsid w:val="00B94B80"/>
    <w:rsid w:val="00B95940"/>
    <w:rsid w:val="00B959DD"/>
    <w:rsid w:val="00B95EFB"/>
    <w:rsid w:val="00B97D47"/>
    <w:rsid w:val="00B97F3A"/>
    <w:rsid w:val="00BA1682"/>
    <w:rsid w:val="00BA1B9E"/>
    <w:rsid w:val="00BA200E"/>
    <w:rsid w:val="00BA277A"/>
    <w:rsid w:val="00BA2935"/>
    <w:rsid w:val="00BA2C9E"/>
    <w:rsid w:val="00BA44E6"/>
    <w:rsid w:val="00BA48D3"/>
    <w:rsid w:val="00BA4CD8"/>
    <w:rsid w:val="00BA4D66"/>
    <w:rsid w:val="00BA618E"/>
    <w:rsid w:val="00BA70C2"/>
    <w:rsid w:val="00BA7E61"/>
    <w:rsid w:val="00BB0E69"/>
    <w:rsid w:val="00BB0FD5"/>
    <w:rsid w:val="00BB2151"/>
    <w:rsid w:val="00BB392D"/>
    <w:rsid w:val="00BB3CA9"/>
    <w:rsid w:val="00BB3D4A"/>
    <w:rsid w:val="00BB6755"/>
    <w:rsid w:val="00BC16BF"/>
    <w:rsid w:val="00BC1951"/>
    <w:rsid w:val="00BC1CAE"/>
    <w:rsid w:val="00BC3586"/>
    <w:rsid w:val="00BC3D90"/>
    <w:rsid w:val="00BC49E9"/>
    <w:rsid w:val="00BC52FE"/>
    <w:rsid w:val="00BC656C"/>
    <w:rsid w:val="00BC66D7"/>
    <w:rsid w:val="00BC7A61"/>
    <w:rsid w:val="00BC7C75"/>
    <w:rsid w:val="00BD257C"/>
    <w:rsid w:val="00BD508F"/>
    <w:rsid w:val="00BD5B8B"/>
    <w:rsid w:val="00BD6EA6"/>
    <w:rsid w:val="00BD7131"/>
    <w:rsid w:val="00BD7194"/>
    <w:rsid w:val="00BD71DA"/>
    <w:rsid w:val="00BD7C46"/>
    <w:rsid w:val="00BD7FF5"/>
    <w:rsid w:val="00BE07BF"/>
    <w:rsid w:val="00BE0CAD"/>
    <w:rsid w:val="00BE1B1B"/>
    <w:rsid w:val="00BE1B7A"/>
    <w:rsid w:val="00BE236A"/>
    <w:rsid w:val="00BE27A0"/>
    <w:rsid w:val="00BE35FC"/>
    <w:rsid w:val="00BE3F8D"/>
    <w:rsid w:val="00BE4427"/>
    <w:rsid w:val="00BE780A"/>
    <w:rsid w:val="00BE7CAA"/>
    <w:rsid w:val="00BF0AED"/>
    <w:rsid w:val="00BF0EB9"/>
    <w:rsid w:val="00BF0FA0"/>
    <w:rsid w:val="00BF0FA5"/>
    <w:rsid w:val="00BF304A"/>
    <w:rsid w:val="00BF38B3"/>
    <w:rsid w:val="00BF3C2A"/>
    <w:rsid w:val="00BF48F3"/>
    <w:rsid w:val="00BF4FD3"/>
    <w:rsid w:val="00BF616B"/>
    <w:rsid w:val="00BF6365"/>
    <w:rsid w:val="00BF67D5"/>
    <w:rsid w:val="00C0025C"/>
    <w:rsid w:val="00C0066C"/>
    <w:rsid w:val="00C00E6D"/>
    <w:rsid w:val="00C0128B"/>
    <w:rsid w:val="00C016CE"/>
    <w:rsid w:val="00C01BA1"/>
    <w:rsid w:val="00C01D74"/>
    <w:rsid w:val="00C021D4"/>
    <w:rsid w:val="00C0295E"/>
    <w:rsid w:val="00C031F2"/>
    <w:rsid w:val="00C03810"/>
    <w:rsid w:val="00C03D28"/>
    <w:rsid w:val="00C03FE9"/>
    <w:rsid w:val="00C049D7"/>
    <w:rsid w:val="00C055E0"/>
    <w:rsid w:val="00C05A81"/>
    <w:rsid w:val="00C05DA7"/>
    <w:rsid w:val="00C06016"/>
    <w:rsid w:val="00C103A3"/>
    <w:rsid w:val="00C1191A"/>
    <w:rsid w:val="00C1244D"/>
    <w:rsid w:val="00C1276A"/>
    <w:rsid w:val="00C130C6"/>
    <w:rsid w:val="00C1354A"/>
    <w:rsid w:val="00C13FEB"/>
    <w:rsid w:val="00C1515C"/>
    <w:rsid w:val="00C158B6"/>
    <w:rsid w:val="00C15905"/>
    <w:rsid w:val="00C15F3C"/>
    <w:rsid w:val="00C17709"/>
    <w:rsid w:val="00C20205"/>
    <w:rsid w:val="00C20E99"/>
    <w:rsid w:val="00C20EAF"/>
    <w:rsid w:val="00C2196E"/>
    <w:rsid w:val="00C22F29"/>
    <w:rsid w:val="00C23953"/>
    <w:rsid w:val="00C24003"/>
    <w:rsid w:val="00C2424C"/>
    <w:rsid w:val="00C24A4D"/>
    <w:rsid w:val="00C24B5B"/>
    <w:rsid w:val="00C2629F"/>
    <w:rsid w:val="00C276A9"/>
    <w:rsid w:val="00C30462"/>
    <w:rsid w:val="00C3057D"/>
    <w:rsid w:val="00C307B0"/>
    <w:rsid w:val="00C3222B"/>
    <w:rsid w:val="00C324DE"/>
    <w:rsid w:val="00C32528"/>
    <w:rsid w:val="00C32DDA"/>
    <w:rsid w:val="00C32EE2"/>
    <w:rsid w:val="00C335AF"/>
    <w:rsid w:val="00C33DAF"/>
    <w:rsid w:val="00C34D7E"/>
    <w:rsid w:val="00C34FB9"/>
    <w:rsid w:val="00C34FE5"/>
    <w:rsid w:val="00C3579C"/>
    <w:rsid w:val="00C35D0E"/>
    <w:rsid w:val="00C35FA0"/>
    <w:rsid w:val="00C36895"/>
    <w:rsid w:val="00C370D0"/>
    <w:rsid w:val="00C372FF"/>
    <w:rsid w:val="00C37691"/>
    <w:rsid w:val="00C40852"/>
    <w:rsid w:val="00C40C24"/>
    <w:rsid w:val="00C40D46"/>
    <w:rsid w:val="00C41563"/>
    <w:rsid w:val="00C4183E"/>
    <w:rsid w:val="00C41936"/>
    <w:rsid w:val="00C42473"/>
    <w:rsid w:val="00C430A4"/>
    <w:rsid w:val="00C438C1"/>
    <w:rsid w:val="00C44127"/>
    <w:rsid w:val="00C44A1E"/>
    <w:rsid w:val="00C454AC"/>
    <w:rsid w:val="00C45BC5"/>
    <w:rsid w:val="00C45F0C"/>
    <w:rsid w:val="00C4654B"/>
    <w:rsid w:val="00C4670F"/>
    <w:rsid w:val="00C46E79"/>
    <w:rsid w:val="00C47D0E"/>
    <w:rsid w:val="00C500D6"/>
    <w:rsid w:val="00C50177"/>
    <w:rsid w:val="00C521E6"/>
    <w:rsid w:val="00C52216"/>
    <w:rsid w:val="00C52339"/>
    <w:rsid w:val="00C52DAC"/>
    <w:rsid w:val="00C535D6"/>
    <w:rsid w:val="00C53926"/>
    <w:rsid w:val="00C5409A"/>
    <w:rsid w:val="00C5640A"/>
    <w:rsid w:val="00C60A01"/>
    <w:rsid w:val="00C61752"/>
    <w:rsid w:val="00C61B0F"/>
    <w:rsid w:val="00C6202C"/>
    <w:rsid w:val="00C63326"/>
    <w:rsid w:val="00C6371E"/>
    <w:rsid w:val="00C63C58"/>
    <w:rsid w:val="00C64212"/>
    <w:rsid w:val="00C65548"/>
    <w:rsid w:val="00C66BEE"/>
    <w:rsid w:val="00C66BF5"/>
    <w:rsid w:val="00C67107"/>
    <w:rsid w:val="00C6721B"/>
    <w:rsid w:val="00C677E2"/>
    <w:rsid w:val="00C67ABD"/>
    <w:rsid w:val="00C7218F"/>
    <w:rsid w:val="00C75097"/>
    <w:rsid w:val="00C753F7"/>
    <w:rsid w:val="00C776F0"/>
    <w:rsid w:val="00C77E89"/>
    <w:rsid w:val="00C77FAE"/>
    <w:rsid w:val="00C8053B"/>
    <w:rsid w:val="00C80605"/>
    <w:rsid w:val="00C81E16"/>
    <w:rsid w:val="00C83358"/>
    <w:rsid w:val="00C84B72"/>
    <w:rsid w:val="00C85009"/>
    <w:rsid w:val="00C86B22"/>
    <w:rsid w:val="00C878C7"/>
    <w:rsid w:val="00C903F1"/>
    <w:rsid w:val="00C91A9A"/>
    <w:rsid w:val="00C92408"/>
    <w:rsid w:val="00C927A1"/>
    <w:rsid w:val="00C92E4B"/>
    <w:rsid w:val="00C92EB9"/>
    <w:rsid w:val="00C94302"/>
    <w:rsid w:val="00C94897"/>
    <w:rsid w:val="00C954E5"/>
    <w:rsid w:val="00C95D99"/>
    <w:rsid w:val="00C97764"/>
    <w:rsid w:val="00C97B1E"/>
    <w:rsid w:val="00C97EA5"/>
    <w:rsid w:val="00CA0E62"/>
    <w:rsid w:val="00CA143F"/>
    <w:rsid w:val="00CA1921"/>
    <w:rsid w:val="00CA20BC"/>
    <w:rsid w:val="00CA21C3"/>
    <w:rsid w:val="00CA3B59"/>
    <w:rsid w:val="00CA499F"/>
    <w:rsid w:val="00CA5241"/>
    <w:rsid w:val="00CA52BB"/>
    <w:rsid w:val="00CA547F"/>
    <w:rsid w:val="00CA55D0"/>
    <w:rsid w:val="00CA569A"/>
    <w:rsid w:val="00CA72DD"/>
    <w:rsid w:val="00CA7AD9"/>
    <w:rsid w:val="00CB0485"/>
    <w:rsid w:val="00CB0CC9"/>
    <w:rsid w:val="00CB10CB"/>
    <w:rsid w:val="00CB1231"/>
    <w:rsid w:val="00CB13A7"/>
    <w:rsid w:val="00CB2043"/>
    <w:rsid w:val="00CB2F04"/>
    <w:rsid w:val="00CB3A53"/>
    <w:rsid w:val="00CB3C0D"/>
    <w:rsid w:val="00CB514D"/>
    <w:rsid w:val="00CB59F8"/>
    <w:rsid w:val="00CB6040"/>
    <w:rsid w:val="00CB75EB"/>
    <w:rsid w:val="00CB7C0C"/>
    <w:rsid w:val="00CB7D62"/>
    <w:rsid w:val="00CC0293"/>
    <w:rsid w:val="00CC10E9"/>
    <w:rsid w:val="00CC15C0"/>
    <w:rsid w:val="00CC42A5"/>
    <w:rsid w:val="00CC5494"/>
    <w:rsid w:val="00CC6ABE"/>
    <w:rsid w:val="00CC6E47"/>
    <w:rsid w:val="00CC7041"/>
    <w:rsid w:val="00CC778E"/>
    <w:rsid w:val="00CC78AF"/>
    <w:rsid w:val="00CD286F"/>
    <w:rsid w:val="00CD39D1"/>
    <w:rsid w:val="00CD4285"/>
    <w:rsid w:val="00CD4A75"/>
    <w:rsid w:val="00CD4A83"/>
    <w:rsid w:val="00CD7910"/>
    <w:rsid w:val="00CD7AB7"/>
    <w:rsid w:val="00CE0320"/>
    <w:rsid w:val="00CE05B0"/>
    <w:rsid w:val="00CE05FA"/>
    <w:rsid w:val="00CE1C18"/>
    <w:rsid w:val="00CE1C7E"/>
    <w:rsid w:val="00CE1FD0"/>
    <w:rsid w:val="00CE2536"/>
    <w:rsid w:val="00CE3818"/>
    <w:rsid w:val="00CE3DF9"/>
    <w:rsid w:val="00CE4673"/>
    <w:rsid w:val="00CE5ADA"/>
    <w:rsid w:val="00CE71F2"/>
    <w:rsid w:val="00CE7AD9"/>
    <w:rsid w:val="00CF0373"/>
    <w:rsid w:val="00CF05B6"/>
    <w:rsid w:val="00CF0C73"/>
    <w:rsid w:val="00CF0D8E"/>
    <w:rsid w:val="00CF24EA"/>
    <w:rsid w:val="00CF2563"/>
    <w:rsid w:val="00CF2CBB"/>
    <w:rsid w:val="00CF2F60"/>
    <w:rsid w:val="00CF33C8"/>
    <w:rsid w:val="00CF35C6"/>
    <w:rsid w:val="00CF3ADA"/>
    <w:rsid w:val="00CF402E"/>
    <w:rsid w:val="00CF412D"/>
    <w:rsid w:val="00CF4A12"/>
    <w:rsid w:val="00CF4EF2"/>
    <w:rsid w:val="00CF5341"/>
    <w:rsid w:val="00CF64CA"/>
    <w:rsid w:val="00CF6A5F"/>
    <w:rsid w:val="00CF6C95"/>
    <w:rsid w:val="00D00988"/>
    <w:rsid w:val="00D00C8A"/>
    <w:rsid w:val="00D00F18"/>
    <w:rsid w:val="00D0102F"/>
    <w:rsid w:val="00D01E92"/>
    <w:rsid w:val="00D024F2"/>
    <w:rsid w:val="00D0336B"/>
    <w:rsid w:val="00D038D0"/>
    <w:rsid w:val="00D0428A"/>
    <w:rsid w:val="00D04D06"/>
    <w:rsid w:val="00D06C2E"/>
    <w:rsid w:val="00D07347"/>
    <w:rsid w:val="00D1046B"/>
    <w:rsid w:val="00D1230E"/>
    <w:rsid w:val="00D12332"/>
    <w:rsid w:val="00D126BB"/>
    <w:rsid w:val="00D136A9"/>
    <w:rsid w:val="00D15A32"/>
    <w:rsid w:val="00D16464"/>
    <w:rsid w:val="00D16597"/>
    <w:rsid w:val="00D169FC"/>
    <w:rsid w:val="00D174E1"/>
    <w:rsid w:val="00D17861"/>
    <w:rsid w:val="00D17D99"/>
    <w:rsid w:val="00D2087E"/>
    <w:rsid w:val="00D22ADB"/>
    <w:rsid w:val="00D22DDC"/>
    <w:rsid w:val="00D22E50"/>
    <w:rsid w:val="00D22F33"/>
    <w:rsid w:val="00D236D6"/>
    <w:rsid w:val="00D23AD5"/>
    <w:rsid w:val="00D24494"/>
    <w:rsid w:val="00D2481E"/>
    <w:rsid w:val="00D24873"/>
    <w:rsid w:val="00D24AE3"/>
    <w:rsid w:val="00D24C7A"/>
    <w:rsid w:val="00D260CA"/>
    <w:rsid w:val="00D266B7"/>
    <w:rsid w:val="00D26F67"/>
    <w:rsid w:val="00D304EE"/>
    <w:rsid w:val="00D3185E"/>
    <w:rsid w:val="00D31C63"/>
    <w:rsid w:val="00D328CF"/>
    <w:rsid w:val="00D32E56"/>
    <w:rsid w:val="00D33836"/>
    <w:rsid w:val="00D3641F"/>
    <w:rsid w:val="00D36723"/>
    <w:rsid w:val="00D373C0"/>
    <w:rsid w:val="00D40185"/>
    <w:rsid w:val="00D41B55"/>
    <w:rsid w:val="00D4226B"/>
    <w:rsid w:val="00D435A0"/>
    <w:rsid w:val="00D43D9B"/>
    <w:rsid w:val="00D440CE"/>
    <w:rsid w:val="00D4446D"/>
    <w:rsid w:val="00D44AC3"/>
    <w:rsid w:val="00D451FE"/>
    <w:rsid w:val="00D453EA"/>
    <w:rsid w:val="00D45642"/>
    <w:rsid w:val="00D4593D"/>
    <w:rsid w:val="00D459A0"/>
    <w:rsid w:val="00D4612A"/>
    <w:rsid w:val="00D46934"/>
    <w:rsid w:val="00D46C64"/>
    <w:rsid w:val="00D4727A"/>
    <w:rsid w:val="00D4753B"/>
    <w:rsid w:val="00D47C87"/>
    <w:rsid w:val="00D500C1"/>
    <w:rsid w:val="00D511BF"/>
    <w:rsid w:val="00D51646"/>
    <w:rsid w:val="00D518E1"/>
    <w:rsid w:val="00D53578"/>
    <w:rsid w:val="00D537E3"/>
    <w:rsid w:val="00D53D6F"/>
    <w:rsid w:val="00D547B8"/>
    <w:rsid w:val="00D55AFE"/>
    <w:rsid w:val="00D561BC"/>
    <w:rsid w:val="00D5685A"/>
    <w:rsid w:val="00D57AF8"/>
    <w:rsid w:val="00D57F77"/>
    <w:rsid w:val="00D60B96"/>
    <w:rsid w:val="00D60BA7"/>
    <w:rsid w:val="00D6209A"/>
    <w:rsid w:val="00D6239D"/>
    <w:rsid w:val="00D62B22"/>
    <w:rsid w:val="00D62BCC"/>
    <w:rsid w:val="00D62FA7"/>
    <w:rsid w:val="00D63D99"/>
    <w:rsid w:val="00D64061"/>
    <w:rsid w:val="00D6554F"/>
    <w:rsid w:val="00D65871"/>
    <w:rsid w:val="00D66281"/>
    <w:rsid w:val="00D66704"/>
    <w:rsid w:val="00D674BF"/>
    <w:rsid w:val="00D708E4"/>
    <w:rsid w:val="00D716CE"/>
    <w:rsid w:val="00D71BF6"/>
    <w:rsid w:val="00D71F09"/>
    <w:rsid w:val="00D72512"/>
    <w:rsid w:val="00D7319E"/>
    <w:rsid w:val="00D733A0"/>
    <w:rsid w:val="00D7402A"/>
    <w:rsid w:val="00D742B2"/>
    <w:rsid w:val="00D7431B"/>
    <w:rsid w:val="00D744FB"/>
    <w:rsid w:val="00D74600"/>
    <w:rsid w:val="00D7478A"/>
    <w:rsid w:val="00D7681E"/>
    <w:rsid w:val="00D76A81"/>
    <w:rsid w:val="00D76B77"/>
    <w:rsid w:val="00D76C51"/>
    <w:rsid w:val="00D77AB3"/>
    <w:rsid w:val="00D8051C"/>
    <w:rsid w:val="00D805E5"/>
    <w:rsid w:val="00D806F5"/>
    <w:rsid w:val="00D80E68"/>
    <w:rsid w:val="00D81132"/>
    <w:rsid w:val="00D82C0D"/>
    <w:rsid w:val="00D83FAF"/>
    <w:rsid w:val="00D844FB"/>
    <w:rsid w:val="00D84F0A"/>
    <w:rsid w:val="00D8505C"/>
    <w:rsid w:val="00D855F0"/>
    <w:rsid w:val="00D86C68"/>
    <w:rsid w:val="00D87B01"/>
    <w:rsid w:val="00D87C3B"/>
    <w:rsid w:val="00D91B68"/>
    <w:rsid w:val="00D91E1D"/>
    <w:rsid w:val="00D9213B"/>
    <w:rsid w:val="00D939B7"/>
    <w:rsid w:val="00D9461B"/>
    <w:rsid w:val="00D94D0D"/>
    <w:rsid w:val="00D9572F"/>
    <w:rsid w:val="00D9595B"/>
    <w:rsid w:val="00D95E39"/>
    <w:rsid w:val="00D96507"/>
    <w:rsid w:val="00DA027D"/>
    <w:rsid w:val="00DA0588"/>
    <w:rsid w:val="00DA0DEB"/>
    <w:rsid w:val="00DA16FF"/>
    <w:rsid w:val="00DA1CDA"/>
    <w:rsid w:val="00DA226D"/>
    <w:rsid w:val="00DA3485"/>
    <w:rsid w:val="00DA37CD"/>
    <w:rsid w:val="00DA47D9"/>
    <w:rsid w:val="00DA5270"/>
    <w:rsid w:val="00DA57F1"/>
    <w:rsid w:val="00DA5C62"/>
    <w:rsid w:val="00DA5D55"/>
    <w:rsid w:val="00DA6E39"/>
    <w:rsid w:val="00DA6FAC"/>
    <w:rsid w:val="00DA7262"/>
    <w:rsid w:val="00DB00C3"/>
    <w:rsid w:val="00DB0AAF"/>
    <w:rsid w:val="00DB11DF"/>
    <w:rsid w:val="00DB160C"/>
    <w:rsid w:val="00DB2908"/>
    <w:rsid w:val="00DB2D40"/>
    <w:rsid w:val="00DB32A3"/>
    <w:rsid w:val="00DB3A4F"/>
    <w:rsid w:val="00DB3F45"/>
    <w:rsid w:val="00DB4007"/>
    <w:rsid w:val="00DB4872"/>
    <w:rsid w:val="00DB5068"/>
    <w:rsid w:val="00DB5AD2"/>
    <w:rsid w:val="00DB6662"/>
    <w:rsid w:val="00DB6D6F"/>
    <w:rsid w:val="00DC0E6A"/>
    <w:rsid w:val="00DC11F6"/>
    <w:rsid w:val="00DC2B82"/>
    <w:rsid w:val="00DC4284"/>
    <w:rsid w:val="00DC49E6"/>
    <w:rsid w:val="00DC687C"/>
    <w:rsid w:val="00DC76A8"/>
    <w:rsid w:val="00DC7C8C"/>
    <w:rsid w:val="00DC7FAE"/>
    <w:rsid w:val="00DD0D6A"/>
    <w:rsid w:val="00DD0E0F"/>
    <w:rsid w:val="00DD18E1"/>
    <w:rsid w:val="00DD1A07"/>
    <w:rsid w:val="00DD236A"/>
    <w:rsid w:val="00DD2C4B"/>
    <w:rsid w:val="00DD2E6D"/>
    <w:rsid w:val="00DD3318"/>
    <w:rsid w:val="00DD3364"/>
    <w:rsid w:val="00DD40C8"/>
    <w:rsid w:val="00DD48A6"/>
    <w:rsid w:val="00DD5AFB"/>
    <w:rsid w:val="00DD6628"/>
    <w:rsid w:val="00DD701E"/>
    <w:rsid w:val="00DD7C58"/>
    <w:rsid w:val="00DE11E3"/>
    <w:rsid w:val="00DE2336"/>
    <w:rsid w:val="00DE269E"/>
    <w:rsid w:val="00DE29CE"/>
    <w:rsid w:val="00DE30F9"/>
    <w:rsid w:val="00DE31D3"/>
    <w:rsid w:val="00DE3256"/>
    <w:rsid w:val="00DE3772"/>
    <w:rsid w:val="00DE4FAF"/>
    <w:rsid w:val="00DE51A3"/>
    <w:rsid w:val="00DE51C6"/>
    <w:rsid w:val="00DE568A"/>
    <w:rsid w:val="00DE5AC2"/>
    <w:rsid w:val="00DE5FD4"/>
    <w:rsid w:val="00DE6CA0"/>
    <w:rsid w:val="00DE7469"/>
    <w:rsid w:val="00DE75EC"/>
    <w:rsid w:val="00DE7F42"/>
    <w:rsid w:val="00DF1D4B"/>
    <w:rsid w:val="00DF3203"/>
    <w:rsid w:val="00DF3BFC"/>
    <w:rsid w:val="00DF43F0"/>
    <w:rsid w:val="00DF6108"/>
    <w:rsid w:val="00DF6330"/>
    <w:rsid w:val="00DF6F2F"/>
    <w:rsid w:val="00DF7EB0"/>
    <w:rsid w:val="00E00FB3"/>
    <w:rsid w:val="00E02068"/>
    <w:rsid w:val="00E021CE"/>
    <w:rsid w:val="00E02788"/>
    <w:rsid w:val="00E03133"/>
    <w:rsid w:val="00E04E59"/>
    <w:rsid w:val="00E05F0E"/>
    <w:rsid w:val="00E063BA"/>
    <w:rsid w:val="00E0642F"/>
    <w:rsid w:val="00E07425"/>
    <w:rsid w:val="00E0761E"/>
    <w:rsid w:val="00E115AA"/>
    <w:rsid w:val="00E11935"/>
    <w:rsid w:val="00E12259"/>
    <w:rsid w:val="00E12A1E"/>
    <w:rsid w:val="00E12DCC"/>
    <w:rsid w:val="00E12FE8"/>
    <w:rsid w:val="00E13551"/>
    <w:rsid w:val="00E13DA9"/>
    <w:rsid w:val="00E141DC"/>
    <w:rsid w:val="00E1440F"/>
    <w:rsid w:val="00E15584"/>
    <w:rsid w:val="00E16169"/>
    <w:rsid w:val="00E168C8"/>
    <w:rsid w:val="00E17A2B"/>
    <w:rsid w:val="00E20B69"/>
    <w:rsid w:val="00E2120D"/>
    <w:rsid w:val="00E21DA4"/>
    <w:rsid w:val="00E22248"/>
    <w:rsid w:val="00E22478"/>
    <w:rsid w:val="00E236A8"/>
    <w:rsid w:val="00E23A8E"/>
    <w:rsid w:val="00E24465"/>
    <w:rsid w:val="00E246A9"/>
    <w:rsid w:val="00E2577B"/>
    <w:rsid w:val="00E25DC4"/>
    <w:rsid w:val="00E25EF9"/>
    <w:rsid w:val="00E302A3"/>
    <w:rsid w:val="00E30915"/>
    <w:rsid w:val="00E311EC"/>
    <w:rsid w:val="00E31411"/>
    <w:rsid w:val="00E32DE0"/>
    <w:rsid w:val="00E33362"/>
    <w:rsid w:val="00E340E9"/>
    <w:rsid w:val="00E34C5E"/>
    <w:rsid w:val="00E34E5D"/>
    <w:rsid w:val="00E34F7B"/>
    <w:rsid w:val="00E3558E"/>
    <w:rsid w:val="00E35C66"/>
    <w:rsid w:val="00E35DA6"/>
    <w:rsid w:val="00E36273"/>
    <w:rsid w:val="00E36DFD"/>
    <w:rsid w:val="00E371EA"/>
    <w:rsid w:val="00E40515"/>
    <w:rsid w:val="00E40833"/>
    <w:rsid w:val="00E42185"/>
    <w:rsid w:val="00E42589"/>
    <w:rsid w:val="00E4315A"/>
    <w:rsid w:val="00E43BF1"/>
    <w:rsid w:val="00E43D50"/>
    <w:rsid w:val="00E456C2"/>
    <w:rsid w:val="00E45725"/>
    <w:rsid w:val="00E45B7A"/>
    <w:rsid w:val="00E45B96"/>
    <w:rsid w:val="00E45BDE"/>
    <w:rsid w:val="00E45D5A"/>
    <w:rsid w:val="00E4612D"/>
    <w:rsid w:val="00E461ED"/>
    <w:rsid w:val="00E47656"/>
    <w:rsid w:val="00E51F6B"/>
    <w:rsid w:val="00E52562"/>
    <w:rsid w:val="00E53549"/>
    <w:rsid w:val="00E53E7B"/>
    <w:rsid w:val="00E54C1C"/>
    <w:rsid w:val="00E551C9"/>
    <w:rsid w:val="00E560F9"/>
    <w:rsid w:val="00E5641A"/>
    <w:rsid w:val="00E5677F"/>
    <w:rsid w:val="00E5679C"/>
    <w:rsid w:val="00E56A74"/>
    <w:rsid w:val="00E603DB"/>
    <w:rsid w:val="00E60EBC"/>
    <w:rsid w:val="00E61421"/>
    <w:rsid w:val="00E61602"/>
    <w:rsid w:val="00E61787"/>
    <w:rsid w:val="00E61F46"/>
    <w:rsid w:val="00E62E57"/>
    <w:rsid w:val="00E6317F"/>
    <w:rsid w:val="00E64512"/>
    <w:rsid w:val="00E65C5F"/>
    <w:rsid w:val="00E65D10"/>
    <w:rsid w:val="00E661D1"/>
    <w:rsid w:val="00E67056"/>
    <w:rsid w:val="00E702DF"/>
    <w:rsid w:val="00E70857"/>
    <w:rsid w:val="00E717B8"/>
    <w:rsid w:val="00E717C3"/>
    <w:rsid w:val="00E71897"/>
    <w:rsid w:val="00E71F47"/>
    <w:rsid w:val="00E726D2"/>
    <w:rsid w:val="00E72897"/>
    <w:rsid w:val="00E7312B"/>
    <w:rsid w:val="00E731EE"/>
    <w:rsid w:val="00E73EB3"/>
    <w:rsid w:val="00E743BA"/>
    <w:rsid w:val="00E74B4E"/>
    <w:rsid w:val="00E74C94"/>
    <w:rsid w:val="00E7576C"/>
    <w:rsid w:val="00E76381"/>
    <w:rsid w:val="00E7693E"/>
    <w:rsid w:val="00E76B01"/>
    <w:rsid w:val="00E76D38"/>
    <w:rsid w:val="00E7723E"/>
    <w:rsid w:val="00E7739D"/>
    <w:rsid w:val="00E80612"/>
    <w:rsid w:val="00E81C11"/>
    <w:rsid w:val="00E81E80"/>
    <w:rsid w:val="00E82FF3"/>
    <w:rsid w:val="00E8314D"/>
    <w:rsid w:val="00E837BF"/>
    <w:rsid w:val="00E8664D"/>
    <w:rsid w:val="00E866D0"/>
    <w:rsid w:val="00E86E54"/>
    <w:rsid w:val="00E90178"/>
    <w:rsid w:val="00E904AE"/>
    <w:rsid w:val="00E91967"/>
    <w:rsid w:val="00E924AD"/>
    <w:rsid w:val="00E93015"/>
    <w:rsid w:val="00E9310D"/>
    <w:rsid w:val="00E93A98"/>
    <w:rsid w:val="00E94F22"/>
    <w:rsid w:val="00E9516F"/>
    <w:rsid w:val="00E95F3D"/>
    <w:rsid w:val="00E963C0"/>
    <w:rsid w:val="00E969A6"/>
    <w:rsid w:val="00E969CD"/>
    <w:rsid w:val="00E972F3"/>
    <w:rsid w:val="00E97888"/>
    <w:rsid w:val="00E9799C"/>
    <w:rsid w:val="00EA2262"/>
    <w:rsid w:val="00EA2938"/>
    <w:rsid w:val="00EA2BEB"/>
    <w:rsid w:val="00EA341B"/>
    <w:rsid w:val="00EA5CDF"/>
    <w:rsid w:val="00EA6524"/>
    <w:rsid w:val="00EA72E7"/>
    <w:rsid w:val="00EB0528"/>
    <w:rsid w:val="00EB1006"/>
    <w:rsid w:val="00EB1A34"/>
    <w:rsid w:val="00EB22F4"/>
    <w:rsid w:val="00EB29DA"/>
    <w:rsid w:val="00EB3BC8"/>
    <w:rsid w:val="00EB4BD1"/>
    <w:rsid w:val="00EB4D74"/>
    <w:rsid w:val="00EB4EB3"/>
    <w:rsid w:val="00EB5817"/>
    <w:rsid w:val="00EB5D49"/>
    <w:rsid w:val="00EB6D72"/>
    <w:rsid w:val="00EB7000"/>
    <w:rsid w:val="00EC0975"/>
    <w:rsid w:val="00EC0DA4"/>
    <w:rsid w:val="00EC1E55"/>
    <w:rsid w:val="00EC2EE3"/>
    <w:rsid w:val="00EC3215"/>
    <w:rsid w:val="00EC3421"/>
    <w:rsid w:val="00EC3BF5"/>
    <w:rsid w:val="00EC43F3"/>
    <w:rsid w:val="00EC532D"/>
    <w:rsid w:val="00EC7709"/>
    <w:rsid w:val="00EC78BA"/>
    <w:rsid w:val="00ED019B"/>
    <w:rsid w:val="00ED0A31"/>
    <w:rsid w:val="00ED1376"/>
    <w:rsid w:val="00ED1467"/>
    <w:rsid w:val="00ED21BB"/>
    <w:rsid w:val="00ED2E8D"/>
    <w:rsid w:val="00ED3284"/>
    <w:rsid w:val="00ED3346"/>
    <w:rsid w:val="00ED481A"/>
    <w:rsid w:val="00ED6706"/>
    <w:rsid w:val="00ED6827"/>
    <w:rsid w:val="00ED6845"/>
    <w:rsid w:val="00ED6C2B"/>
    <w:rsid w:val="00EE0983"/>
    <w:rsid w:val="00EE14BB"/>
    <w:rsid w:val="00EE16AE"/>
    <w:rsid w:val="00EE18A5"/>
    <w:rsid w:val="00EE1CF9"/>
    <w:rsid w:val="00EE2063"/>
    <w:rsid w:val="00EE310F"/>
    <w:rsid w:val="00EE3468"/>
    <w:rsid w:val="00EE3903"/>
    <w:rsid w:val="00EE3CE5"/>
    <w:rsid w:val="00EE4F3C"/>
    <w:rsid w:val="00EE4FC4"/>
    <w:rsid w:val="00EE4FD4"/>
    <w:rsid w:val="00EE52EB"/>
    <w:rsid w:val="00EE795F"/>
    <w:rsid w:val="00EF1A67"/>
    <w:rsid w:val="00EF1F99"/>
    <w:rsid w:val="00EF2318"/>
    <w:rsid w:val="00EF299B"/>
    <w:rsid w:val="00EF3108"/>
    <w:rsid w:val="00EF3B20"/>
    <w:rsid w:val="00EF3B8F"/>
    <w:rsid w:val="00EF40CF"/>
    <w:rsid w:val="00EF4F03"/>
    <w:rsid w:val="00EF519D"/>
    <w:rsid w:val="00EF5379"/>
    <w:rsid w:val="00EF73B6"/>
    <w:rsid w:val="00EF78CD"/>
    <w:rsid w:val="00F001C2"/>
    <w:rsid w:val="00F01C35"/>
    <w:rsid w:val="00F02824"/>
    <w:rsid w:val="00F02E8B"/>
    <w:rsid w:val="00F04EB5"/>
    <w:rsid w:val="00F05198"/>
    <w:rsid w:val="00F0553F"/>
    <w:rsid w:val="00F06836"/>
    <w:rsid w:val="00F07DCB"/>
    <w:rsid w:val="00F1011E"/>
    <w:rsid w:val="00F1018F"/>
    <w:rsid w:val="00F10B16"/>
    <w:rsid w:val="00F111D9"/>
    <w:rsid w:val="00F135EB"/>
    <w:rsid w:val="00F13879"/>
    <w:rsid w:val="00F14082"/>
    <w:rsid w:val="00F1472C"/>
    <w:rsid w:val="00F1499A"/>
    <w:rsid w:val="00F15959"/>
    <w:rsid w:val="00F15FDA"/>
    <w:rsid w:val="00F16368"/>
    <w:rsid w:val="00F16FA1"/>
    <w:rsid w:val="00F17113"/>
    <w:rsid w:val="00F173AA"/>
    <w:rsid w:val="00F17BAF"/>
    <w:rsid w:val="00F206B0"/>
    <w:rsid w:val="00F2120E"/>
    <w:rsid w:val="00F21953"/>
    <w:rsid w:val="00F22059"/>
    <w:rsid w:val="00F235D7"/>
    <w:rsid w:val="00F23FFF"/>
    <w:rsid w:val="00F256DD"/>
    <w:rsid w:val="00F2737D"/>
    <w:rsid w:val="00F27C77"/>
    <w:rsid w:val="00F27DB9"/>
    <w:rsid w:val="00F27DEB"/>
    <w:rsid w:val="00F3060F"/>
    <w:rsid w:val="00F310C5"/>
    <w:rsid w:val="00F325F7"/>
    <w:rsid w:val="00F32B58"/>
    <w:rsid w:val="00F33BA4"/>
    <w:rsid w:val="00F33EA4"/>
    <w:rsid w:val="00F34E91"/>
    <w:rsid w:val="00F3618F"/>
    <w:rsid w:val="00F36F9C"/>
    <w:rsid w:val="00F37A38"/>
    <w:rsid w:val="00F37B89"/>
    <w:rsid w:val="00F37BF0"/>
    <w:rsid w:val="00F40AB7"/>
    <w:rsid w:val="00F40D84"/>
    <w:rsid w:val="00F41325"/>
    <w:rsid w:val="00F42478"/>
    <w:rsid w:val="00F43A06"/>
    <w:rsid w:val="00F43F0C"/>
    <w:rsid w:val="00F455E0"/>
    <w:rsid w:val="00F4641B"/>
    <w:rsid w:val="00F46875"/>
    <w:rsid w:val="00F468BF"/>
    <w:rsid w:val="00F4798B"/>
    <w:rsid w:val="00F5023D"/>
    <w:rsid w:val="00F50BA9"/>
    <w:rsid w:val="00F50C29"/>
    <w:rsid w:val="00F511C7"/>
    <w:rsid w:val="00F511EE"/>
    <w:rsid w:val="00F51E43"/>
    <w:rsid w:val="00F52098"/>
    <w:rsid w:val="00F53591"/>
    <w:rsid w:val="00F548C3"/>
    <w:rsid w:val="00F54E0D"/>
    <w:rsid w:val="00F54F34"/>
    <w:rsid w:val="00F55E9A"/>
    <w:rsid w:val="00F56162"/>
    <w:rsid w:val="00F56B00"/>
    <w:rsid w:val="00F60E09"/>
    <w:rsid w:val="00F618DD"/>
    <w:rsid w:val="00F61B95"/>
    <w:rsid w:val="00F62291"/>
    <w:rsid w:val="00F622CD"/>
    <w:rsid w:val="00F633B2"/>
    <w:rsid w:val="00F641EE"/>
    <w:rsid w:val="00F64A26"/>
    <w:rsid w:val="00F64CA0"/>
    <w:rsid w:val="00F64E35"/>
    <w:rsid w:val="00F65328"/>
    <w:rsid w:val="00F6562D"/>
    <w:rsid w:val="00F664CE"/>
    <w:rsid w:val="00F6733A"/>
    <w:rsid w:val="00F67360"/>
    <w:rsid w:val="00F70011"/>
    <w:rsid w:val="00F7046A"/>
    <w:rsid w:val="00F7176D"/>
    <w:rsid w:val="00F71DE7"/>
    <w:rsid w:val="00F72C6B"/>
    <w:rsid w:val="00F72E4A"/>
    <w:rsid w:val="00F734DB"/>
    <w:rsid w:val="00F73817"/>
    <w:rsid w:val="00F73E32"/>
    <w:rsid w:val="00F74296"/>
    <w:rsid w:val="00F74810"/>
    <w:rsid w:val="00F7502E"/>
    <w:rsid w:val="00F75829"/>
    <w:rsid w:val="00F779B7"/>
    <w:rsid w:val="00F802FE"/>
    <w:rsid w:val="00F8040E"/>
    <w:rsid w:val="00F805EB"/>
    <w:rsid w:val="00F809D5"/>
    <w:rsid w:val="00F80EDC"/>
    <w:rsid w:val="00F81A00"/>
    <w:rsid w:val="00F82202"/>
    <w:rsid w:val="00F825E6"/>
    <w:rsid w:val="00F82A35"/>
    <w:rsid w:val="00F844C4"/>
    <w:rsid w:val="00F84576"/>
    <w:rsid w:val="00F85586"/>
    <w:rsid w:val="00F86A9A"/>
    <w:rsid w:val="00F86CC3"/>
    <w:rsid w:val="00F90B5D"/>
    <w:rsid w:val="00F9174B"/>
    <w:rsid w:val="00F9236A"/>
    <w:rsid w:val="00F923C9"/>
    <w:rsid w:val="00F923EC"/>
    <w:rsid w:val="00F93107"/>
    <w:rsid w:val="00F94D38"/>
    <w:rsid w:val="00F9604B"/>
    <w:rsid w:val="00F965AE"/>
    <w:rsid w:val="00F97A2B"/>
    <w:rsid w:val="00F97CB7"/>
    <w:rsid w:val="00FA025C"/>
    <w:rsid w:val="00FA070E"/>
    <w:rsid w:val="00FA0770"/>
    <w:rsid w:val="00FA0CE2"/>
    <w:rsid w:val="00FA10AA"/>
    <w:rsid w:val="00FA1816"/>
    <w:rsid w:val="00FA25D5"/>
    <w:rsid w:val="00FA29B3"/>
    <w:rsid w:val="00FA2F05"/>
    <w:rsid w:val="00FA3594"/>
    <w:rsid w:val="00FA386F"/>
    <w:rsid w:val="00FA452C"/>
    <w:rsid w:val="00FA543C"/>
    <w:rsid w:val="00FA6130"/>
    <w:rsid w:val="00FA76D1"/>
    <w:rsid w:val="00FA796A"/>
    <w:rsid w:val="00FB0AFD"/>
    <w:rsid w:val="00FB1B05"/>
    <w:rsid w:val="00FB207B"/>
    <w:rsid w:val="00FB3913"/>
    <w:rsid w:val="00FB4418"/>
    <w:rsid w:val="00FB5D0A"/>
    <w:rsid w:val="00FB5EBC"/>
    <w:rsid w:val="00FB6876"/>
    <w:rsid w:val="00FB71C6"/>
    <w:rsid w:val="00FB7CC2"/>
    <w:rsid w:val="00FC03A5"/>
    <w:rsid w:val="00FC28E3"/>
    <w:rsid w:val="00FC36A5"/>
    <w:rsid w:val="00FC3EC6"/>
    <w:rsid w:val="00FC4838"/>
    <w:rsid w:val="00FC49E1"/>
    <w:rsid w:val="00FC4A58"/>
    <w:rsid w:val="00FC4D55"/>
    <w:rsid w:val="00FC4EC6"/>
    <w:rsid w:val="00FC65A2"/>
    <w:rsid w:val="00FC66EA"/>
    <w:rsid w:val="00FC6C02"/>
    <w:rsid w:val="00FD0967"/>
    <w:rsid w:val="00FD1CB7"/>
    <w:rsid w:val="00FD27D1"/>
    <w:rsid w:val="00FD2D3B"/>
    <w:rsid w:val="00FD3075"/>
    <w:rsid w:val="00FD3C62"/>
    <w:rsid w:val="00FD4476"/>
    <w:rsid w:val="00FD5C7F"/>
    <w:rsid w:val="00FD626A"/>
    <w:rsid w:val="00FD6B15"/>
    <w:rsid w:val="00FD6ECB"/>
    <w:rsid w:val="00FD7287"/>
    <w:rsid w:val="00FD73CF"/>
    <w:rsid w:val="00FD7EE9"/>
    <w:rsid w:val="00FE0336"/>
    <w:rsid w:val="00FE0E6B"/>
    <w:rsid w:val="00FE1716"/>
    <w:rsid w:val="00FE20EC"/>
    <w:rsid w:val="00FE22F7"/>
    <w:rsid w:val="00FE3C90"/>
    <w:rsid w:val="00FE5E19"/>
    <w:rsid w:val="00FE6015"/>
    <w:rsid w:val="00FE73F7"/>
    <w:rsid w:val="00FE754B"/>
    <w:rsid w:val="00FE7C5E"/>
    <w:rsid w:val="00FF0C8A"/>
    <w:rsid w:val="00FF0F31"/>
    <w:rsid w:val="00FF1470"/>
    <w:rsid w:val="00FF2435"/>
    <w:rsid w:val="00FF3117"/>
    <w:rsid w:val="00FF325B"/>
    <w:rsid w:val="00FF3CAE"/>
    <w:rsid w:val="00FF3D73"/>
    <w:rsid w:val="00FF4B36"/>
    <w:rsid w:val="00FF4E42"/>
    <w:rsid w:val="00FF5CB9"/>
    <w:rsid w:val="00FF629D"/>
    <w:rsid w:val="00FF6631"/>
    <w:rsid w:val="00FF741C"/>
    <w:rsid w:val="00FF77A7"/>
    <w:rsid w:val="00FF79A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50"/>
    <o:shapelayout v:ext="edit">
      <o:idmap v:ext="edit" data="2"/>
    </o:shapelayout>
  </w:shapeDefaults>
  <w:decimalSymbol w:val=","/>
  <w:listSeparator w:val=";"/>
  <w14:docId w14:val="6D7A5E76"/>
  <w15:docId w15:val="{279B7218-1D44-400A-91D5-5965DAAFF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A2F"/>
    <w:rPr>
      <w:sz w:val="24"/>
      <w:szCs w:val="24"/>
    </w:rPr>
  </w:style>
  <w:style w:type="paragraph" w:styleId="Heading1">
    <w:name w:val="heading 1"/>
    <w:basedOn w:val="Normal"/>
    <w:next w:val="Normal"/>
    <w:link w:val="Heading1Char"/>
    <w:autoRedefine/>
    <w:uiPriority w:val="99"/>
    <w:qFormat/>
    <w:rsid w:val="005175F3"/>
    <w:pPr>
      <w:pageBreakBefore/>
      <w:numPr>
        <w:numId w:val="4"/>
      </w:numPr>
      <w:spacing w:before="360" w:after="240"/>
      <w:outlineLvl w:val="0"/>
    </w:pPr>
    <w:rPr>
      <w:rFonts w:ascii="Garamond" w:hAnsi="Garamond" w:cs="Arial"/>
      <w:b/>
      <w:bCs/>
      <w:color w:val="C00000"/>
      <w:kern w:val="32"/>
      <w:sz w:val="32"/>
      <w:szCs w:val="32"/>
    </w:rPr>
  </w:style>
  <w:style w:type="paragraph" w:styleId="Heading2">
    <w:name w:val="heading 2"/>
    <w:basedOn w:val="Normal"/>
    <w:next w:val="Normal"/>
    <w:link w:val="Heading2Char"/>
    <w:autoRedefine/>
    <w:uiPriority w:val="99"/>
    <w:qFormat/>
    <w:rsid w:val="00A7453A"/>
    <w:pPr>
      <w:keepNext/>
      <w:numPr>
        <w:ilvl w:val="1"/>
        <w:numId w:val="4"/>
      </w:numPr>
      <w:spacing w:before="240" w:after="120"/>
      <w:outlineLvl w:val="1"/>
    </w:pPr>
    <w:rPr>
      <w:rFonts w:ascii="Garamond" w:hAnsi="Garamond" w:cs="Arial"/>
      <w:b/>
      <w:bCs/>
      <w:iCs/>
      <w:sz w:val="28"/>
      <w:szCs w:val="28"/>
    </w:rPr>
  </w:style>
  <w:style w:type="paragraph" w:styleId="Heading3">
    <w:name w:val="heading 3"/>
    <w:basedOn w:val="Normal"/>
    <w:next w:val="Normal"/>
    <w:link w:val="Heading3Char"/>
    <w:uiPriority w:val="99"/>
    <w:qFormat/>
    <w:rsid w:val="00250F44"/>
    <w:pPr>
      <w:keepNext/>
      <w:spacing w:before="360" w:after="240"/>
      <w:ind w:left="720" w:hanging="720"/>
      <w:outlineLvl w:val="2"/>
    </w:pPr>
    <w:rPr>
      <w:rFonts w:ascii="Garamond" w:hAnsi="Garamond" w:cs="Arial"/>
      <w:b/>
      <w:bCs/>
      <w:i/>
      <w:szCs w:val="26"/>
    </w:rPr>
  </w:style>
  <w:style w:type="paragraph" w:styleId="Heading4">
    <w:name w:val="heading 4"/>
    <w:basedOn w:val="Normal"/>
    <w:next w:val="Normal"/>
    <w:link w:val="Heading4Char"/>
    <w:uiPriority w:val="99"/>
    <w:qFormat/>
    <w:rsid w:val="00B42FE3"/>
    <w:pPr>
      <w:keepNext/>
      <w:spacing w:before="360" w:after="240"/>
      <w:ind w:left="864" w:hanging="864"/>
      <w:outlineLvl w:val="3"/>
    </w:pPr>
    <w:rPr>
      <w:rFonts w:ascii="Garamond" w:hAnsi="Garamond"/>
      <w:b/>
      <w:bCs/>
      <w:sz w:val="22"/>
      <w:szCs w:val="28"/>
    </w:rPr>
  </w:style>
  <w:style w:type="paragraph" w:styleId="Heading5">
    <w:name w:val="heading 5"/>
    <w:basedOn w:val="Normal"/>
    <w:next w:val="Normal"/>
    <w:link w:val="Heading5Char"/>
    <w:uiPriority w:val="99"/>
    <w:qFormat/>
    <w:rsid w:val="00250F44"/>
    <w:pPr>
      <w:spacing w:before="240" w:after="60"/>
      <w:ind w:left="1008" w:hanging="1008"/>
      <w:outlineLvl w:val="4"/>
    </w:pPr>
    <w:rPr>
      <w:rFonts w:ascii="Calibri" w:hAnsi="Calibri"/>
      <w:b/>
      <w:bCs/>
      <w:i/>
      <w:iCs/>
      <w:sz w:val="26"/>
      <w:szCs w:val="26"/>
    </w:rPr>
  </w:style>
  <w:style w:type="paragraph" w:styleId="Heading6">
    <w:name w:val="heading 6"/>
    <w:basedOn w:val="Normal"/>
    <w:next w:val="Normal"/>
    <w:link w:val="Heading6Char"/>
    <w:uiPriority w:val="99"/>
    <w:qFormat/>
    <w:rsid w:val="00250F44"/>
    <w:pPr>
      <w:spacing w:before="240" w:after="60"/>
      <w:ind w:left="1152" w:hanging="1152"/>
      <w:outlineLvl w:val="5"/>
    </w:pPr>
    <w:rPr>
      <w:rFonts w:ascii="Calibri" w:hAnsi="Calibri"/>
      <w:b/>
      <w:bCs/>
      <w:sz w:val="22"/>
      <w:szCs w:val="22"/>
    </w:rPr>
  </w:style>
  <w:style w:type="paragraph" w:styleId="Heading7">
    <w:name w:val="heading 7"/>
    <w:basedOn w:val="Normal"/>
    <w:next w:val="Normal"/>
    <w:link w:val="Heading7Char"/>
    <w:uiPriority w:val="99"/>
    <w:qFormat/>
    <w:rsid w:val="00250F44"/>
    <w:pPr>
      <w:spacing w:before="240" w:after="60"/>
      <w:ind w:left="1296" w:hanging="1296"/>
      <w:outlineLvl w:val="6"/>
    </w:pPr>
    <w:rPr>
      <w:rFonts w:ascii="Calibri" w:hAnsi="Calibri"/>
    </w:rPr>
  </w:style>
  <w:style w:type="paragraph" w:styleId="Heading8">
    <w:name w:val="heading 8"/>
    <w:basedOn w:val="Normal"/>
    <w:next w:val="Normal"/>
    <w:link w:val="Heading8Char"/>
    <w:uiPriority w:val="99"/>
    <w:qFormat/>
    <w:rsid w:val="00250F44"/>
    <w:pPr>
      <w:spacing w:before="240" w:after="60"/>
      <w:ind w:left="1440" w:hanging="1440"/>
      <w:outlineLvl w:val="7"/>
    </w:pPr>
    <w:rPr>
      <w:rFonts w:ascii="Calibri" w:hAnsi="Calibri"/>
      <w:i/>
      <w:iCs/>
    </w:rPr>
  </w:style>
  <w:style w:type="paragraph" w:styleId="Heading9">
    <w:name w:val="heading 9"/>
    <w:basedOn w:val="Normal"/>
    <w:next w:val="Normal"/>
    <w:link w:val="Heading9Char"/>
    <w:uiPriority w:val="99"/>
    <w:qFormat/>
    <w:rsid w:val="00250F44"/>
    <w:pPr>
      <w:spacing w:before="240" w:after="60"/>
      <w:ind w:left="1584" w:hanging="1584"/>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175F3"/>
    <w:rPr>
      <w:rFonts w:ascii="Garamond" w:hAnsi="Garamond" w:cs="Arial"/>
      <w:b/>
      <w:bCs/>
      <w:color w:val="C00000"/>
      <w:kern w:val="32"/>
      <w:sz w:val="32"/>
      <w:szCs w:val="32"/>
    </w:rPr>
  </w:style>
  <w:style w:type="character" w:customStyle="1" w:styleId="Heading2Char">
    <w:name w:val="Heading 2 Char"/>
    <w:basedOn w:val="DefaultParagraphFont"/>
    <w:link w:val="Heading2"/>
    <w:uiPriority w:val="99"/>
    <w:locked/>
    <w:rsid w:val="00A7453A"/>
    <w:rPr>
      <w:rFonts w:ascii="Garamond" w:hAnsi="Garamond" w:cs="Arial"/>
      <w:b/>
      <w:bCs/>
      <w:iCs/>
      <w:sz w:val="28"/>
      <w:szCs w:val="28"/>
    </w:rPr>
  </w:style>
  <w:style w:type="character" w:customStyle="1" w:styleId="Heading3Char">
    <w:name w:val="Heading 3 Char"/>
    <w:basedOn w:val="DefaultParagraphFont"/>
    <w:link w:val="Heading3"/>
    <w:uiPriority w:val="99"/>
    <w:locked/>
    <w:rsid w:val="00FA386F"/>
    <w:rPr>
      <w:rFonts w:ascii="Garamond" w:hAnsi="Garamond" w:cs="Arial"/>
      <w:b/>
      <w:bCs/>
      <w:i/>
      <w:sz w:val="26"/>
      <w:szCs w:val="26"/>
    </w:rPr>
  </w:style>
  <w:style w:type="character" w:customStyle="1" w:styleId="Heading4Char">
    <w:name w:val="Heading 4 Char"/>
    <w:basedOn w:val="DefaultParagraphFont"/>
    <w:link w:val="Heading4"/>
    <w:uiPriority w:val="99"/>
    <w:locked/>
    <w:rsid w:val="00FA386F"/>
    <w:rPr>
      <w:rFonts w:ascii="Garamond" w:hAnsi="Garamond" w:cs="Times New Roman"/>
      <w:b/>
      <w:bCs/>
      <w:sz w:val="28"/>
      <w:szCs w:val="28"/>
    </w:rPr>
  </w:style>
  <w:style w:type="character" w:customStyle="1" w:styleId="Heading5Char">
    <w:name w:val="Heading 5 Char"/>
    <w:basedOn w:val="DefaultParagraphFont"/>
    <w:link w:val="Heading5"/>
    <w:uiPriority w:val="99"/>
    <w:locked/>
    <w:rsid w:val="00250F44"/>
    <w:rPr>
      <w:rFonts w:ascii="Calibri" w:hAnsi="Calibri" w:cs="Times New Roman"/>
      <w:b/>
      <w:bCs/>
      <w:i/>
      <w:iCs/>
      <w:sz w:val="26"/>
      <w:szCs w:val="26"/>
    </w:rPr>
  </w:style>
  <w:style w:type="character" w:customStyle="1" w:styleId="Heading6Char">
    <w:name w:val="Heading 6 Char"/>
    <w:basedOn w:val="DefaultParagraphFont"/>
    <w:link w:val="Heading6"/>
    <w:uiPriority w:val="99"/>
    <w:locked/>
    <w:rsid w:val="00250F44"/>
    <w:rPr>
      <w:rFonts w:ascii="Calibri" w:hAnsi="Calibri" w:cs="Times New Roman"/>
      <w:b/>
      <w:bCs/>
    </w:rPr>
  </w:style>
  <w:style w:type="character" w:customStyle="1" w:styleId="Heading7Char">
    <w:name w:val="Heading 7 Char"/>
    <w:basedOn w:val="DefaultParagraphFont"/>
    <w:link w:val="Heading7"/>
    <w:uiPriority w:val="99"/>
    <w:locked/>
    <w:rsid w:val="00250F44"/>
    <w:rPr>
      <w:rFonts w:ascii="Calibri" w:hAnsi="Calibri" w:cs="Times New Roman"/>
      <w:sz w:val="24"/>
      <w:szCs w:val="24"/>
    </w:rPr>
  </w:style>
  <w:style w:type="character" w:customStyle="1" w:styleId="Heading8Char">
    <w:name w:val="Heading 8 Char"/>
    <w:basedOn w:val="DefaultParagraphFont"/>
    <w:link w:val="Heading8"/>
    <w:uiPriority w:val="99"/>
    <w:locked/>
    <w:rsid w:val="00250F44"/>
    <w:rPr>
      <w:rFonts w:ascii="Calibri" w:hAnsi="Calibri" w:cs="Times New Roman"/>
      <w:i/>
      <w:iCs/>
      <w:sz w:val="24"/>
      <w:szCs w:val="24"/>
    </w:rPr>
  </w:style>
  <w:style w:type="character" w:customStyle="1" w:styleId="Heading9Char">
    <w:name w:val="Heading 9 Char"/>
    <w:basedOn w:val="DefaultParagraphFont"/>
    <w:link w:val="Heading9"/>
    <w:uiPriority w:val="99"/>
    <w:locked/>
    <w:rsid w:val="00250F44"/>
    <w:rPr>
      <w:rFonts w:ascii="Cambria" w:hAnsi="Cambria" w:cs="Times New Roman"/>
    </w:rPr>
  </w:style>
  <w:style w:type="paragraph" w:customStyle="1" w:styleId="GaramondTeksts">
    <w:name w:val="Garamond Teksts"/>
    <w:basedOn w:val="Normal"/>
    <w:uiPriority w:val="99"/>
    <w:rsid w:val="006756E5"/>
    <w:pPr>
      <w:spacing w:after="240" w:line="276" w:lineRule="auto"/>
    </w:pPr>
    <w:rPr>
      <w:rFonts w:ascii="Garamond" w:hAnsi="Garamond"/>
      <w:sz w:val="22"/>
      <w:szCs w:val="22"/>
    </w:rPr>
  </w:style>
  <w:style w:type="paragraph" w:customStyle="1" w:styleId="Numeracija">
    <w:name w:val="Numeracija"/>
    <w:basedOn w:val="GaramondTeksts"/>
    <w:autoRedefine/>
    <w:uiPriority w:val="99"/>
    <w:rsid w:val="00EA6524"/>
    <w:pPr>
      <w:spacing w:before="240" w:after="220"/>
    </w:pPr>
  </w:style>
  <w:style w:type="paragraph" w:customStyle="1" w:styleId="BulletPoints">
    <w:name w:val="BulletPoints"/>
    <w:basedOn w:val="GaramondTeksts"/>
    <w:uiPriority w:val="99"/>
    <w:rsid w:val="004C416B"/>
    <w:pPr>
      <w:numPr>
        <w:numId w:val="1"/>
      </w:numPr>
      <w:spacing w:before="120" w:after="120"/>
    </w:pPr>
  </w:style>
  <w:style w:type="paragraph" w:styleId="Header">
    <w:name w:val="header"/>
    <w:basedOn w:val="Normal"/>
    <w:link w:val="HeaderChar"/>
    <w:uiPriority w:val="99"/>
    <w:rsid w:val="00C50177"/>
    <w:pPr>
      <w:tabs>
        <w:tab w:val="center" w:pos="4153"/>
        <w:tab w:val="right" w:pos="8306"/>
      </w:tabs>
    </w:pPr>
  </w:style>
  <w:style w:type="character" w:customStyle="1" w:styleId="HeaderChar">
    <w:name w:val="Header Char"/>
    <w:basedOn w:val="DefaultParagraphFont"/>
    <w:link w:val="Header"/>
    <w:uiPriority w:val="99"/>
    <w:locked/>
    <w:rsid w:val="00FA386F"/>
    <w:rPr>
      <w:rFonts w:cs="Times New Roman"/>
      <w:sz w:val="24"/>
      <w:szCs w:val="24"/>
    </w:rPr>
  </w:style>
  <w:style w:type="paragraph" w:styleId="Footer">
    <w:name w:val="footer"/>
    <w:basedOn w:val="Normal"/>
    <w:link w:val="FooterChar"/>
    <w:uiPriority w:val="99"/>
    <w:rsid w:val="00C50177"/>
    <w:pPr>
      <w:tabs>
        <w:tab w:val="center" w:pos="4153"/>
        <w:tab w:val="right" w:pos="8306"/>
      </w:tabs>
    </w:pPr>
  </w:style>
  <w:style w:type="character" w:customStyle="1" w:styleId="FooterChar">
    <w:name w:val="Footer Char"/>
    <w:basedOn w:val="DefaultParagraphFont"/>
    <w:link w:val="Footer"/>
    <w:uiPriority w:val="99"/>
    <w:locked/>
    <w:rsid w:val="00160677"/>
    <w:rPr>
      <w:rFonts w:cs="Times New Roman"/>
      <w:sz w:val="24"/>
    </w:rPr>
  </w:style>
  <w:style w:type="character" w:styleId="PageNumber">
    <w:name w:val="page number"/>
    <w:basedOn w:val="DefaultParagraphFont"/>
    <w:uiPriority w:val="99"/>
    <w:rsid w:val="00D76A81"/>
    <w:rPr>
      <w:rFonts w:cs="Times New Roman"/>
    </w:rPr>
  </w:style>
  <w:style w:type="table" w:styleId="TableGrid">
    <w:name w:val="Table Grid"/>
    <w:basedOn w:val="TableNormal"/>
    <w:uiPriority w:val="99"/>
    <w:rsid w:val="00AB5EA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123EDB"/>
    <w:rPr>
      <w:rFonts w:ascii="Garamond" w:hAnsi="Garamond"/>
      <w:sz w:val="20"/>
      <w:szCs w:val="20"/>
    </w:rPr>
  </w:style>
  <w:style w:type="character" w:customStyle="1" w:styleId="FootnoteTextChar">
    <w:name w:val="Footnote Text Char"/>
    <w:basedOn w:val="DefaultParagraphFont"/>
    <w:link w:val="FootnoteText"/>
    <w:uiPriority w:val="99"/>
    <w:semiHidden/>
    <w:locked/>
    <w:rsid w:val="00CD39D1"/>
    <w:rPr>
      <w:rFonts w:ascii="Garamond" w:hAnsi="Garamond" w:cs="Times New Roman"/>
    </w:rPr>
  </w:style>
  <w:style w:type="character" w:styleId="FootnoteReference">
    <w:name w:val="footnote reference"/>
    <w:basedOn w:val="DefaultParagraphFont"/>
    <w:uiPriority w:val="99"/>
    <w:semiHidden/>
    <w:rsid w:val="00EB1A34"/>
    <w:rPr>
      <w:rFonts w:cs="Times New Roman"/>
      <w:vertAlign w:val="superscript"/>
    </w:rPr>
  </w:style>
  <w:style w:type="paragraph" w:styleId="TOC1">
    <w:name w:val="toc 1"/>
    <w:basedOn w:val="Normal"/>
    <w:next w:val="Normal"/>
    <w:autoRedefine/>
    <w:uiPriority w:val="39"/>
    <w:rsid w:val="00F664CE"/>
    <w:pPr>
      <w:tabs>
        <w:tab w:val="left" w:pos="480"/>
        <w:tab w:val="right" w:leader="dot" w:pos="8777"/>
      </w:tabs>
      <w:spacing w:after="60" w:line="259" w:lineRule="auto"/>
    </w:pPr>
    <w:rPr>
      <w:rFonts w:ascii="Garamond" w:hAnsi="Garamond"/>
      <w:sz w:val="22"/>
    </w:rPr>
  </w:style>
  <w:style w:type="character" w:styleId="Hyperlink">
    <w:name w:val="Hyperlink"/>
    <w:basedOn w:val="DefaultParagraphFont"/>
    <w:uiPriority w:val="99"/>
    <w:rsid w:val="00661597"/>
    <w:rPr>
      <w:rFonts w:cs="Times New Roman"/>
      <w:color w:val="0000FF"/>
      <w:u w:val="single"/>
    </w:rPr>
  </w:style>
  <w:style w:type="paragraph" w:styleId="Caption">
    <w:name w:val="caption"/>
    <w:basedOn w:val="Normal"/>
    <w:next w:val="Normal"/>
    <w:uiPriority w:val="99"/>
    <w:qFormat/>
    <w:rsid w:val="00BF4FD3"/>
    <w:rPr>
      <w:b/>
      <w:bCs/>
      <w:sz w:val="20"/>
      <w:szCs w:val="20"/>
    </w:rPr>
  </w:style>
  <w:style w:type="paragraph" w:customStyle="1" w:styleId="Tabulasvirsraksts">
    <w:name w:val="Tabulas virsraksts"/>
    <w:basedOn w:val="Caption"/>
    <w:autoRedefine/>
    <w:uiPriority w:val="99"/>
    <w:rsid w:val="00EB0528"/>
    <w:pPr>
      <w:keepNext/>
      <w:spacing w:after="60"/>
    </w:pPr>
    <w:rPr>
      <w:rFonts w:ascii="Garamond" w:hAnsi="Garamond"/>
      <w:sz w:val="22"/>
    </w:rPr>
  </w:style>
  <w:style w:type="paragraph" w:customStyle="1" w:styleId="InfoAvots">
    <w:name w:val="Info Avots"/>
    <w:basedOn w:val="GaramondTeksts"/>
    <w:uiPriority w:val="99"/>
    <w:rsid w:val="003C6968"/>
    <w:pPr>
      <w:spacing w:before="60"/>
      <w:ind w:left="720" w:hanging="720"/>
      <w:contextualSpacing/>
    </w:pPr>
    <w:rPr>
      <w:sz w:val="18"/>
      <w:szCs w:val="18"/>
    </w:rPr>
  </w:style>
  <w:style w:type="paragraph" w:styleId="TableofFigures">
    <w:name w:val="table of figures"/>
    <w:basedOn w:val="Normal"/>
    <w:next w:val="Normal"/>
    <w:uiPriority w:val="99"/>
    <w:rsid w:val="00C41563"/>
    <w:pPr>
      <w:spacing w:after="60" w:line="259" w:lineRule="auto"/>
    </w:pPr>
    <w:rPr>
      <w:rFonts w:ascii="Garamond" w:hAnsi="Garamond"/>
      <w:sz w:val="22"/>
    </w:rPr>
  </w:style>
  <w:style w:type="paragraph" w:styleId="TOC2">
    <w:name w:val="toc 2"/>
    <w:basedOn w:val="Normal"/>
    <w:next w:val="Normal"/>
    <w:autoRedefine/>
    <w:uiPriority w:val="39"/>
    <w:rsid w:val="00F664CE"/>
    <w:pPr>
      <w:tabs>
        <w:tab w:val="left" w:pos="880"/>
        <w:tab w:val="right" w:leader="dot" w:pos="8777"/>
      </w:tabs>
      <w:spacing w:after="60" w:line="259" w:lineRule="auto"/>
      <w:ind w:left="238"/>
    </w:pPr>
    <w:rPr>
      <w:rFonts w:ascii="Garamond" w:hAnsi="Garamond"/>
      <w:noProof/>
      <w:sz w:val="22"/>
    </w:rPr>
  </w:style>
  <w:style w:type="paragraph" w:styleId="TOC3">
    <w:name w:val="toc 3"/>
    <w:basedOn w:val="Normal"/>
    <w:next w:val="Normal"/>
    <w:autoRedefine/>
    <w:uiPriority w:val="99"/>
    <w:rsid w:val="005C59A1"/>
    <w:pPr>
      <w:tabs>
        <w:tab w:val="left" w:pos="1320"/>
        <w:tab w:val="right" w:leader="dot" w:pos="8777"/>
      </w:tabs>
      <w:spacing w:line="360" w:lineRule="auto"/>
      <w:ind w:left="480"/>
    </w:pPr>
    <w:rPr>
      <w:rFonts w:ascii="Garamond" w:hAnsi="Garamond"/>
      <w:noProof/>
      <w:sz w:val="22"/>
    </w:rPr>
  </w:style>
  <w:style w:type="paragraph" w:customStyle="1" w:styleId="StyleGaramond11ptItalicRight">
    <w:name w:val="Style Garamond 11 pt Italic Right"/>
    <w:basedOn w:val="Normal"/>
    <w:uiPriority w:val="99"/>
    <w:rsid w:val="00FF5CB9"/>
    <w:pPr>
      <w:keepNext/>
      <w:jc w:val="right"/>
    </w:pPr>
    <w:rPr>
      <w:rFonts w:ascii="Garamond" w:hAnsi="Garamond"/>
      <w:i/>
      <w:iCs/>
      <w:sz w:val="22"/>
      <w:szCs w:val="20"/>
    </w:rPr>
  </w:style>
  <w:style w:type="paragraph" w:styleId="BodyText3">
    <w:name w:val="Body Text 3"/>
    <w:basedOn w:val="Normal"/>
    <w:link w:val="BodyText3Char"/>
    <w:uiPriority w:val="99"/>
    <w:rsid w:val="00361DCA"/>
    <w:pPr>
      <w:ind w:left="142" w:hanging="142"/>
    </w:pPr>
    <w:rPr>
      <w:sz w:val="18"/>
      <w:szCs w:val="16"/>
      <w:lang w:eastAsia="en-US"/>
    </w:rPr>
  </w:style>
  <w:style w:type="character" w:customStyle="1" w:styleId="BodyText3Char">
    <w:name w:val="Body Text 3 Char"/>
    <w:basedOn w:val="DefaultParagraphFont"/>
    <w:link w:val="BodyText3"/>
    <w:uiPriority w:val="99"/>
    <w:semiHidden/>
    <w:locked/>
    <w:rsid w:val="00FA386F"/>
    <w:rPr>
      <w:rFonts w:cs="Times New Roman"/>
      <w:sz w:val="16"/>
      <w:szCs w:val="16"/>
    </w:rPr>
  </w:style>
  <w:style w:type="paragraph" w:styleId="BalloonText">
    <w:name w:val="Balloon Text"/>
    <w:basedOn w:val="Normal"/>
    <w:link w:val="BalloonTextChar"/>
    <w:uiPriority w:val="99"/>
    <w:semiHidden/>
    <w:rsid w:val="0017753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A386F"/>
    <w:rPr>
      <w:rFonts w:cs="Times New Roman"/>
      <w:sz w:val="2"/>
    </w:rPr>
  </w:style>
  <w:style w:type="paragraph" w:customStyle="1" w:styleId="StyleBodyText2AutoJustified">
    <w:name w:val="Style Body Text 2 + Auto Justified"/>
    <w:basedOn w:val="BodyText2"/>
    <w:uiPriority w:val="99"/>
    <w:rsid w:val="007D640A"/>
    <w:pPr>
      <w:spacing w:before="120" w:after="0" w:line="240" w:lineRule="auto"/>
      <w:jc w:val="both"/>
    </w:pPr>
    <w:rPr>
      <w:szCs w:val="20"/>
    </w:rPr>
  </w:style>
  <w:style w:type="paragraph" w:customStyle="1" w:styleId="xl31">
    <w:name w:val="xl31"/>
    <w:basedOn w:val="Normal"/>
    <w:uiPriority w:val="99"/>
    <w:rsid w:val="007D640A"/>
    <w:pPr>
      <w:spacing w:before="100" w:beforeAutospacing="1" w:after="100" w:afterAutospacing="1"/>
    </w:pPr>
    <w:rPr>
      <w:rFonts w:ascii="Arial" w:hAnsi="Arial" w:cs="Arial"/>
      <w:lang w:val="en-GB" w:eastAsia="en-US"/>
    </w:rPr>
  </w:style>
  <w:style w:type="paragraph" w:customStyle="1" w:styleId="xl24">
    <w:name w:val="xl24"/>
    <w:basedOn w:val="Normal"/>
    <w:uiPriority w:val="99"/>
    <w:rsid w:val="007D640A"/>
    <w:pPr>
      <w:spacing w:before="100" w:beforeAutospacing="1" w:after="100" w:afterAutospacing="1"/>
      <w:jc w:val="center"/>
    </w:pPr>
    <w:rPr>
      <w:rFonts w:ascii="Arial Unicode MS" w:eastAsia="Arial Unicode MS" w:cs="Arial Unicode MS"/>
      <w:lang w:val="en-GB" w:eastAsia="en-US"/>
    </w:rPr>
  </w:style>
  <w:style w:type="paragraph" w:styleId="BodyText2">
    <w:name w:val="Body Text 2"/>
    <w:basedOn w:val="Normal"/>
    <w:link w:val="BodyText2Char"/>
    <w:uiPriority w:val="99"/>
    <w:rsid w:val="007D640A"/>
    <w:pPr>
      <w:spacing w:after="120" w:line="480" w:lineRule="auto"/>
    </w:pPr>
  </w:style>
  <w:style w:type="character" w:customStyle="1" w:styleId="BodyText2Char">
    <w:name w:val="Body Text 2 Char"/>
    <w:basedOn w:val="DefaultParagraphFont"/>
    <w:link w:val="BodyText2"/>
    <w:uiPriority w:val="99"/>
    <w:locked/>
    <w:rsid w:val="007D640A"/>
    <w:rPr>
      <w:rFonts w:cs="Times New Roman"/>
      <w:sz w:val="24"/>
    </w:rPr>
  </w:style>
  <w:style w:type="paragraph" w:customStyle="1" w:styleId="Attlavirsraksts">
    <w:name w:val="Attēla virsraksts"/>
    <w:basedOn w:val="Caption"/>
    <w:autoRedefine/>
    <w:uiPriority w:val="99"/>
    <w:rsid w:val="00F13879"/>
    <w:pPr>
      <w:jc w:val="center"/>
    </w:pPr>
    <w:rPr>
      <w:sz w:val="22"/>
    </w:rPr>
  </w:style>
  <w:style w:type="character" w:styleId="FollowedHyperlink">
    <w:name w:val="FollowedHyperlink"/>
    <w:basedOn w:val="DefaultParagraphFont"/>
    <w:uiPriority w:val="99"/>
    <w:rsid w:val="00B53AD9"/>
    <w:rPr>
      <w:rFonts w:cs="Times New Roman"/>
      <w:color w:val="800080"/>
      <w:u w:val="single"/>
    </w:rPr>
  </w:style>
  <w:style w:type="paragraph" w:customStyle="1" w:styleId="naisf">
    <w:name w:val="naisf"/>
    <w:basedOn w:val="Normal"/>
    <w:uiPriority w:val="99"/>
    <w:rsid w:val="001D0696"/>
    <w:pPr>
      <w:spacing w:before="75" w:after="75"/>
      <w:ind w:firstLine="375"/>
      <w:jc w:val="both"/>
    </w:pPr>
  </w:style>
  <w:style w:type="paragraph" w:customStyle="1" w:styleId="naislab">
    <w:name w:val="naislab"/>
    <w:basedOn w:val="Normal"/>
    <w:uiPriority w:val="99"/>
    <w:rsid w:val="001D0696"/>
    <w:pPr>
      <w:spacing w:before="75" w:after="75"/>
      <w:jc w:val="right"/>
    </w:pPr>
  </w:style>
  <w:style w:type="paragraph" w:customStyle="1" w:styleId="naiskr">
    <w:name w:val="naiskr"/>
    <w:basedOn w:val="Normal"/>
    <w:uiPriority w:val="99"/>
    <w:rsid w:val="001D0696"/>
    <w:pPr>
      <w:spacing w:before="75" w:after="75"/>
    </w:pPr>
  </w:style>
  <w:style w:type="paragraph" w:customStyle="1" w:styleId="naisc">
    <w:name w:val="naisc"/>
    <w:basedOn w:val="Normal"/>
    <w:uiPriority w:val="99"/>
    <w:rsid w:val="001D0696"/>
    <w:pPr>
      <w:spacing w:before="75" w:after="75"/>
      <w:jc w:val="center"/>
    </w:pPr>
  </w:style>
  <w:style w:type="paragraph" w:styleId="BodyTextIndent2">
    <w:name w:val="Body Text Indent 2"/>
    <w:basedOn w:val="Normal"/>
    <w:link w:val="BodyTextIndent2Char"/>
    <w:uiPriority w:val="99"/>
    <w:rsid w:val="0052078F"/>
    <w:pPr>
      <w:spacing w:after="120" w:line="480" w:lineRule="auto"/>
      <w:ind w:left="283"/>
    </w:pPr>
  </w:style>
  <w:style w:type="character" w:customStyle="1" w:styleId="BodyTextIndent2Char">
    <w:name w:val="Body Text Indent 2 Char"/>
    <w:basedOn w:val="DefaultParagraphFont"/>
    <w:link w:val="BodyTextIndent2"/>
    <w:uiPriority w:val="99"/>
    <w:locked/>
    <w:rsid w:val="0052078F"/>
    <w:rPr>
      <w:rFonts w:cs="Times New Roman"/>
      <w:sz w:val="24"/>
      <w:lang w:val="lv-LV" w:eastAsia="lv-LV"/>
    </w:rPr>
  </w:style>
  <w:style w:type="character" w:styleId="CommentReference">
    <w:name w:val="annotation reference"/>
    <w:basedOn w:val="DefaultParagraphFont"/>
    <w:uiPriority w:val="99"/>
    <w:rsid w:val="0052078F"/>
    <w:rPr>
      <w:rFonts w:cs="Times New Roman"/>
      <w:sz w:val="16"/>
    </w:rPr>
  </w:style>
  <w:style w:type="paragraph" w:styleId="CommentText">
    <w:name w:val="annotation text"/>
    <w:basedOn w:val="Normal"/>
    <w:link w:val="CommentTextChar"/>
    <w:uiPriority w:val="99"/>
    <w:rsid w:val="0052078F"/>
    <w:rPr>
      <w:sz w:val="20"/>
      <w:szCs w:val="20"/>
    </w:rPr>
  </w:style>
  <w:style w:type="character" w:customStyle="1" w:styleId="CommentTextChar">
    <w:name w:val="Comment Text Char"/>
    <w:basedOn w:val="DefaultParagraphFont"/>
    <w:link w:val="CommentText"/>
    <w:uiPriority w:val="99"/>
    <w:locked/>
    <w:rsid w:val="0052078F"/>
    <w:rPr>
      <w:rFonts w:cs="Times New Roman"/>
      <w:lang w:val="lv-LV" w:eastAsia="lv-LV"/>
    </w:rPr>
  </w:style>
  <w:style w:type="paragraph" w:styleId="TOC9">
    <w:name w:val="toc 9"/>
    <w:basedOn w:val="Normal"/>
    <w:next w:val="Normal"/>
    <w:autoRedefine/>
    <w:uiPriority w:val="99"/>
    <w:rsid w:val="005C0036"/>
    <w:pPr>
      <w:jc w:val="center"/>
    </w:pPr>
  </w:style>
  <w:style w:type="character" w:customStyle="1" w:styleId="Initial">
    <w:name w:val="Initial"/>
    <w:uiPriority w:val="99"/>
    <w:rsid w:val="005948EA"/>
    <w:rPr>
      <w:rFonts w:ascii="Times New Roman" w:hAnsi="Times New Roman"/>
      <w:sz w:val="24"/>
      <w:lang w:val="en-US"/>
    </w:rPr>
  </w:style>
  <w:style w:type="paragraph" w:styleId="ListBullet4">
    <w:name w:val="List Bullet 4"/>
    <w:basedOn w:val="Normal"/>
    <w:uiPriority w:val="99"/>
    <w:rsid w:val="005948EA"/>
    <w:pPr>
      <w:numPr>
        <w:numId w:val="2"/>
      </w:numPr>
      <w:spacing w:before="120" w:after="120"/>
      <w:jc w:val="both"/>
    </w:pPr>
    <w:rPr>
      <w:lang w:eastAsia="de-DE"/>
    </w:rPr>
  </w:style>
  <w:style w:type="paragraph" w:styleId="ListNumber2">
    <w:name w:val="List Number 2"/>
    <w:basedOn w:val="Normal"/>
    <w:uiPriority w:val="99"/>
    <w:rsid w:val="005948EA"/>
    <w:pPr>
      <w:numPr>
        <w:numId w:val="3"/>
      </w:numPr>
      <w:spacing w:before="120" w:after="120"/>
      <w:jc w:val="both"/>
    </w:pPr>
    <w:rPr>
      <w:lang w:eastAsia="de-DE"/>
    </w:rPr>
  </w:style>
  <w:style w:type="paragraph" w:customStyle="1" w:styleId="ListNumber2Level2">
    <w:name w:val="List Number 2 (Level 2)"/>
    <w:basedOn w:val="Normal"/>
    <w:uiPriority w:val="99"/>
    <w:rsid w:val="005948EA"/>
    <w:pPr>
      <w:numPr>
        <w:ilvl w:val="1"/>
        <w:numId w:val="3"/>
      </w:numPr>
      <w:spacing w:before="120" w:after="120"/>
      <w:jc w:val="both"/>
    </w:pPr>
    <w:rPr>
      <w:lang w:eastAsia="de-DE"/>
    </w:rPr>
  </w:style>
  <w:style w:type="paragraph" w:customStyle="1" w:styleId="ListNumber2Level3">
    <w:name w:val="List Number 2 (Level 3)"/>
    <w:basedOn w:val="Normal"/>
    <w:uiPriority w:val="99"/>
    <w:rsid w:val="005948EA"/>
    <w:pPr>
      <w:numPr>
        <w:ilvl w:val="2"/>
        <w:numId w:val="3"/>
      </w:numPr>
      <w:spacing w:before="120" w:after="120"/>
      <w:jc w:val="both"/>
    </w:pPr>
    <w:rPr>
      <w:lang w:eastAsia="de-DE"/>
    </w:rPr>
  </w:style>
  <w:style w:type="paragraph" w:customStyle="1" w:styleId="ListNumber2Level4">
    <w:name w:val="List Number 2 (Level 4)"/>
    <w:basedOn w:val="Normal"/>
    <w:uiPriority w:val="99"/>
    <w:rsid w:val="005948EA"/>
    <w:pPr>
      <w:numPr>
        <w:ilvl w:val="3"/>
        <w:numId w:val="3"/>
      </w:numPr>
      <w:spacing w:before="120" w:after="120"/>
      <w:jc w:val="both"/>
    </w:pPr>
    <w:rPr>
      <w:lang w:eastAsia="de-DE"/>
    </w:rPr>
  </w:style>
  <w:style w:type="paragraph" w:customStyle="1" w:styleId="tvhtml">
    <w:name w:val="tv_html"/>
    <w:basedOn w:val="Normal"/>
    <w:uiPriority w:val="99"/>
    <w:rsid w:val="003503DE"/>
    <w:pPr>
      <w:spacing w:before="100" w:beforeAutospacing="1" w:after="100" w:afterAutospacing="1"/>
    </w:pPr>
    <w:rPr>
      <w:lang w:val="en-US" w:eastAsia="en-US"/>
    </w:rPr>
  </w:style>
  <w:style w:type="character" w:customStyle="1" w:styleId="apple-style-span">
    <w:name w:val="apple-style-span"/>
    <w:basedOn w:val="DefaultParagraphFont"/>
    <w:uiPriority w:val="99"/>
    <w:rsid w:val="00737BEB"/>
    <w:rPr>
      <w:rFonts w:cs="Times New Roman"/>
    </w:rPr>
  </w:style>
  <w:style w:type="paragraph" w:styleId="BodyText">
    <w:name w:val="Body Text"/>
    <w:basedOn w:val="Normal"/>
    <w:link w:val="BodyTextChar"/>
    <w:uiPriority w:val="99"/>
    <w:rsid w:val="00E063BA"/>
    <w:pPr>
      <w:spacing w:after="120"/>
    </w:pPr>
  </w:style>
  <w:style w:type="character" w:customStyle="1" w:styleId="BodyTextChar">
    <w:name w:val="Body Text Char"/>
    <w:basedOn w:val="DefaultParagraphFont"/>
    <w:link w:val="BodyText"/>
    <w:uiPriority w:val="99"/>
    <w:locked/>
    <w:rsid w:val="00E063BA"/>
    <w:rPr>
      <w:rFonts w:cs="Times New Roman"/>
      <w:sz w:val="24"/>
    </w:rPr>
  </w:style>
  <w:style w:type="character" w:customStyle="1" w:styleId="moz-smiley-s1">
    <w:name w:val="moz-smiley-s1"/>
    <w:basedOn w:val="DefaultParagraphFont"/>
    <w:uiPriority w:val="99"/>
    <w:rsid w:val="00977340"/>
    <w:rPr>
      <w:rFonts w:cs="Times New Roman"/>
    </w:rPr>
  </w:style>
  <w:style w:type="paragraph" w:styleId="CommentSubject">
    <w:name w:val="annotation subject"/>
    <w:basedOn w:val="CommentText"/>
    <w:next w:val="CommentText"/>
    <w:link w:val="CommentSubjectChar"/>
    <w:uiPriority w:val="99"/>
    <w:semiHidden/>
    <w:rsid w:val="00D0428A"/>
    <w:rPr>
      <w:b/>
      <w:bCs/>
    </w:rPr>
  </w:style>
  <w:style w:type="character" w:customStyle="1" w:styleId="CommentSubjectChar">
    <w:name w:val="Comment Subject Char"/>
    <w:basedOn w:val="CommentTextChar"/>
    <w:link w:val="CommentSubject"/>
    <w:uiPriority w:val="99"/>
    <w:semiHidden/>
    <w:locked/>
    <w:rsid w:val="00FA386F"/>
    <w:rPr>
      <w:rFonts w:cs="Times New Roman"/>
      <w:b/>
      <w:bCs/>
      <w:sz w:val="20"/>
      <w:szCs w:val="20"/>
      <w:lang w:val="lv-LV" w:eastAsia="lv-LV"/>
    </w:rPr>
  </w:style>
  <w:style w:type="paragraph" w:customStyle="1" w:styleId="StyleLatinGaramond10ptJustifiedAfter0ptLinespacin1">
    <w:name w:val="Style (Latin) Garamond 10 pt Justified After:  0 pt Line spacin...1"/>
    <w:basedOn w:val="Normal"/>
    <w:uiPriority w:val="99"/>
    <w:rsid w:val="007D016E"/>
    <w:pPr>
      <w:jc w:val="both"/>
    </w:pPr>
    <w:rPr>
      <w:rFonts w:ascii="Garamond" w:hAnsi="Garamond"/>
      <w:sz w:val="22"/>
      <w:szCs w:val="20"/>
      <w:lang w:eastAsia="en-US"/>
    </w:rPr>
  </w:style>
  <w:style w:type="character" w:customStyle="1" w:styleId="StyleLatinGaramond10pt">
    <w:name w:val="Style (Latin) Garamond 10 pt"/>
    <w:basedOn w:val="DefaultParagraphFont"/>
    <w:uiPriority w:val="99"/>
    <w:rsid w:val="00F46875"/>
    <w:rPr>
      <w:rFonts w:ascii="Garamond" w:hAnsi="Garamond" w:cs="Times New Roman"/>
      <w:sz w:val="22"/>
    </w:rPr>
  </w:style>
  <w:style w:type="paragraph" w:styleId="ListBullet">
    <w:name w:val="List Bullet"/>
    <w:basedOn w:val="Normal"/>
    <w:uiPriority w:val="99"/>
    <w:rsid w:val="00C92EB9"/>
    <w:pPr>
      <w:numPr>
        <w:numId w:val="5"/>
      </w:numPr>
      <w:tabs>
        <w:tab w:val="num" w:pos="360"/>
      </w:tabs>
      <w:ind w:left="360"/>
      <w:contextualSpacing/>
    </w:pPr>
  </w:style>
  <w:style w:type="paragraph" w:styleId="ListParagraph">
    <w:name w:val="List Paragraph"/>
    <w:aliases w:val="H&amp;P List Paragraph,2"/>
    <w:basedOn w:val="Normal"/>
    <w:link w:val="ListParagraphChar"/>
    <w:qFormat/>
    <w:rsid w:val="00982BA3"/>
    <w:pPr>
      <w:ind w:left="720"/>
      <w:contextualSpacing/>
    </w:pPr>
  </w:style>
  <w:style w:type="character" w:styleId="PlaceholderText">
    <w:name w:val="Placeholder Text"/>
    <w:basedOn w:val="DefaultParagraphFont"/>
    <w:uiPriority w:val="99"/>
    <w:semiHidden/>
    <w:rsid w:val="001679B4"/>
    <w:rPr>
      <w:rFonts w:cs="Times New Roman"/>
      <w:color w:val="808080"/>
    </w:rPr>
  </w:style>
  <w:style w:type="paragraph" w:styleId="Revision">
    <w:name w:val="Revision"/>
    <w:hidden/>
    <w:uiPriority w:val="99"/>
    <w:semiHidden/>
    <w:rsid w:val="00E03133"/>
    <w:rPr>
      <w:sz w:val="24"/>
      <w:szCs w:val="24"/>
    </w:rPr>
  </w:style>
  <w:style w:type="paragraph" w:customStyle="1" w:styleId="Bumbulikaste">
    <w:name w:val="Bumbuli kaste"/>
    <w:rsid w:val="001D5776"/>
    <w:pPr>
      <w:numPr>
        <w:numId w:val="7"/>
      </w:numPr>
      <w:contextualSpacing/>
      <w:jc w:val="both"/>
    </w:pPr>
    <w:rPr>
      <w:rFonts w:eastAsia="MS Mincho"/>
      <w:sz w:val="24"/>
      <w:szCs w:val="24"/>
    </w:rPr>
  </w:style>
  <w:style w:type="character" w:customStyle="1" w:styleId="ListParagraphChar">
    <w:name w:val="List Paragraph Char"/>
    <w:aliases w:val="H&amp;P List Paragraph Char,2 Char"/>
    <w:link w:val="ListParagraph"/>
    <w:locked/>
    <w:rsid w:val="00A73EF1"/>
    <w:rPr>
      <w:sz w:val="24"/>
      <w:szCs w:val="24"/>
    </w:rPr>
  </w:style>
  <w:style w:type="paragraph" w:customStyle="1" w:styleId="StyleGaramondTekstsJustifiedAfter6ptLinespacingsin">
    <w:name w:val="Style Garamond Teksts + Justified After:  6 pt Line spacing:  sin..."/>
    <w:basedOn w:val="GaramondTeksts"/>
    <w:rsid w:val="00461BE9"/>
    <w:pPr>
      <w:spacing w:after="200" w:line="259" w:lineRule="auto"/>
      <w:jc w:val="both"/>
    </w:pPr>
    <w:rPr>
      <w:szCs w:val="20"/>
    </w:rPr>
  </w:style>
  <w:style w:type="character" w:customStyle="1" w:styleId="UnresolvedMention1">
    <w:name w:val="Unresolved Mention1"/>
    <w:basedOn w:val="DefaultParagraphFont"/>
    <w:uiPriority w:val="99"/>
    <w:semiHidden/>
    <w:unhideWhenUsed/>
    <w:rsid w:val="001A5312"/>
    <w:rPr>
      <w:color w:val="605E5C"/>
      <w:shd w:val="clear" w:color="auto" w:fill="E1DFDD"/>
    </w:rPr>
  </w:style>
  <w:style w:type="character" w:styleId="UnresolvedMention">
    <w:name w:val="Unresolved Mention"/>
    <w:basedOn w:val="DefaultParagraphFont"/>
    <w:uiPriority w:val="99"/>
    <w:semiHidden/>
    <w:unhideWhenUsed/>
    <w:rsid w:val="005D04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3589">
      <w:bodyDiv w:val="1"/>
      <w:marLeft w:val="0"/>
      <w:marRight w:val="0"/>
      <w:marTop w:val="0"/>
      <w:marBottom w:val="0"/>
      <w:divBdr>
        <w:top w:val="none" w:sz="0" w:space="0" w:color="auto"/>
        <w:left w:val="none" w:sz="0" w:space="0" w:color="auto"/>
        <w:bottom w:val="none" w:sz="0" w:space="0" w:color="auto"/>
        <w:right w:val="none" w:sz="0" w:space="0" w:color="auto"/>
      </w:divBdr>
    </w:div>
    <w:div w:id="65151079">
      <w:bodyDiv w:val="1"/>
      <w:marLeft w:val="0"/>
      <w:marRight w:val="0"/>
      <w:marTop w:val="0"/>
      <w:marBottom w:val="0"/>
      <w:divBdr>
        <w:top w:val="none" w:sz="0" w:space="0" w:color="auto"/>
        <w:left w:val="none" w:sz="0" w:space="0" w:color="auto"/>
        <w:bottom w:val="none" w:sz="0" w:space="0" w:color="auto"/>
        <w:right w:val="none" w:sz="0" w:space="0" w:color="auto"/>
      </w:divBdr>
    </w:div>
    <w:div w:id="65610643">
      <w:bodyDiv w:val="1"/>
      <w:marLeft w:val="0"/>
      <w:marRight w:val="0"/>
      <w:marTop w:val="0"/>
      <w:marBottom w:val="0"/>
      <w:divBdr>
        <w:top w:val="none" w:sz="0" w:space="0" w:color="auto"/>
        <w:left w:val="none" w:sz="0" w:space="0" w:color="auto"/>
        <w:bottom w:val="none" w:sz="0" w:space="0" w:color="auto"/>
        <w:right w:val="none" w:sz="0" w:space="0" w:color="auto"/>
      </w:divBdr>
    </w:div>
    <w:div w:id="97795409">
      <w:bodyDiv w:val="1"/>
      <w:marLeft w:val="0"/>
      <w:marRight w:val="0"/>
      <w:marTop w:val="0"/>
      <w:marBottom w:val="0"/>
      <w:divBdr>
        <w:top w:val="none" w:sz="0" w:space="0" w:color="auto"/>
        <w:left w:val="none" w:sz="0" w:space="0" w:color="auto"/>
        <w:bottom w:val="none" w:sz="0" w:space="0" w:color="auto"/>
        <w:right w:val="none" w:sz="0" w:space="0" w:color="auto"/>
      </w:divBdr>
    </w:div>
    <w:div w:id="171574161">
      <w:bodyDiv w:val="1"/>
      <w:marLeft w:val="0"/>
      <w:marRight w:val="0"/>
      <w:marTop w:val="0"/>
      <w:marBottom w:val="0"/>
      <w:divBdr>
        <w:top w:val="none" w:sz="0" w:space="0" w:color="auto"/>
        <w:left w:val="none" w:sz="0" w:space="0" w:color="auto"/>
        <w:bottom w:val="none" w:sz="0" w:space="0" w:color="auto"/>
        <w:right w:val="none" w:sz="0" w:space="0" w:color="auto"/>
      </w:divBdr>
    </w:div>
    <w:div w:id="181212547">
      <w:bodyDiv w:val="1"/>
      <w:marLeft w:val="0"/>
      <w:marRight w:val="0"/>
      <w:marTop w:val="0"/>
      <w:marBottom w:val="0"/>
      <w:divBdr>
        <w:top w:val="none" w:sz="0" w:space="0" w:color="auto"/>
        <w:left w:val="none" w:sz="0" w:space="0" w:color="auto"/>
        <w:bottom w:val="none" w:sz="0" w:space="0" w:color="auto"/>
        <w:right w:val="none" w:sz="0" w:space="0" w:color="auto"/>
      </w:divBdr>
    </w:div>
    <w:div w:id="298924226">
      <w:bodyDiv w:val="1"/>
      <w:marLeft w:val="0"/>
      <w:marRight w:val="0"/>
      <w:marTop w:val="0"/>
      <w:marBottom w:val="0"/>
      <w:divBdr>
        <w:top w:val="none" w:sz="0" w:space="0" w:color="auto"/>
        <w:left w:val="none" w:sz="0" w:space="0" w:color="auto"/>
        <w:bottom w:val="none" w:sz="0" w:space="0" w:color="auto"/>
        <w:right w:val="none" w:sz="0" w:space="0" w:color="auto"/>
      </w:divBdr>
    </w:div>
    <w:div w:id="396822183">
      <w:bodyDiv w:val="1"/>
      <w:marLeft w:val="0"/>
      <w:marRight w:val="0"/>
      <w:marTop w:val="0"/>
      <w:marBottom w:val="0"/>
      <w:divBdr>
        <w:top w:val="none" w:sz="0" w:space="0" w:color="auto"/>
        <w:left w:val="none" w:sz="0" w:space="0" w:color="auto"/>
        <w:bottom w:val="none" w:sz="0" w:space="0" w:color="auto"/>
        <w:right w:val="none" w:sz="0" w:space="0" w:color="auto"/>
      </w:divBdr>
    </w:div>
    <w:div w:id="409694303">
      <w:bodyDiv w:val="1"/>
      <w:marLeft w:val="0"/>
      <w:marRight w:val="0"/>
      <w:marTop w:val="0"/>
      <w:marBottom w:val="0"/>
      <w:divBdr>
        <w:top w:val="none" w:sz="0" w:space="0" w:color="auto"/>
        <w:left w:val="none" w:sz="0" w:space="0" w:color="auto"/>
        <w:bottom w:val="none" w:sz="0" w:space="0" w:color="auto"/>
        <w:right w:val="none" w:sz="0" w:space="0" w:color="auto"/>
      </w:divBdr>
    </w:div>
    <w:div w:id="494608859">
      <w:bodyDiv w:val="1"/>
      <w:marLeft w:val="0"/>
      <w:marRight w:val="0"/>
      <w:marTop w:val="0"/>
      <w:marBottom w:val="0"/>
      <w:divBdr>
        <w:top w:val="none" w:sz="0" w:space="0" w:color="auto"/>
        <w:left w:val="none" w:sz="0" w:space="0" w:color="auto"/>
        <w:bottom w:val="none" w:sz="0" w:space="0" w:color="auto"/>
        <w:right w:val="none" w:sz="0" w:space="0" w:color="auto"/>
      </w:divBdr>
    </w:div>
    <w:div w:id="589780077">
      <w:bodyDiv w:val="1"/>
      <w:marLeft w:val="0"/>
      <w:marRight w:val="0"/>
      <w:marTop w:val="0"/>
      <w:marBottom w:val="0"/>
      <w:divBdr>
        <w:top w:val="none" w:sz="0" w:space="0" w:color="auto"/>
        <w:left w:val="none" w:sz="0" w:space="0" w:color="auto"/>
        <w:bottom w:val="none" w:sz="0" w:space="0" w:color="auto"/>
        <w:right w:val="none" w:sz="0" w:space="0" w:color="auto"/>
      </w:divBdr>
    </w:div>
    <w:div w:id="595017585">
      <w:bodyDiv w:val="1"/>
      <w:marLeft w:val="0"/>
      <w:marRight w:val="0"/>
      <w:marTop w:val="0"/>
      <w:marBottom w:val="0"/>
      <w:divBdr>
        <w:top w:val="none" w:sz="0" w:space="0" w:color="auto"/>
        <w:left w:val="none" w:sz="0" w:space="0" w:color="auto"/>
        <w:bottom w:val="none" w:sz="0" w:space="0" w:color="auto"/>
        <w:right w:val="none" w:sz="0" w:space="0" w:color="auto"/>
      </w:divBdr>
    </w:div>
    <w:div w:id="596140344">
      <w:bodyDiv w:val="1"/>
      <w:marLeft w:val="0"/>
      <w:marRight w:val="0"/>
      <w:marTop w:val="0"/>
      <w:marBottom w:val="0"/>
      <w:divBdr>
        <w:top w:val="none" w:sz="0" w:space="0" w:color="auto"/>
        <w:left w:val="none" w:sz="0" w:space="0" w:color="auto"/>
        <w:bottom w:val="none" w:sz="0" w:space="0" w:color="auto"/>
        <w:right w:val="none" w:sz="0" w:space="0" w:color="auto"/>
      </w:divBdr>
    </w:div>
    <w:div w:id="667750783">
      <w:bodyDiv w:val="1"/>
      <w:marLeft w:val="0"/>
      <w:marRight w:val="0"/>
      <w:marTop w:val="0"/>
      <w:marBottom w:val="0"/>
      <w:divBdr>
        <w:top w:val="none" w:sz="0" w:space="0" w:color="auto"/>
        <w:left w:val="none" w:sz="0" w:space="0" w:color="auto"/>
        <w:bottom w:val="none" w:sz="0" w:space="0" w:color="auto"/>
        <w:right w:val="none" w:sz="0" w:space="0" w:color="auto"/>
      </w:divBdr>
    </w:div>
    <w:div w:id="720402183">
      <w:bodyDiv w:val="1"/>
      <w:marLeft w:val="0"/>
      <w:marRight w:val="0"/>
      <w:marTop w:val="0"/>
      <w:marBottom w:val="0"/>
      <w:divBdr>
        <w:top w:val="none" w:sz="0" w:space="0" w:color="auto"/>
        <w:left w:val="none" w:sz="0" w:space="0" w:color="auto"/>
        <w:bottom w:val="none" w:sz="0" w:space="0" w:color="auto"/>
        <w:right w:val="none" w:sz="0" w:space="0" w:color="auto"/>
      </w:divBdr>
    </w:div>
    <w:div w:id="801728541">
      <w:bodyDiv w:val="1"/>
      <w:marLeft w:val="0"/>
      <w:marRight w:val="0"/>
      <w:marTop w:val="0"/>
      <w:marBottom w:val="0"/>
      <w:divBdr>
        <w:top w:val="none" w:sz="0" w:space="0" w:color="auto"/>
        <w:left w:val="none" w:sz="0" w:space="0" w:color="auto"/>
        <w:bottom w:val="none" w:sz="0" w:space="0" w:color="auto"/>
        <w:right w:val="none" w:sz="0" w:space="0" w:color="auto"/>
      </w:divBdr>
    </w:div>
    <w:div w:id="871964462">
      <w:bodyDiv w:val="1"/>
      <w:marLeft w:val="0"/>
      <w:marRight w:val="0"/>
      <w:marTop w:val="0"/>
      <w:marBottom w:val="0"/>
      <w:divBdr>
        <w:top w:val="none" w:sz="0" w:space="0" w:color="auto"/>
        <w:left w:val="none" w:sz="0" w:space="0" w:color="auto"/>
        <w:bottom w:val="none" w:sz="0" w:space="0" w:color="auto"/>
        <w:right w:val="none" w:sz="0" w:space="0" w:color="auto"/>
      </w:divBdr>
    </w:div>
    <w:div w:id="988942742">
      <w:bodyDiv w:val="1"/>
      <w:marLeft w:val="0"/>
      <w:marRight w:val="0"/>
      <w:marTop w:val="0"/>
      <w:marBottom w:val="0"/>
      <w:divBdr>
        <w:top w:val="none" w:sz="0" w:space="0" w:color="auto"/>
        <w:left w:val="none" w:sz="0" w:space="0" w:color="auto"/>
        <w:bottom w:val="none" w:sz="0" w:space="0" w:color="auto"/>
        <w:right w:val="none" w:sz="0" w:space="0" w:color="auto"/>
      </w:divBdr>
    </w:div>
    <w:div w:id="1022241304">
      <w:bodyDiv w:val="1"/>
      <w:marLeft w:val="0"/>
      <w:marRight w:val="0"/>
      <w:marTop w:val="0"/>
      <w:marBottom w:val="0"/>
      <w:divBdr>
        <w:top w:val="none" w:sz="0" w:space="0" w:color="auto"/>
        <w:left w:val="none" w:sz="0" w:space="0" w:color="auto"/>
        <w:bottom w:val="none" w:sz="0" w:space="0" w:color="auto"/>
        <w:right w:val="none" w:sz="0" w:space="0" w:color="auto"/>
      </w:divBdr>
    </w:div>
    <w:div w:id="1023283951">
      <w:bodyDiv w:val="1"/>
      <w:marLeft w:val="0"/>
      <w:marRight w:val="0"/>
      <w:marTop w:val="0"/>
      <w:marBottom w:val="0"/>
      <w:divBdr>
        <w:top w:val="none" w:sz="0" w:space="0" w:color="auto"/>
        <w:left w:val="none" w:sz="0" w:space="0" w:color="auto"/>
        <w:bottom w:val="none" w:sz="0" w:space="0" w:color="auto"/>
        <w:right w:val="none" w:sz="0" w:space="0" w:color="auto"/>
      </w:divBdr>
    </w:div>
    <w:div w:id="1060321768">
      <w:bodyDiv w:val="1"/>
      <w:marLeft w:val="0"/>
      <w:marRight w:val="0"/>
      <w:marTop w:val="0"/>
      <w:marBottom w:val="0"/>
      <w:divBdr>
        <w:top w:val="none" w:sz="0" w:space="0" w:color="auto"/>
        <w:left w:val="none" w:sz="0" w:space="0" w:color="auto"/>
        <w:bottom w:val="none" w:sz="0" w:space="0" w:color="auto"/>
        <w:right w:val="none" w:sz="0" w:space="0" w:color="auto"/>
      </w:divBdr>
    </w:div>
    <w:div w:id="1078215357">
      <w:bodyDiv w:val="1"/>
      <w:marLeft w:val="0"/>
      <w:marRight w:val="0"/>
      <w:marTop w:val="0"/>
      <w:marBottom w:val="0"/>
      <w:divBdr>
        <w:top w:val="none" w:sz="0" w:space="0" w:color="auto"/>
        <w:left w:val="none" w:sz="0" w:space="0" w:color="auto"/>
        <w:bottom w:val="none" w:sz="0" w:space="0" w:color="auto"/>
        <w:right w:val="none" w:sz="0" w:space="0" w:color="auto"/>
      </w:divBdr>
    </w:div>
    <w:div w:id="1083381807">
      <w:bodyDiv w:val="1"/>
      <w:marLeft w:val="0"/>
      <w:marRight w:val="0"/>
      <w:marTop w:val="0"/>
      <w:marBottom w:val="0"/>
      <w:divBdr>
        <w:top w:val="none" w:sz="0" w:space="0" w:color="auto"/>
        <w:left w:val="none" w:sz="0" w:space="0" w:color="auto"/>
        <w:bottom w:val="none" w:sz="0" w:space="0" w:color="auto"/>
        <w:right w:val="none" w:sz="0" w:space="0" w:color="auto"/>
      </w:divBdr>
    </w:div>
    <w:div w:id="1089742180">
      <w:bodyDiv w:val="1"/>
      <w:marLeft w:val="0"/>
      <w:marRight w:val="0"/>
      <w:marTop w:val="0"/>
      <w:marBottom w:val="0"/>
      <w:divBdr>
        <w:top w:val="none" w:sz="0" w:space="0" w:color="auto"/>
        <w:left w:val="none" w:sz="0" w:space="0" w:color="auto"/>
        <w:bottom w:val="none" w:sz="0" w:space="0" w:color="auto"/>
        <w:right w:val="none" w:sz="0" w:space="0" w:color="auto"/>
      </w:divBdr>
    </w:div>
    <w:div w:id="1122656041">
      <w:bodyDiv w:val="1"/>
      <w:marLeft w:val="0"/>
      <w:marRight w:val="0"/>
      <w:marTop w:val="0"/>
      <w:marBottom w:val="0"/>
      <w:divBdr>
        <w:top w:val="none" w:sz="0" w:space="0" w:color="auto"/>
        <w:left w:val="none" w:sz="0" w:space="0" w:color="auto"/>
        <w:bottom w:val="none" w:sz="0" w:space="0" w:color="auto"/>
        <w:right w:val="none" w:sz="0" w:space="0" w:color="auto"/>
      </w:divBdr>
    </w:div>
    <w:div w:id="1221525743">
      <w:bodyDiv w:val="1"/>
      <w:marLeft w:val="0"/>
      <w:marRight w:val="0"/>
      <w:marTop w:val="0"/>
      <w:marBottom w:val="0"/>
      <w:divBdr>
        <w:top w:val="none" w:sz="0" w:space="0" w:color="auto"/>
        <w:left w:val="none" w:sz="0" w:space="0" w:color="auto"/>
        <w:bottom w:val="none" w:sz="0" w:space="0" w:color="auto"/>
        <w:right w:val="none" w:sz="0" w:space="0" w:color="auto"/>
      </w:divBdr>
    </w:div>
    <w:div w:id="1257978059">
      <w:bodyDiv w:val="1"/>
      <w:marLeft w:val="0"/>
      <w:marRight w:val="0"/>
      <w:marTop w:val="0"/>
      <w:marBottom w:val="0"/>
      <w:divBdr>
        <w:top w:val="none" w:sz="0" w:space="0" w:color="auto"/>
        <w:left w:val="none" w:sz="0" w:space="0" w:color="auto"/>
        <w:bottom w:val="none" w:sz="0" w:space="0" w:color="auto"/>
        <w:right w:val="none" w:sz="0" w:space="0" w:color="auto"/>
      </w:divBdr>
    </w:div>
    <w:div w:id="1273900459">
      <w:bodyDiv w:val="1"/>
      <w:marLeft w:val="0"/>
      <w:marRight w:val="0"/>
      <w:marTop w:val="0"/>
      <w:marBottom w:val="0"/>
      <w:divBdr>
        <w:top w:val="none" w:sz="0" w:space="0" w:color="auto"/>
        <w:left w:val="none" w:sz="0" w:space="0" w:color="auto"/>
        <w:bottom w:val="none" w:sz="0" w:space="0" w:color="auto"/>
        <w:right w:val="none" w:sz="0" w:space="0" w:color="auto"/>
      </w:divBdr>
    </w:div>
    <w:div w:id="1371372571">
      <w:bodyDiv w:val="1"/>
      <w:marLeft w:val="0"/>
      <w:marRight w:val="0"/>
      <w:marTop w:val="0"/>
      <w:marBottom w:val="0"/>
      <w:divBdr>
        <w:top w:val="none" w:sz="0" w:space="0" w:color="auto"/>
        <w:left w:val="none" w:sz="0" w:space="0" w:color="auto"/>
        <w:bottom w:val="none" w:sz="0" w:space="0" w:color="auto"/>
        <w:right w:val="none" w:sz="0" w:space="0" w:color="auto"/>
      </w:divBdr>
    </w:div>
    <w:div w:id="1374385746">
      <w:bodyDiv w:val="1"/>
      <w:marLeft w:val="0"/>
      <w:marRight w:val="0"/>
      <w:marTop w:val="0"/>
      <w:marBottom w:val="0"/>
      <w:divBdr>
        <w:top w:val="none" w:sz="0" w:space="0" w:color="auto"/>
        <w:left w:val="none" w:sz="0" w:space="0" w:color="auto"/>
        <w:bottom w:val="none" w:sz="0" w:space="0" w:color="auto"/>
        <w:right w:val="none" w:sz="0" w:space="0" w:color="auto"/>
      </w:divBdr>
    </w:div>
    <w:div w:id="1393456318">
      <w:bodyDiv w:val="1"/>
      <w:marLeft w:val="0"/>
      <w:marRight w:val="0"/>
      <w:marTop w:val="0"/>
      <w:marBottom w:val="0"/>
      <w:divBdr>
        <w:top w:val="none" w:sz="0" w:space="0" w:color="auto"/>
        <w:left w:val="none" w:sz="0" w:space="0" w:color="auto"/>
        <w:bottom w:val="none" w:sz="0" w:space="0" w:color="auto"/>
        <w:right w:val="none" w:sz="0" w:space="0" w:color="auto"/>
      </w:divBdr>
    </w:div>
    <w:div w:id="1395816274">
      <w:bodyDiv w:val="1"/>
      <w:marLeft w:val="0"/>
      <w:marRight w:val="0"/>
      <w:marTop w:val="0"/>
      <w:marBottom w:val="0"/>
      <w:divBdr>
        <w:top w:val="none" w:sz="0" w:space="0" w:color="auto"/>
        <w:left w:val="none" w:sz="0" w:space="0" w:color="auto"/>
        <w:bottom w:val="none" w:sz="0" w:space="0" w:color="auto"/>
        <w:right w:val="none" w:sz="0" w:space="0" w:color="auto"/>
      </w:divBdr>
    </w:div>
    <w:div w:id="1483736074">
      <w:bodyDiv w:val="1"/>
      <w:marLeft w:val="0"/>
      <w:marRight w:val="0"/>
      <w:marTop w:val="0"/>
      <w:marBottom w:val="0"/>
      <w:divBdr>
        <w:top w:val="none" w:sz="0" w:space="0" w:color="auto"/>
        <w:left w:val="none" w:sz="0" w:space="0" w:color="auto"/>
        <w:bottom w:val="none" w:sz="0" w:space="0" w:color="auto"/>
        <w:right w:val="none" w:sz="0" w:space="0" w:color="auto"/>
      </w:divBdr>
    </w:div>
    <w:div w:id="1513107637">
      <w:bodyDiv w:val="1"/>
      <w:marLeft w:val="0"/>
      <w:marRight w:val="0"/>
      <w:marTop w:val="0"/>
      <w:marBottom w:val="0"/>
      <w:divBdr>
        <w:top w:val="none" w:sz="0" w:space="0" w:color="auto"/>
        <w:left w:val="none" w:sz="0" w:space="0" w:color="auto"/>
        <w:bottom w:val="none" w:sz="0" w:space="0" w:color="auto"/>
        <w:right w:val="none" w:sz="0" w:space="0" w:color="auto"/>
      </w:divBdr>
    </w:div>
    <w:div w:id="1561942736">
      <w:bodyDiv w:val="1"/>
      <w:marLeft w:val="0"/>
      <w:marRight w:val="0"/>
      <w:marTop w:val="0"/>
      <w:marBottom w:val="0"/>
      <w:divBdr>
        <w:top w:val="none" w:sz="0" w:space="0" w:color="auto"/>
        <w:left w:val="none" w:sz="0" w:space="0" w:color="auto"/>
        <w:bottom w:val="none" w:sz="0" w:space="0" w:color="auto"/>
        <w:right w:val="none" w:sz="0" w:space="0" w:color="auto"/>
      </w:divBdr>
    </w:div>
    <w:div w:id="1613898053">
      <w:bodyDiv w:val="1"/>
      <w:marLeft w:val="0"/>
      <w:marRight w:val="0"/>
      <w:marTop w:val="0"/>
      <w:marBottom w:val="0"/>
      <w:divBdr>
        <w:top w:val="none" w:sz="0" w:space="0" w:color="auto"/>
        <w:left w:val="none" w:sz="0" w:space="0" w:color="auto"/>
        <w:bottom w:val="none" w:sz="0" w:space="0" w:color="auto"/>
        <w:right w:val="none" w:sz="0" w:space="0" w:color="auto"/>
      </w:divBdr>
    </w:div>
    <w:div w:id="1618442488">
      <w:bodyDiv w:val="1"/>
      <w:marLeft w:val="0"/>
      <w:marRight w:val="0"/>
      <w:marTop w:val="0"/>
      <w:marBottom w:val="0"/>
      <w:divBdr>
        <w:top w:val="none" w:sz="0" w:space="0" w:color="auto"/>
        <w:left w:val="none" w:sz="0" w:space="0" w:color="auto"/>
        <w:bottom w:val="none" w:sz="0" w:space="0" w:color="auto"/>
        <w:right w:val="none" w:sz="0" w:space="0" w:color="auto"/>
      </w:divBdr>
    </w:div>
    <w:div w:id="1645348450">
      <w:bodyDiv w:val="1"/>
      <w:marLeft w:val="0"/>
      <w:marRight w:val="0"/>
      <w:marTop w:val="0"/>
      <w:marBottom w:val="0"/>
      <w:divBdr>
        <w:top w:val="none" w:sz="0" w:space="0" w:color="auto"/>
        <w:left w:val="none" w:sz="0" w:space="0" w:color="auto"/>
        <w:bottom w:val="none" w:sz="0" w:space="0" w:color="auto"/>
        <w:right w:val="none" w:sz="0" w:space="0" w:color="auto"/>
      </w:divBdr>
    </w:div>
    <w:div w:id="1702894436">
      <w:bodyDiv w:val="1"/>
      <w:marLeft w:val="0"/>
      <w:marRight w:val="0"/>
      <w:marTop w:val="0"/>
      <w:marBottom w:val="0"/>
      <w:divBdr>
        <w:top w:val="none" w:sz="0" w:space="0" w:color="auto"/>
        <w:left w:val="none" w:sz="0" w:space="0" w:color="auto"/>
        <w:bottom w:val="none" w:sz="0" w:space="0" w:color="auto"/>
        <w:right w:val="none" w:sz="0" w:space="0" w:color="auto"/>
      </w:divBdr>
    </w:div>
    <w:div w:id="1714965532">
      <w:bodyDiv w:val="1"/>
      <w:marLeft w:val="0"/>
      <w:marRight w:val="0"/>
      <w:marTop w:val="0"/>
      <w:marBottom w:val="0"/>
      <w:divBdr>
        <w:top w:val="none" w:sz="0" w:space="0" w:color="auto"/>
        <w:left w:val="none" w:sz="0" w:space="0" w:color="auto"/>
        <w:bottom w:val="none" w:sz="0" w:space="0" w:color="auto"/>
        <w:right w:val="none" w:sz="0" w:space="0" w:color="auto"/>
      </w:divBdr>
    </w:div>
    <w:div w:id="1729112410">
      <w:bodyDiv w:val="1"/>
      <w:marLeft w:val="0"/>
      <w:marRight w:val="0"/>
      <w:marTop w:val="0"/>
      <w:marBottom w:val="0"/>
      <w:divBdr>
        <w:top w:val="none" w:sz="0" w:space="0" w:color="auto"/>
        <w:left w:val="none" w:sz="0" w:space="0" w:color="auto"/>
        <w:bottom w:val="none" w:sz="0" w:space="0" w:color="auto"/>
        <w:right w:val="none" w:sz="0" w:space="0" w:color="auto"/>
      </w:divBdr>
    </w:div>
    <w:div w:id="1742171769">
      <w:bodyDiv w:val="1"/>
      <w:marLeft w:val="0"/>
      <w:marRight w:val="0"/>
      <w:marTop w:val="0"/>
      <w:marBottom w:val="0"/>
      <w:divBdr>
        <w:top w:val="none" w:sz="0" w:space="0" w:color="auto"/>
        <w:left w:val="none" w:sz="0" w:space="0" w:color="auto"/>
        <w:bottom w:val="none" w:sz="0" w:space="0" w:color="auto"/>
        <w:right w:val="none" w:sz="0" w:space="0" w:color="auto"/>
      </w:divBdr>
    </w:div>
    <w:div w:id="1807892548">
      <w:bodyDiv w:val="1"/>
      <w:marLeft w:val="0"/>
      <w:marRight w:val="0"/>
      <w:marTop w:val="0"/>
      <w:marBottom w:val="0"/>
      <w:divBdr>
        <w:top w:val="none" w:sz="0" w:space="0" w:color="auto"/>
        <w:left w:val="none" w:sz="0" w:space="0" w:color="auto"/>
        <w:bottom w:val="none" w:sz="0" w:space="0" w:color="auto"/>
        <w:right w:val="none" w:sz="0" w:space="0" w:color="auto"/>
      </w:divBdr>
    </w:div>
    <w:div w:id="1816331672">
      <w:bodyDiv w:val="1"/>
      <w:marLeft w:val="0"/>
      <w:marRight w:val="0"/>
      <w:marTop w:val="0"/>
      <w:marBottom w:val="0"/>
      <w:divBdr>
        <w:top w:val="none" w:sz="0" w:space="0" w:color="auto"/>
        <w:left w:val="none" w:sz="0" w:space="0" w:color="auto"/>
        <w:bottom w:val="none" w:sz="0" w:space="0" w:color="auto"/>
        <w:right w:val="none" w:sz="0" w:space="0" w:color="auto"/>
      </w:divBdr>
    </w:div>
    <w:div w:id="1952928697">
      <w:bodyDiv w:val="1"/>
      <w:marLeft w:val="0"/>
      <w:marRight w:val="0"/>
      <w:marTop w:val="0"/>
      <w:marBottom w:val="0"/>
      <w:divBdr>
        <w:top w:val="none" w:sz="0" w:space="0" w:color="auto"/>
        <w:left w:val="none" w:sz="0" w:space="0" w:color="auto"/>
        <w:bottom w:val="none" w:sz="0" w:space="0" w:color="auto"/>
        <w:right w:val="none" w:sz="0" w:space="0" w:color="auto"/>
      </w:divBdr>
    </w:div>
    <w:div w:id="2007857627">
      <w:bodyDiv w:val="1"/>
      <w:marLeft w:val="0"/>
      <w:marRight w:val="0"/>
      <w:marTop w:val="0"/>
      <w:marBottom w:val="0"/>
      <w:divBdr>
        <w:top w:val="none" w:sz="0" w:space="0" w:color="auto"/>
        <w:left w:val="none" w:sz="0" w:space="0" w:color="auto"/>
        <w:bottom w:val="none" w:sz="0" w:space="0" w:color="auto"/>
        <w:right w:val="none" w:sz="0" w:space="0" w:color="auto"/>
      </w:divBdr>
    </w:div>
    <w:div w:id="2029527072">
      <w:bodyDiv w:val="1"/>
      <w:marLeft w:val="0"/>
      <w:marRight w:val="0"/>
      <w:marTop w:val="0"/>
      <w:marBottom w:val="0"/>
      <w:divBdr>
        <w:top w:val="none" w:sz="0" w:space="0" w:color="auto"/>
        <w:left w:val="none" w:sz="0" w:space="0" w:color="auto"/>
        <w:bottom w:val="none" w:sz="0" w:space="0" w:color="auto"/>
        <w:right w:val="none" w:sz="0" w:space="0" w:color="auto"/>
      </w:divBdr>
    </w:div>
    <w:div w:id="2033916491">
      <w:bodyDiv w:val="1"/>
      <w:marLeft w:val="0"/>
      <w:marRight w:val="0"/>
      <w:marTop w:val="0"/>
      <w:marBottom w:val="0"/>
      <w:divBdr>
        <w:top w:val="none" w:sz="0" w:space="0" w:color="auto"/>
        <w:left w:val="none" w:sz="0" w:space="0" w:color="auto"/>
        <w:bottom w:val="none" w:sz="0" w:space="0" w:color="auto"/>
        <w:right w:val="none" w:sz="0" w:space="0" w:color="auto"/>
      </w:divBdr>
    </w:div>
    <w:div w:id="2072343932">
      <w:marLeft w:val="0"/>
      <w:marRight w:val="0"/>
      <w:marTop w:val="0"/>
      <w:marBottom w:val="0"/>
      <w:divBdr>
        <w:top w:val="none" w:sz="0" w:space="0" w:color="auto"/>
        <w:left w:val="none" w:sz="0" w:space="0" w:color="auto"/>
        <w:bottom w:val="none" w:sz="0" w:space="0" w:color="auto"/>
        <w:right w:val="none" w:sz="0" w:space="0" w:color="auto"/>
      </w:divBdr>
    </w:div>
    <w:div w:id="2072343933">
      <w:marLeft w:val="0"/>
      <w:marRight w:val="0"/>
      <w:marTop w:val="0"/>
      <w:marBottom w:val="0"/>
      <w:divBdr>
        <w:top w:val="none" w:sz="0" w:space="0" w:color="auto"/>
        <w:left w:val="none" w:sz="0" w:space="0" w:color="auto"/>
        <w:bottom w:val="none" w:sz="0" w:space="0" w:color="auto"/>
        <w:right w:val="none" w:sz="0" w:space="0" w:color="auto"/>
      </w:divBdr>
    </w:div>
    <w:div w:id="2072343934">
      <w:marLeft w:val="0"/>
      <w:marRight w:val="0"/>
      <w:marTop w:val="0"/>
      <w:marBottom w:val="0"/>
      <w:divBdr>
        <w:top w:val="none" w:sz="0" w:space="0" w:color="auto"/>
        <w:left w:val="none" w:sz="0" w:space="0" w:color="auto"/>
        <w:bottom w:val="none" w:sz="0" w:space="0" w:color="auto"/>
        <w:right w:val="none" w:sz="0" w:space="0" w:color="auto"/>
      </w:divBdr>
    </w:div>
    <w:div w:id="2072343935">
      <w:marLeft w:val="0"/>
      <w:marRight w:val="0"/>
      <w:marTop w:val="0"/>
      <w:marBottom w:val="0"/>
      <w:divBdr>
        <w:top w:val="none" w:sz="0" w:space="0" w:color="auto"/>
        <w:left w:val="none" w:sz="0" w:space="0" w:color="auto"/>
        <w:bottom w:val="none" w:sz="0" w:space="0" w:color="auto"/>
        <w:right w:val="none" w:sz="0" w:space="0" w:color="auto"/>
      </w:divBdr>
    </w:div>
    <w:div w:id="2072343936">
      <w:marLeft w:val="0"/>
      <w:marRight w:val="0"/>
      <w:marTop w:val="0"/>
      <w:marBottom w:val="0"/>
      <w:divBdr>
        <w:top w:val="none" w:sz="0" w:space="0" w:color="auto"/>
        <w:left w:val="none" w:sz="0" w:space="0" w:color="auto"/>
        <w:bottom w:val="none" w:sz="0" w:space="0" w:color="auto"/>
        <w:right w:val="none" w:sz="0" w:space="0" w:color="auto"/>
      </w:divBdr>
    </w:div>
    <w:div w:id="2072343937">
      <w:marLeft w:val="0"/>
      <w:marRight w:val="0"/>
      <w:marTop w:val="0"/>
      <w:marBottom w:val="0"/>
      <w:divBdr>
        <w:top w:val="none" w:sz="0" w:space="0" w:color="auto"/>
        <w:left w:val="none" w:sz="0" w:space="0" w:color="auto"/>
        <w:bottom w:val="none" w:sz="0" w:space="0" w:color="auto"/>
        <w:right w:val="none" w:sz="0" w:space="0" w:color="auto"/>
      </w:divBdr>
    </w:div>
    <w:div w:id="2072343938">
      <w:marLeft w:val="0"/>
      <w:marRight w:val="0"/>
      <w:marTop w:val="0"/>
      <w:marBottom w:val="0"/>
      <w:divBdr>
        <w:top w:val="none" w:sz="0" w:space="0" w:color="auto"/>
        <w:left w:val="none" w:sz="0" w:space="0" w:color="auto"/>
        <w:bottom w:val="none" w:sz="0" w:space="0" w:color="auto"/>
        <w:right w:val="none" w:sz="0" w:space="0" w:color="auto"/>
      </w:divBdr>
    </w:div>
    <w:div w:id="2072343939">
      <w:marLeft w:val="0"/>
      <w:marRight w:val="0"/>
      <w:marTop w:val="0"/>
      <w:marBottom w:val="0"/>
      <w:divBdr>
        <w:top w:val="none" w:sz="0" w:space="0" w:color="auto"/>
        <w:left w:val="none" w:sz="0" w:space="0" w:color="auto"/>
        <w:bottom w:val="none" w:sz="0" w:space="0" w:color="auto"/>
        <w:right w:val="none" w:sz="0" w:space="0" w:color="auto"/>
      </w:divBdr>
    </w:div>
    <w:div w:id="2072343940">
      <w:marLeft w:val="0"/>
      <w:marRight w:val="0"/>
      <w:marTop w:val="0"/>
      <w:marBottom w:val="0"/>
      <w:divBdr>
        <w:top w:val="none" w:sz="0" w:space="0" w:color="auto"/>
        <w:left w:val="none" w:sz="0" w:space="0" w:color="auto"/>
        <w:bottom w:val="none" w:sz="0" w:space="0" w:color="auto"/>
        <w:right w:val="none" w:sz="0" w:space="0" w:color="auto"/>
      </w:divBdr>
    </w:div>
    <w:div w:id="2072343941">
      <w:marLeft w:val="0"/>
      <w:marRight w:val="0"/>
      <w:marTop w:val="0"/>
      <w:marBottom w:val="0"/>
      <w:divBdr>
        <w:top w:val="none" w:sz="0" w:space="0" w:color="auto"/>
        <w:left w:val="none" w:sz="0" w:space="0" w:color="auto"/>
        <w:bottom w:val="none" w:sz="0" w:space="0" w:color="auto"/>
        <w:right w:val="none" w:sz="0" w:space="0" w:color="auto"/>
      </w:divBdr>
    </w:div>
    <w:div w:id="2072343942">
      <w:marLeft w:val="0"/>
      <w:marRight w:val="0"/>
      <w:marTop w:val="0"/>
      <w:marBottom w:val="0"/>
      <w:divBdr>
        <w:top w:val="none" w:sz="0" w:space="0" w:color="auto"/>
        <w:left w:val="none" w:sz="0" w:space="0" w:color="auto"/>
        <w:bottom w:val="none" w:sz="0" w:space="0" w:color="auto"/>
        <w:right w:val="none" w:sz="0" w:space="0" w:color="auto"/>
      </w:divBdr>
    </w:div>
    <w:div w:id="2072343943">
      <w:marLeft w:val="0"/>
      <w:marRight w:val="0"/>
      <w:marTop w:val="0"/>
      <w:marBottom w:val="0"/>
      <w:divBdr>
        <w:top w:val="none" w:sz="0" w:space="0" w:color="auto"/>
        <w:left w:val="none" w:sz="0" w:space="0" w:color="auto"/>
        <w:bottom w:val="none" w:sz="0" w:space="0" w:color="auto"/>
        <w:right w:val="none" w:sz="0" w:space="0" w:color="auto"/>
      </w:divBdr>
    </w:div>
    <w:div w:id="2072343944">
      <w:marLeft w:val="0"/>
      <w:marRight w:val="0"/>
      <w:marTop w:val="0"/>
      <w:marBottom w:val="0"/>
      <w:divBdr>
        <w:top w:val="none" w:sz="0" w:space="0" w:color="auto"/>
        <w:left w:val="none" w:sz="0" w:space="0" w:color="auto"/>
        <w:bottom w:val="none" w:sz="0" w:space="0" w:color="auto"/>
        <w:right w:val="none" w:sz="0" w:space="0" w:color="auto"/>
      </w:divBdr>
    </w:div>
    <w:div w:id="2072343945">
      <w:marLeft w:val="0"/>
      <w:marRight w:val="0"/>
      <w:marTop w:val="0"/>
      <w:marBottom w:val="0"/>
      <w:divBdr>
        <w:top w:val="none" w:sz="0" w:space="0" w:color="auto"/>
        <w:left w:val="none" w:sz="0" w:space="0" w:color="auto"/>
        <w:bottom w:val="none" w:sz="0" w:space="0" w:color="auto"/>
        <w:right w:val="none" w:sz="0" w:space="0" w:color="auto"/>
      </w:divBdr>
    </w:div>
    <w:div w:id="2072343946">
      <w:marLeft w:val="0"/>
      <w:marRight w:val="0"/>
      <w:marTop w:val="0"/>
      <w:marBottom w:val="0"/>
      <w:divBdr>
        <w:top w:val="none" w:sz="0" w:space="0" w:color="auto"/>
        <w:left w:val="none" w:sz="0" w:space="0" w:color="auto"/>
        <w:bottom w:val="none" w:sz="0" w:space="0" w:color="auto"/>
        <w:right w:val="none" w:sz="0" w:space="0" w:color="auto"/>
      </w:divBdr>
    </w:div>
    <w:div w:id="2072343947">
      <w:marLeft w:val="0"/>
      <w:marRight w:val="0"/>
      <w:marTop w:val="0"/>
      <w:marBottom w:val="0"/>
      <w:divBdr>
        <w:top w:val="none" w:sz="0" w:space="0" w:color="auto"/>
        <w:left w:val="none" w:sz="0" w:space="0" w:color="auto"/>
        <w:bottom w:val="none" w:sz="0" w:space="0" w:color="auto"/>
        <w:right w:val="none" w:sz="0" w:space="0" w:color="auto"/>
      </w:divBdr>
    </w:div>
    <w:div w:id="2072343948">
      <w:marLeft w:val="0"/>
      <w:marRight w:val="0"/>
      <w:marTop w:val="0"/>
      <w:marBottom w:val="0"/>
      <w:divBdr>
        <w:top w:val="none" w:sz="0" w:space="0" w:color="auto"/>
        <w:left w:val="none" w:sz="0" w:space="0" w:color="auto"/>
        <w:bottom w:val="none" w:sz="0" w:space="0" w:color="auto"/>
        <w:right w:val="none" w:sz="0" w:space="0" w:color="auto"/>
      </w:divBdr>
    </w:div>
    <w:div w:id="2072343949">
      <w:marLeft w:val="0"/>
      <w:marRight w:val="0"/>
      <w:marTop w:val="0"/>
      <w:marBottom w:val="0"/>
      <w:divBdr>
        <w:top w:val="none" w:sz="0" w:space="0" w:color="auto"/>
        <w:left w:val="none" w:sz="0" w:space="0" w:color="auto"/>
        <w:bottom w:val="none" w:sz="0" w:space="0" w:color="auto"/>
        <w:right w:val="none" w:sz="0" w:space="0" w:color="auto"/>
      </w:divBdr>
    </w:div>
    <w:div w:id="207234395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2072343952">
      <w:marLeft w:val="0"/>
      <w:marRight w:val="0"/>
      <w:marTop w:val="0"/>
      <w:marBottom w:val="0"/>
      <w:divBdr>
        <w:top w:val="none" w:sz="0" w:space="0" w:color="auto"/>
        <w:left w:val="none" w:sz="0" w:space="0" w:color="auto"/>
        <w:bottom w:val="none" w:sz="0" w:space="0" w:color="auto"/>
        <w:right w:val="none" w:sz="0" w:space="0" w:color="auto"/>
      </w:divBdr>
    </w:div>
    <w:div w:id="2072343953">
      <w:marLeft w:val="0"/>
      <w:marRight w:val="0"/>
      <w:marTop w:val="0"/>
      <w:marBottom w:val="0"/>
      <w:divBdr>
        <w:top w:val="none" w:sz="0" w:space="0" w:color="auto"/>
        <w:left w:val="none" w:sz="0" w:space="0" w:color="auto"/>
        <w:bottom w:val="none" w:sz="0" w:space="0" w:color="auto"/>
        <w:right w:val="none" w:sz="0" w:space="0" w:color="auto"/>
      </w:divBdr>
    </w:div>
    <w:div w:id="2072343954">
      <w:marLeft w:val="0"/>
      <w:marRight w:val="0"/>
      <w:marTop w:val="0"/>
      <w:marBottom w:val="0"/>
      <w:divBdr>
        <w:top w:val="none" w:sz="0" w:space="0" w:color="auto"/>
        <w:left w:val="none" w:sz="0" w:space="0" w:color="auto"/>
        <w:bottom w:val="none" w:sz="0" w:space="0" w:color="auto"/>
        <w:right w:val="none" w:sz="0" w:space="0" w:color="auto"/>
      </w:divBdr>
    </w:div>
    <w:div w:id="2072343955">
      <w:marLeft w:val="0"/>
      <w:marRight w:val="0"/>
      <w:marTop w:val="0"/>
      <w:marBottom w:val="0"/>
      <w:divBdr>
        <w:top w:val="none" w:sz="0" w:space="0" w:color="auto"/>
        <w:left w:val="none" w:sz="0" w:space="0" w:color="auto"/>
        <w:bottom w:val="none" w:sz="0" w:space="0" w:color="auto"/>
        <w:right w:val="none" w:sz="0" w:space="0" w:color="auto"/>
      </w:divBdr>
    </w:div>
    <w:div w:id="2072343957">
      <w:marLeft w:val="0"/>
      <w:marRight w:val="0"/>
      <w:marTop w:val="0"/>
      <w:marBottom w:val="0"/>
      <w:divBdr>
        <w:top w:val="none" w:sz="0" w:space="0" w:color="auto"/>
        <w:left w:val="none" w:sz="0" w:space="0" w:color="auto"/>
        <w:bottom w:val="none" w:sz="0" w:space="0" w:color="auto"/>
        <w:right w:val="none" w:sz="0" w:space="0" w:color="auto"/>
      </w:divBdr>
    </w:div>
    <w:div w:id="2072343958">
      <w:marLeft w:val="0"/>
      <w:marRight w:val="0"/>
      <w:marTop w:val="0"/>
      <w:marBottom w:val="0"/>
      <w:divBdr>
        <w:top w:val="none" w:sz="0" w:space="0" w:color="auto"/>
        <w:left w:val="none" w:sz="0" w:space="0" w:color="auto"/>
        <w:bottom w:val="none" w:sz="0" w:space="0" w:color="auto"/>
        <w:right w:val="none" w:sz="0" w:space="0" w:color="auto"/>
      </w:divBdr>
    </w:div>
    <w:div w:id="2072343959">
      <w:marLeft w:val="0"/>
      <w:marRight w:val="0"/>
      <w:marTop w:val="0"/>
      <w:marBottom w:val="0"/>
      <w:divBdr>
        <w:top w:val="none" w:sz="0" w:space="0" w:color="auto"/>
        <w:left w:val="none" w:sz="0" w:space="0" w:color="auto"/>
        <w:bottom w:val="none" w:sz="0" w:space="0" w:color="auto"/>
        <w:right w:val="none" w:sz="0" w:space="0" w:color="auto"/>
      </w:divBdr>
    </w:div>
    <w:div w:id="2072343960">
      <w:marLeft w:val="0"/>
      <w:marRight w:val="0"/>
      <w:marTop w:val="0"/>
      <w:marBottom w:val="0"/>
      <w:divBdr>
        <w:top w:val="none" w:sz="0" w:space="0" w:color="auto"/>
        <w:left w:val="none" w:sz="0" w:space="0" w:color="auto"/>
        <w:bottom w:val="none" w:sz="0" w:space="0" w:color="auto"/>
        <w:right w:val="none" w:sz="0" w:space="0" w:color="auto"/>
      </w:divBdr>
    </w:div>
    <w:div w:id="2072343961">
      <w:marLeft w:val="0"/>
      <w:marRight w:val="0"/>
      <w:marTop w:val="0"/>
      <w:marBottom w:val="0"/>
      <w:divBdr>
        <w:top w:val="none" w:sz="0" w:space="0" w:color="auto"/>
        <w:left w:val="none" w:sz="0" w:space="0" w:color="auto"/>
        <w:bottom w:val="none" w:sz="0" w:space="0" w:color="auto"/>
        <w:right w:val="none" w:sz="0" w:space="0" w:color="auto"/>
      </w:divBdr>
    </w:div>
    <w:div w:id="2072343962">
      <w:marLeft w:val="0"/>
      <w:marRight w:val="0"/>
      <w:marTop w:val="0"/>
      <w:marBottom w:val="0"/>
      <w:divBdr>
        <w:top w:val="none" w:sz="0" w:space="0" w:color="auto"/>
        <w:left w:val="none" w:sz="0" w:space="0" w:color="auto"/>
        <w:bottom w:val="none" w:sz="0" w:space="0" w:color="auto"/>
        <w:right w:val="none" w:sz="0" w:space="0" w:color="auto"/>
      </w:divBdr>
    </w:div>
    <w:div w:id="2072343963">
      <w:marLeft w:val="0"/>
      <w:marRight w:val="0"/>
      <w:marTop w:val="0"/>
      <w:marBottom w:val="0"/>
      <w:divBdr>
        <w:top w:val="none" w:sz="0" w:space="0" w:color="auto"/>
        <w:left w:val="none" w:sz="0" w:space="0" w:color="auto"/>
        <w:bottom w:val="none" w:sz="0" w:space="0" w:color="auto"/>
        <w:right w:val="none" w:sz="0" w:space="0" w:color="auto"/>
      </w:divBdr>
    </w:div>
    <w:div w:id="2072343964">
      <w:marLeft w:val="0"/>
      <w:marRight w:val="0"/>
      <w:marTop w:val="0"/>
      <w:marBottom w:val="0"/>
      <w:divBdr>
        <w:top w:val="none" w:sz="0" w:space="0" w:color="auto"/>
        <w:left w:val="none" w:sz="0" w:space="0" w:color="auto"/>
        <w:bottom w:val="none" w:sz="0" w:space="0" w:color="auto"/>
        <w:right w:val="none" w:sz="0" w:space="0" w:color="auto"/>
      </w:divBdr>
    </w:div>
    <w:div w:id="2072343965">
      <w:marLeft w:val="0"/>
      <w:marRight w:val="0"/>
      <w:marTop w:val="0"/>
      <w:marBottom w:val="0"/>
      <w:divBdr>
        <w:top w:val="none" w:sz="0" w:space="0" w:color="auto"/>
        <w:left w:val="none" w:sz="0" w:space="0" w:color="auto"/>
        <w:bottom w:val="none" w:sz="0" w:space="0" w:color="auto"/>
        <w:right w:val="none" w:sz="0" w:space="0" w:color="auto"/>
      </w:divBdr>
    </w:div>
    <w:div w:id="2072343966">
      <w:marLeft w:val="0"/>
      <w:marRight w:val="0"/>
      <w:marTop w:val="0"/>
      <w:marBottom w:val="0"/>
      <w:divBdr>
        <w:top w:val="none" w:sz="0" w:space="0" w:color="auto"/>
        <w:left w:val="none" w:sz="0" w:space="0" w:color="auto"/>
        <w:bottom w:val="none" w:sz="0" w:space="0" w:color="auto"/>
        <w:right w:val="none" w:sz="0" w:space="0" w:color="auto"/>
      </w:divBdr>
    </w:div>
    <w:div w:id="2072343967">
      <w:marLeft w:val="0"/>
      <w:marRight w:val="0"/>
      <w:marTop w:val="0"/>
      <w:marBottom w:val="0"/>
      <w:divBdr>
        <w:top w:val="none" w:sz="0" w:space="0" w:color="auto"/>
        <w:left w:val="none" w:sz="0" w:space="0" w:color="auto"/>
        <w:bottom w:val="none" w:sz="0" w:space="0" w:color="auto"/>
        <w:right w:val="none" w:sz="0" w:space="0" w:color="auto"/>
      </w:divBdr>
    </w:div>
    <w:div w:id="2072343968">
      <w:marLeft w:val="0"/>
      <w:marRight w:val="0"/>
      <w:marTop w:val="0"/>
      <w:marBottom w:val="0"/>
      <w:divBdr>
        <w:top w:val="none" w:sz="0" w:space="0" w:color="auto"/>
        <w:left w:val="none" w:sz="0" w:space="0" w:color="auto"/>
        <w:bottom w:val="none" w:sz="0" w:space="0" w:color="auto"/>
        <w:right w:val="none" w:sz="0" w:space="0" w:color="auto"/>
      </w:divBdr>
    </w:div>
    <w:div w:id="2072343969">
      <w:marLeft w:val="0"/>
      <w:marRight w:val="0"/>
      <w:marTop w:val="0"/>
      <w:marBottom w:val="0"/>
      <w:divBdr>
        <w:top w:val="none" w:sz="0" w:space="0" w:color="auto"/>
        <w:left w:val="none" w:sz="0" w:space="0" w:color="auto"/>
        <w:bottom w:val="none" w:sz="0" w:space="0" w:color="auto"/>
        <w:right w:val="none" w:sz="0" w:space="0" w:color="auto"/>
      </w:divBdr>
    </w:div>
    <w:div w:id="2072343970">
      <w:marLeft w:val="0"/>
      <w:marRight w:val="0"/>
      <w:marTop w:val="0"/>
      <w:marBottom w:val="0"/>
      <w:divBdr>
        <w:top w:val="none" w:sz="0" w:space="0" w:color="auto"/>
        <w:left w:val="none" w:sz="0" w:space="0" w:color="auto"/>
        <w:bottom w:val="none" w:sz="0" w:space="0" w:color="auto"/>
        <w:right w:val="none" w:sz="0" w:space="0" w:color="auto"/>
      </w:divBdr>
    </w:div>
    <w:div w:id="2072343971">
      <w:marLeft w:val="0"/>
      <w:marRight w:val="0"/>
      <w:marTop w:val="0"/>
      <w:marBottom w:val="0"/>
      <w:divBdr>
        <w:top w:val="none" w:sz="0" w:space="0" w:color="auto"/>
        <w:left w:val="none" w:sz="0" w:space="0" w:color="auto"/>
        <w:bottom w:val="none" w:sz="0" w:space="0" w:color="auto"/>
        <w:right w:val="none" w:sz="0" w:space="0" w:color="auto"/>
      </w:divBdr>
    </w:div>
    <w:div w:id="2072343972">
      <w:marLeft w:val="0"/>
      <w:marRight w:val="0"/>
      <w:marTop w:val="0"/>
      <w:marBottom w:val="0"/>
      <w:divBdr>
        <w:top w:val="none" w:sz="0" w:space="0" w:color="auto"/>
        <w:left w:val="none" w:sz="0" w:space="0" w:color="auto"/>
        <w:bottom w:val="none" w:sz="0" w:space="0" w:color="auto"/>
        <w:right w:val="none" w:sz="0" w:space="0" w:color="auto"/>
      </w:divBdr>
    </w:div>
    <w:div w:id="2072343973">
      <w:marLeft w:val="0"/>
      <w:marRight w:val="0"/>
      <w:marTop w:val="0"/>
      <w:marBottom w:val="0"/>
      <w:divBdr>
        <w:top w:val="none" w:sz="0" w:space="0" w:color="auto"/>
        <w:left w:val="none" w:sz="0" w:space="0" w:color="auto"/>
        <w:bottom w:val="none" w:sz="0" w:space="0" w:color="auto"/>
        <w:right w:val="none" w:sz="0" w:space="0" w:color="auto"/>
      </w:divBdr>
    </w:div>
    <w:div w:id="2072343974">
      <w:marLeft w:val="0"/>
      <w:marRight w:val="0"/>
      <w:marTop w:val="0"/>
      <w:marBottom w:val="0"/>
      <w:divBdr>
        <w:top w:val="none" w:sz="0" w:space="0" w:color="auto"/>
        <w:left w:val="none" w:sz="0" w:space="0" w:color="auto"/>
        <w:bottom w:val="none" w:sz="0" w:space="0" w:color="auto"/>
        <w:right w:val="none" w:sz="0" w:space="0" w:color="auto"/>
      </w:divBdr>
    </w:div>
    <w:div w:id="2072343975">
      <w:marLeft w:val="0"/>
      <w:marRight w:val="0"/>
      <w:marTop w:val="0"/>
      <w:marBottom w:val="0"/>
      <w:divBdr>
        <w:top w:val="none" w:sz="0" w:space="0" w:color="auto"/>
        <w:left w:val="none" w:sz="0" w:space="0" w:color="auto"/>
        <w:bottom w:val="none" w:sz="0" w:space="0" w:color="auto"/>
        <w:right w:val="none" w:sz="0" w:space="0" w:color="auto"/>
      </w:divBdr>
    </w:div>
    <w:div w:id="2072343976">
      <w:marLeft w:val="0"/>
      <w:marRight w:val="0"/>
      <w:marTop w:val="0"/>
      <w:marBottom w:val="0"/>
      <w:divBdr>
        <w:top w:val="none" w:sz="0" w:space="0" w:color="auto"/>
        <w:left w:val="none" w:sz="0" w:space="0" w:color="auto"/>
        <w:bottom w:val="none" w:sz="0" w:space="0" w:color="auto"/>
        <w:right w:val="none" w:sz="0" w:space="0" w:color="auto"/>
      </w:divBdr>
    </w:div>
    <w:div w:id="2072343977">
      <w:marLeft w:val="0"/>
      <w:marRight w:val="0"/>
      <w:marTop w:val="0"/>
      <w:marBottom w:val="0"/>
      <w:divBdr>
        <w:top w:val="none" w:sz="0" w:space="0" w:color="auto"/>
        <w:left w:val="none" w:sz="0" w:space="0" w:color="auto"/>
        <w:bottom w:val="none" w:sz="0" w:space="0" w:color="auto"/>
        <w:right w:val="none" w:sz="0" w:space="0" w:color="auto"/>
      </w:divBdr>
    </w:div>
    <w:div w:id="2072343978">
      <w:marLeft w:val="0"/>
      <w:marRight w:val="0"/>
      <w:marTop w:val="0"/>
      <w:marBottom w:val="0"/>
      <w:divBdr>
        <w:top w:val="none" w:sz="0" w:space="0" w:color="auto"/>
        <w:left w:val="none" w:sz="0" w:space="0" w:color="auto"/>
        <w:bottom w:val="none" w:sz="0" w:space="0" w:color="auto"/>
        <w:right w:val="none" w:sz="0" w:space="0" w:color="auto"/>
      </w:divBdr>
    </w:div>
    <w:div w:id="2072343979">
      <w:marLeft w:val="0"/>
      <w:marRight w:val="0"/>
      <w:marTop w:val="0"/>
      <w:marBottom w:val="0"/>
      <w:divBdr>
        <w:top w:val="none" w:sz="0" w:space="0" w:color="auto"/>
        <w:left w:val="none" w:sz="0" w:space="0" w:color="auto"/>
        <w:bottom w:val="none" w:sz="0" w:space="0" w:color="auto"/>
        <w:right w:val="none" w:sz="0" w:space="0" w:color="auto"/>
      </w:divBdr>
    </w:div>
    <w:div w:id="2072343980">
      <w:marLeft w:val="0"/>
      <w:marRight w:val="0"/>
      <w:marTop w:val="0"/>
      <w:marBottom w:val="0"/>
      <w:divBdr>
        <w:top w:val="none" w:sz="0" w:space="0" w:color="auto"/>
        <w:left w:val="none" w:sz="0" w:space="0" w:color="auto"/>
        <w:bottom w:val="none" w:sz="0" w:space="0" w:color="auto"/>
        <w:right w:val="none" w:sz="0" w:space="0" w:color="auto"/>
      </w:divBdr>
    </w:div>
    <w:div w:id="2072343981">
      <w:marLeft w:val="0"/>
      <w:marRight w:val="0"/>
      <w:marTop w:val="0"/>
      <w:marBottom w:val="0"/>
      <w:divBdr>
        <w:top w:val="none" w:sz="0" w:space="0" w:color="auto"/>
        <w:left w:val="none" w:sz="0" w:space="0" w:color="auto"/>
        <w:bottom w:val="none" w:sz="0" w:space="0" w:color="auto"/>
        <w:right w:val="none" w:sz="0" w:space="0" w:color="auto"/>
      </w:divBdr>
    </w:div>
    <w:div w:id="2072343983">
      <w:marLeft w:val="0"/>
      <w:marRight w:val="0"/>
      <w:marTop w:val="0"/>
      <w:marBottom w:val="0"/>
      <w:divBdr>
        <w:top w:val="none" w:sz="0" w:space="0" w:color="auto"/>
        <w:left w:val="none" w:sz="0" w:space="0" w:color="auto"/>
        <w:bottom w:val="none" w:sz="0" w:space="0" w:color="auto"/>
        <w:right w:val="none" w:sz="0" w:space="0" w:color="auto"/>
      </w:divBdr>
    </w:div>
    <w:div w:id="2072343984">
      <w:marLeft w:val="0"/>
      <w:marRight w:val="0"/>
      <w:marTop w:val="0"/>
      <w:marBottom w:val="0"/>
      <w:divBdr>
        <w:top w:val="none" w:sz="0" w:space="0" w:color="auto"/>
        <w:left w:val="none" w:sz="0" w:space="0" w:color="auto"/>
        <w:bottom w:val="none" w:sz="0" w:space="0" w:color="auto"/>
        <w:right w:val="none" w:sz="0" w:space="0" w:color="auto"/>
      </w:divBdr>
    </w:div>
    <w:div w:id="2072343985">
      <w:marLeft w:val="0"/>
      <w:marRight w:val="0"/>
      <w:marTop w:val="0"/>
      <w:marBottom w:val="0"/>
      <w:divBdr>
        <w:top w:val="none" w:sz="0" w:space="0" w:color="auto"/>
        <w:left w:val="none" w:sz="0" w:space="0" w:color="auto"/>
        <w:bottom w:val="none" w:sz="0" w:space="0" w:color="auto"/>
        <w:right w:val="none" w:sz="0" w:space="0" w:color="auto"/>
      </w:divBdr>
    </w:div>
    <w:div w:id="2072343986">
      <w:marLeft w:val="0"/>
      <w:marRight w:val="0"/>
      <w:marTop w:val="0"/>
      <w:marBottom w:val="0"/>
      <w:divBdr>
        <w:top w:val="none" w:sz="0" w:space="0" w:color="auto"/>
        <w:left w:val="none" w:sz="0" w:space="0" w:color="auto"/>
        <w:bottom w:val="none" w:sz="0" w:space="0" w:color="auto"/>
        <w:right w:val="none" w:sz="0" w:space="0" w:color="auto"/>
      </w:divBdr>
      <w:divsChild>
        <w:div w:id="2072343956">
          <w:marLeft w:val="0"/>
          <w:marRight w:val="0"/>
          <w:marTop w:val="0"/>
          <w:marBottom w:val="0"/>
          <w:divBdr>
            <w:top w:val="none" w:sz="0" w:space="0" w:color="auto"/>
            <w:left w:val="none" w:sz="0" w:space="0" w:color="auto"/>
            <w:bottom w:val="none" w:sz="0" w:space="0" w:color="auto"/>
            <w:right w:val="none" w:sz="0" w:space="0" w:color="auto"/>
          </w:divBdr>
          <w:divsChild>
            <w:div w:id="2072344050">
              <w:marLeft w:val="0"/>
              <w:marRight w:val="0"/>
              <w:marTop w:val="0"/>
              <w:marBottom w:val="0"/>
              <w:divBdr>
                <w:top w:val="none" w:sz="0" w:space="0" w:color="auto"/>
                <w:left w:val="none" w:sz="0" w:space="0" w:color="auto"/>
                <w:bottom w:val="none" w:sz="0" w:space="0" w:color="auto"/>
                <w:right w:val="none" w:sz="0" w:space="0" w:color="auto"/>
              </w:divBdr>
            </w:div>
          </w:divsChild>
        </w:div>
        <w:div w:id="2072343982">
          <w:marLeft w:val="0"/>
          <w:marRight w:val="0"/>
          <w:marTop w:val="0"/>
          <w:marBottom w:val="0"/>
          <w:divBdr>
            <w:top w:val="none" w:sz="0" w:space="0" w:color="auto"/>
            <w:left w:val="none" w:sz="0" w:space="0" w:color="auto"/>
            <w:bottom w:val="none" w:sz="0" w:space="0" w:color="auto"/>
            <w:right w:val="none" w:sz="0" w:space="0" w:color="auto"/>
          </w:divBdr>
        </w:div>
      </w:divsChild>
    </w:div>
    <w:div w:id="2072343987">
      <w:marLeft w:val="0"/>
      <w:marRight w:val="0"/>
      <w:marTop w:val="0"/>
      <w:marBottom w:val="0"/>
      <w:divBdr>
        <w:top w:val="none" w:sz="0" w:space="0" w:color="auto"/>
        <w:left w:val="none" w:sz="0" w:space="0" w:color="auto"/>
        <w:bottom w:val="none" w:sz="0" w:space="0" w:color="auto"/>
        <w:right w:val="none" w:sz="0" w:space="0" w:color="auto"/>
      </w:divBdr>
    </w:div>
    <w:div w:id="2072343988">
      <w:marLeft w:val="0"/>
      <w:marRight w:val="0"/>
      <w:marTop w:val="0"/>
      <w:marBottom w:val="0"/>
      <w:divBdr>
        <w:top w:val="none" w:sz="0" w:space="0" w:color="auto"/>
        <w:left w:val="none" w:sz="0" w:space="0" w:color="auto"/>
        <w:bottom w:val="none" w:sz="0" w:space="0" w:color="auto"/>
        <w:right w:val="none" w:sz="0" w:space="0" w:color="auto"/>
      </w:divBdr>
    </w:div>
    <w:div w:id="2072343989">
      <w:marLeft w:val="0"/>
      <w:marRight w:val="0"/>
      <w:marTop w:val="0"/>
      <w:marBottom w:val="0"/>
      <w:divBdr>
        <w:top w:val="none" w:sz="0" w:space="0" w:color="auto"/>
        <w:left w:val="none" w:sz="0" w:space="0" w:color="auto"/>
        <w:bottom w:val="none" w:sz="0" w:space="0" w:color="auto"/>
        <w:right w:val="none" w:sz="0" w:space="0" w:color="auto"/>
      </w:divBdr>
    </w:div>
    <w:div w:id="2072343990">
      <w:marLeft w:val="0"/>
      <w:marRight w:val="0"/>
      <w:marTop w:val="0"/>
      <w:marBottom w:val="0"/>
      <w:divBdr>
        <w:top w:val="none" w:sz="0" w:space="0" w:color="auto"/>
        <w:left w:val="none" w:sz="0" w:space="0" w:color="auto"/>
        <w:bottom w:val="none" w:sz="0" w:space="0" w:color="auto"/>
        <w:right w:val="none" w:sz="0" w:space="0" w:color="auto"/>
      </w:divBdr>
    </w:div>
    <w:div w:id="2072343991">
      <w:marLeft w:val="0"/>
      <w:marRight w:val="0"/>
      <w:marTop w:val="0"/>
      <w:marBottom w:val="0"/>
      <w:divBdr>
        <w:top w:val="none" w:sz="0" w:space="0" w:color="auto"/>
        <w:left w:val="none" w:sz="0" w:space="0" w:color="auto"/>
        <w:bottom w:val="none" w:sz="0" w:space="0" w:color="auto"/>
        <w:right w:val="none" w:sz="0" w:space="0" w:color="auto"/>
      </w:divBdr>
    </w:div>
    <w:div w:id="2072343992">
      <w:marLeft w:val="0"/>
      <w:marRight w:val="0"/>
      <w:marTop w:val="0"/>
      <w:marBottom w:val="0"/>
      <w:divBdr>
        <w:top w:val="none" w:sz="0" w:space="0" w:color="auto"/>
        <w:left w:val="none" w:sz="0" w:space="0" w:color="auto"/>
        <w:bottom w:val="none" w:sz="0" w:space="0" w:color="auto"/>
        <w:right w:val="none" w:sz="0" w:space="0" w:color="auto"/>
      </w:divBdr>
    </w:div>
    <w:div w:id="2072343993">
      <w:marLeft w:val="0"/>
      <w:marRight w:val="0"/>
      <w:marTop w:val="0"/>
      <w:marBottom w:val="0"/>
      <w:divBdr>
        <w:top w:val="none" w:sz="0" w:space="0" w:color="auto"/>
        <w:left w:val="none" w:sz="0" w:space="0" w:color="auto"/>
        <w:bottom w:val="none" w:sz="0" w:space="0" w:color="auto"/>
        <w:right w:val="none" w:sz="0" w:space="0" w:color="auto"/>
      </w:divBdr>
    </w:div>
    <w:div w:id="2072343994">
      <w:marLeft w:val="0"/>
      <w:marRight w:val="0"/>
      <w:marTop w:val="0"/>
      <w:marBottom w:val="0"/>
      <w:divBdr>
        <w:top w:val="none" w:sz="0" w:space="0" w:color="auto"/>
        <w:left w:val="none" w:sz="0" w:space="0" w:color="auto"/>
        <w:bottom w:val="none" w:sz="0" w:space="0" w:color="auto"/>
        <w:right w:val="none" w:sz="0" w:space="0" w:color="auto"/>
      </w:divBdr>
    </w:div>
    <w:div w:id="2072343995">
      <w:marLeft w:val="0"/>
      <w:marRight w:val="0"/>
      <w:marTop w:val="0"/>
      <w:marBottom w:val="0"/>
      <w:divBdr>
        <w:top w:val="none" w:sz="0" w:space="0" w:color="auto"/>
        <w:left w:val="none" w:sz="0" w:space="0" w:color="auto"/>
        <w:bottom w:val="none" w:sz="0" w:space="0" w:color="auto"/>
        <w:right w:val="none" w:sz="0" w:space="0" w:color="auto"/>
      </w:divBdr>
    </w:div>
    <w:div w:id="2072343996">
      <w:marLeft w:val="0"/>
      <w:marRight w:val="0"/>
      <w:marTop w:val="0"/>
      <w:marBottom w:val="0"/>
      <w:divBdr>
        <w:top w:val="none" w:sz="0" w:space="0" w:color="auto"/>
        <w:left w:val="none" w:sz="0" w:space="0" w:color="auto"/>
        <w:bottom w:val="none" w:sz="0" w:space="0" w:color="auto"/>
        <w:right w:val="none" w:sz="0" w:space="0" w:color="auto"/>
      </w:divBdr>
    </w:div>
    <w:div w:id="2072343997">
      <w:marLeft w:val="0"/>
      <w:marRight w:val="0"/>
      <w:marTop w:val="0"/>
      <w:marBottom w:val="0"/>
      <w:divBdr>
        <w:top w:val="none" w:sz="0" w:space="0" w:color="auto"/>
        <w:left w:val="none" w:sz="0" w:space="0" w:color="auto"/>
        <w:bottom w:val="none" w:sz="0" w:space="0" w:color="auto"/>
        <w:right w:val="none" w:sz="0" w:space="0" w:color="auto"/>
      </w:divBdr>
    </w:div>
    <w:div w:id="2072343998">
      <w:marLeft w:val="0"/>
      <w:marRight w:val="0"/>
      <w:marTop w:val="0"/>
      <w:marBottom w:val="0"/>
      <w:divBdr>
        <w:top w:val="none" w:sz="0" w:space="0" w:color="auto"/>
        <w:left w:val="none" w:sz="0" w:space="0" w:color="auto"/>
        <w:bottom w:val="none" w:sz="0" w:space="0" w:color="auto"/>
        <w:right w:val="none" w:sz="0" w:space="0" w:color="auto"/>
      </w:divBdr>
    </w:div>
    <w:div w:id="2072343999">
      <w:marLeft w:val="0"/>
      <w:marRight w:val="0"/>
      <w:marTop w:val="0"/>
      <w:marBottom w:val="0"/>
      <w:divBdr>
        <w:top w:val="none" w:sz="0" w:space="0" w:color="auto"/>
        <w:left w:val="none" w:sz="0" w:space="0" w:color="auto"/>
        <w:bottom w:val="none" w:sz="0" w:space="0" w:color="auto"/>
        <w:right w:val="none" w:sz="0" w:space="0" w:color="auto"/>
      </w:divBdr>
    </w:div>
    <w:div w:id="2072344000">
      <w:marLeft w:val="0"/>
      <w:marRight w:val="0"/>
      <w:marTop w:val="0"/>
      <w:marBottom w:val="0"/>
      <w:divBdr>
        <w:top w:val="none" w:sz="0" w:space="0" w:color="auto"/>
        <w:left w:val="none" w:sz="0" w:space="0" w:color="auto"/>
        <w:bottom w:val="none" w:sz="0" w:space="0" w:color="auto"/>
        <w:right w:val="none" w:sz="0" w:space="0" w:color="auto"/>
      </w:divBdr>
    </w:div>
    <w:div w:id="2072344001">
      <w:marLeft w:val="0"/>
      <w:marRight w:val="0"/>
      <w:marTop w:val="0"/>
      <w:marBottom w:val="0"/>
      <w:divBdr>
        <w:top w:val="none" w:sz="0" w:space="0" w:color="auto"/>
        <w:left w:val="none" w:sz="0" w:space="0" w:color="auto"/>
        <w:bottom w:val="none" w:sz="0" w:space="0" w:color="auto"/>
        <w:right w:val="none" w:sz="0" w:space="0" w:color="auto"/>
      </w:divBdr>
    </w:div>
    <w:div w:id="2072344002">
      <w:marLeft w:val="0"/>
      <w:marRight w:val="0"/>
      <w:marTop w:val="0"/>
      <w:marBottom w:val="0"/>
      <w:divBdr>
        <w:top w:val="none" w:sz="0" w:space="0" w:color="auto"/>
        <w:left w:val="none" w:sz="0" w:space="0" w:color="auto"/>
        <w:bottom w:val="none" w:sz="0" w:space="0" w:color="auto"/>
        <w:right w:val="none" w:sz="0" w:space="0" w:color="auto"/>
      </w:divBdr>
    </w:div>
    <w:div w:id="2072344003">
      <w:marLeft w:val="0"/>
      <w:marRight w:val="0"/>
      <w:marTop w:val="0"/>
      <w:marBottom w:val="0"/>
      <w:divBdr>
        <w:top w:val="none" w:sz="0" w:space="0" w:color="auto"/>
        <w:left w:val="none" w:sz="0" w:space="0" w:color="auto"/>
        <w:bottom w:val="none" w:sz="0" w:space="0" w:color="auto"/>
        <w:right w:val="none" w:sz="0" w:space="0" w:color="auto"/>
      </w:divBdr>
    </w:div>
    <w:div w:id="2072344004">
      <w:marLeft w:val="0"/>
      <w:marRight w:val="0"/>
      <w:marTop w:val="0"/>
      <w:marBottom w:val="0"/>
      <w:divBdr>
        <w:top w:val="none" w:sz="0" w:space="0" w:color="auto"/>
        <w:left w:val="none" w:sz="0" w:space="0" w:color="auto"/>
        <w:bottom w:val="none" w:sz="0" w:space="0" w:color="auto"/>
        <w:right w:val="none" w:sz="0" w:space="0" w:color="auto"/>
      </w:divBdr>
    </w:div>
    <w:div w:id="2072344005">
      <w:marLeft w:val="0"/>
      <w:marRight w:val="0"/>
      <w:marTop w:val="0"/>
      <w:marBottom w:val="0"/>
      <w:divBdr>
        <w:top w:val="none" w:sz="0" w:space="0" w:color="auto"/>
        <w:left w:val="none" w:sz="0" w:space="0" w:color="auto"/>
        <w:bottom w:val="none" w:sz="0" w:space="0" w:color="auto"/>
        <w:right w:val="none" w:sz="0" w:space="0" w:color="auto"/>
      </w:divBdr>
    </w:div>
    <w:div w:id="2072344006">
      <w:marLeft w:val="0"/>
      <w:marRight w:val="0"/>
      <w:marTop w:val="0"/>
      <w:marBottom w:val="0"/>
      <w:divBdr>
        <w:top w:val="none" w:sz="0" w:space="0" w:color="auto"/>
        <w:left w:val="none" w:sz="0" w:space="0" w:color="auto"/>
        <w:bottom w:val="none" w:sz="0" w:space="0" w:color="auto"/>
        <w:right w:val="none" w:sz="0" w:space="0" w:color="auto"/>
      </w:divBdr>
    </w:div>
    <w:div w:id="2072344007">
      <w:marLeft w:val="0"/>
      <w:marRight w:val="0"/>
      <w:marTop w:val="0"/>
      <w:marBottom w:val="0"/>
      <w:divBdr>
        <w:top w:val="none" w:sz="0" w:space="0" w:color="auto"/>
        <w:left w:val="none" w:sz="0" w:space="0" w:color="auto"/>
        <w:bottom w:val="none" w:sz="0" w:space="0" w:color="auto"/>
        <w:right w:val="none" w:sz="0" w:space="0" w:color="auto"/>
      </w:divBdr>
    </w:div>
    <w:div w:id="2072344008">
      <w:marLeft w:val="0"/>
      <w:marRight w:val="0"/>
      <w:marTop w:val="0"/>
      <w:marBottom w:val="0"/>
      <w:divBdr>
        <w:top w:val="none" w:sz="0" w:space="0" w:color="auto"/>
        <w:left w:val="none" w:sz="0" w:space="0" w:color="auto"/>
        <w:bottom w:val="none" w:sz="0" w:space="0" w:color="auto"/>
        <w:right w:val="none" w:sz="0" w:space="0" w:color="auto"/>
      </w:divBdr>
    </w:div>
    <w:div w:id="2072344009">
      <w:marLeft w:val="0"/>
      <w:marRight w:val="0"/>
      <w:marTop w:val="0"/>
      <w:marBottom w:val="0"/>
      <w:divBdr>
        <w:top w:val="none" w:sz="0" w:space="0" w:color="auto"/>
        <w:left w:val="none" w:sz="0" w:space="0" w:color="auto"/>
        <w:bottom w:val="none" w:sz="0" w:space="0" w:color="auto"/>
        <w:right w:val="none" w:sz="0" w:space="0" w:color="auto"/>
      </w:divBdr>
    </w:div>
    <w:div w:id="2072344010">
      <w:marLeft w:val="0"/>
      <w:marRight w:val="0"/>
      <w:marTop w:val="0"/>
      <w:marBottom w:val="0"/>
      <w:divBdr>
        <w:top w:val="none" w:sz="0" w:space="0" w:color="auto"/>
        <w:left w:val="none" w:sz="0" w:space="0" w:color="auto"/>
        <w:bottom w:val="none" w:sz="0" w:space="0" w:color="auto"/>
        <w:right w:val="none" w:sz="0" w:space="0" w:color="auto"/>
      </w:divBdr>
    </w:div>
    <w:div w:id="2072344011">
      <w:marLeft w:val="0"/>
      <w:marRight w:val="0"/>
      <w:marTop w:val="0"/>
      <w:marBottom w:val="0"/>
      <w:divBdr>
        <w:top w:val="none" w:sz="0" w:space="0" w:color="auto"/>
        <w:left w:val="none" w:sz="0" w:space="0" w:color="auto"/>
        <w:bottom w:val="none" w:sz="0" w:space="0" w:color="auto"/>
        <w:right w:val="none" w:sz="0" w:space="0" w:color="auto"/>
      </w:divBdr>
    </w:div>
    <w:div w:id="2072344012">
      <w:marLeft w:val="0"/>
      <w:marRight w:val="0"/>
      <w:marTop w:val="0"/>
      <w:marBottom w:val="0"/>
      <w:divBdr>
        <w:top w:val="none" w:sz="0" w:space="0" w:color="auto"/>
        <w:left w:val="none" w:sz="0" w:space="0" w:color="auto"/>
        <w:bottom w:val="none" w:sz="0" w:space="0" w:color="auto"/>
        <w:right w:val="none" w:sz="0" w:space="0" w:color="auto"/>
      </w:divBdr>
    </w:div>
    <w:div w:id="2072344013">
      <w:marLeft w:val="0"/>
      <w:marRight w:val="0"/>
      <w:marTop w:val="0"/>
      <w:marBottom w:val="0"/>
      <w:divBdr>
        <w:top w:val="none" w:sz="0" w:space="0" w:color="auto"/>
        <w:left w:val="none" w:sz="0" w:space="0" w:color="auto"/>
        <w:bottom w:val="none" w:sz="0" w:space="0" w:color="auto"/>
        <w:right w:val="none" w:sz="0" w:space="0" w:color="auto"/>
      </w:divBdr>
    </w:div>
    <w:div w:id="2072344014">
      <w:marLeft w:val="0"/>
      <w:marRight w:val="0"/>
      <w:marTop w:val="0"/>
      <w:marBottom w:val="0"/>
      <w:divBdr>
        <w:top w:val="none" w:sz="0" w:space="0" w:color="auto"/>
        <w:left w:val="none" w:sz="0" w:space="0" w:color="auto"/>
        <w:bottom w:val="none" w:sz="0" w:space="0" w:color="auto"/>
        <w:right w:val="none" w:sz="0" w:space="0" w:color="auto"/>
      </w:divBdr>
    </w:div>
    <w:div w:id="2072344015">
      <w:marLeft w:val="0"/>
      <w:marRight w:val="0"/>
      <w:marTop w:val="0"/>
      <w:marBottom w:val="0"/>
      <w:divBdr>
        <w:top w:val="none" w:sz="0" w:space="0" w:color="auto"/>
        <w:left w:val="none" w:sz="0" w:space="0" w:color="auto"/>
        <w:bottom w:val="none" w:sz="0" w:space="0" w:color="auto"/>
        <w:right w:val="none" w:sz="0" w:space="0" w:color="auto"/>
      </w:divBdr>
    </w:div>
    <w:div w:id="2072344016">
      <w:marLeft w:val="0"/>
      <w:marRight w:val="0"/>
      <w:marTop w:val="0"/>
      <w:marBottom w:val="0"/>
      <w:divBdr>
        <w:top w:val="none" w:sz="0" w:space="0" w:color="auto"/>
        <w:left w:val="none" w:sz="0" w:space="0" w:color="auto"/>
        <w:bottom w:val="none" w:sz="0" w:space="0" w:color="auto"/>
        <w:right w:val="none" w:sz="0" w:space="0" w:color="auto"/>
      </w:divBdr>
    </w:div>
    <w:div w:id="2072344017">
      <w:marLeft w:val="0"/>
      <w:marRight w:val="0"/>
      <w:marTop w:val="0"/>
      <w:marBottom w:val="0"/>
      <w:divBdr>
        <w:top w:val="none" w:sz="0" w:space="0" w:color="auto"/>
        <w:left w:val="none" w:sz="0" w:space="0" w:color="auto"/>
        <w:bottom w:val="none" w:sz="0" w:space="0" w:color="auto"/>
        <w:right w:val="none" w:sz="0" w:space="0" w:color="auto"/>
      </w:divBdr>
    </w:div>
    <w:div w:id="2072344018">
      <w:marLeft w:val="0"/>
      <w:marRight w:val="0"/>
      <w:marTop w:val="0"/>
      <w:marBottom w:val="0"/>
      <w:divBdr>
        <w:top w:val="none" w:sz="0" w:space="0" w:color="auto"/>
        <w:left w:val="none" w:sz="0" w:space="0" w:color="auto"/>
        <w:bottom w:val="none" w:sz="0" w:space="0" w:color="auto"/>
        <w:right w:val="none" w:sz="0" w:space="0" w:color="auto"/>
      </w:divBdr>
    </w:div>
    <w:div w:id="2072344019">
      <w:marLeft w:val="0"/>
      <w:marRight w:val="0"/>
      <w:marTop w:val="0"/>
      <w:marBottom w:val="0"/>
      <w:divBdr>
        <w:top w:val="none" w:sz="0" w:space="0" w:color="auto"/>
        <w:left w:val="none" w:sz="0" w:space="0" w:color="auto"/>
        <w:bottom w:val="none" w:sz="0" w:space="0" w:color="auto"/>
        <w:right w:val="none" w:sz="0" w:space="0" w:color="auto"/>
      </w:divBdr>
    </w:div>
    <w:div w:id="2072344020">
      <w:marLeft w:val="0"/>
      <w:marRight w:val="0"/>
      <w:marTop w:val="0"/>
      <w:marBottom w:val="0"/>
      <w:divBdr>
        <w:top w:val="none" w:sz="0" w:space="0" w:color="auto"/>
        <w:left w:val="none" w:sz="0" w:space="0" w:color="auto"/>
        <w:bottom w:val="none" w:sz="0" w:space="0" w:color="auto"/>
        <w:right w:val="none" w:sz="0" w:space="0" w:color="auto"/>
      </w:divBdr>
    </w:div>
    <w:div w:id="2072344021">
      <w:marLeft w:val="0"/>
      <w:marRight w:val="0"/>
      <w:marTop w:val="0"/>
      <w:marBottom w:val="0"/>
      <w:divBdr>
        <w:top w:val="none" w:sz="0" w:space="0" w:color="auto"/>
        <w:left w:val="none" w:sz="0" w:space="0" w:color="auto"/>
        <w:bottom w:val="none" w:sz="0" w:space="0" w:color="auto"/>
        <w:right w:val="none" w:sz="0" w:space="0" w:color="auto"/>
      </w:divBdr>
    </w:div>
    <w:div w:id="2072344022">
      <w:marLeft w:val="0"/>
      <w:marRight w:val="0"/>
      <w:marTop w:val="0"/>
      <w:marBottom w:val="0"/>
      <w:divBdr>
        <w:top w:val="none" w:sz="0" w:space="0" w:color="auto"/>
        <w:left w:val="none" w:sz="0" w:space="0" w:color="auto"/>
        <w:bottom w:val="none" w:sz="0" w:space="0" w:color="auto"/>
        <w:right w:val="none" w:sz="0" w:space="0" w:color="auto"/>
      </w:divBdr>
    </w:div>
    <w:div w:id="2072344023">
      <w:marLeft w:val="0"/>
      <w:marRight w:val="0"/>
      <w:marTop w:val="0"/>
      <w:marBottom w:val="0"/>
      <w:divBdr>
        <w:top w:val="none" w:sz="0" w:space="0" w:color="auto"/>
        <w:left w:val="none" w:sz="0" w:space="0" w:color="auto"/>
        <w:bottom w:val="none" w:sz="0" w:space="0" w:color="auto"/>
        <w:right w:val="none" w:sz="0" w:space="0" w:color="auto"/>
      </w:divBdr>
    </w:div>
    <w:div w:id="2072344024">
      <w:marLeft w:val="0"/>
      <w:marRight w:val="0"/>
      <w:marTop w:val="0"/>
      <w:marBottom w:val="0"/>
      <w:divBdr>
        <w:top w:val="none" w:sz="0" w:space="0" w:color="auto"/>
        <w:left w:val="none" w:sz="0" w:space="0" w:color="auto"/>
        <w:bottom w:val="none" w:sz="0" w:space="0" w:color="auto"/>
        <w:right w:val="none" w:sz="0" w:space="0" w:color="auto"/>
      </w:divBdr>
    </w:div>
    <w:div w:id="2072344025">
      <w:marLeft w:val="0"/>
      <w:marRight w:val="0"/>
      <w:marTop w:val="0"/>
      <w:marBottom w:val="0"/>
      <w:divBdr>
        <w:top w:val="none" w:sz="0" w:space="0" w:color="auto"/>
        <w:left w:val="none" w:sz="0" w:space="0" w:color="auto"/>
        <w:bottom w:val="none" w:sz="0" w:space="0" w:color="auto"/>
        <w:right w:val="none" w:sz="0" w:space="0" w:color="auto"/>
      </w:divBdr>
    </w:div>
    <w:div w:id="2072344026">
      <w:marLeft w:val="0"/>
      <w:marRight w:val="0"/>
      <w:marTop w:val="0"/>
      <w:marBottom w:val="0"/>
      <w:divBdr>
        <w:top w:val="none" w:sz="0" w:space="0" w:color="auto"/>
        <w:left w:val="none" w:sz="0" w:space="0" w:color="auto"/>
        <w:bottom w:val="none" w:sz="0" w:space="0" w:color="auto"/>
        <w:right w:val="none" w:sz="0" w:space="0" w:color="auto"/>
      </w:divBdr>
    </w:div>
    <w:div w:id="2072344027">
      <w:marLeft w:val="0"/>
      <w:marRight w:val="0"/>
      <w:marTop w:val="0"/>
      <w:marBottom w:val="0"/>
      <w:divBdr>
        <w:top w:val="none" w:sz="0" w:space="0" w:color="auto"/>
        <w:left w:val="none" w:sz="0" w:space="0" w:color="auto"/>
        <w:bottom w:val="none" w:sz="0" w:space="0" w:color="auto"/>
        <w:right w:val="none" w:sz="0" w:space="0" w:color="auto"/>
      </w:divBdr>
    </w:div>
    <w:div w:id="2072344028">
      <w:marLeft w:val="0"/>
      <w:marRight w:val="0"/>
      <w:marTop w:val="0"/>
      <w:marBottom w:val="0"/>
      <w:divBdr>
        <w:top w:val="none" w:sz="0" w:space="0" w:color="auto"/>
        <w:left w:val="none" w:sz="0" w:space="0" w:color="auto"/>
        <w:bottom w:val="none" w:sz="0" w:space="0" w:color="auto"/>
        <w:right w:val="none" w:sz="0" w:space="0" w:color="auto"/>
      </w:divBdr>
    </w:div>
    <w:div w:id="2072344029">
      <w:marLeft w:val="0"/>
      <w:marRight w:val="0"/>
      <w:marTop w:val="0"/>
      <w:marBottom w:val="0"/>
      <w:divBdr>
        <w:top w:val="none" w:sz="0" w:space="0" w:color="auto"/>
        <w:left w:val="none" w:sz="0" w:space="0" w:color="auto"/>
        <w:bottom w:val="none" w:sz="0" w:space="0" w:color="auto"/>
        <w:right w:val="none" w:sz="0" w:space="0" w:color="auto"/>
      </w:divBdr>
    </w:div>
    <w:div w:id="2072344030">
      <w:marLeft w:val="0"/>
      <w:marRight w:val="0"/>
      <w:marTop w:val="0"/>
      <w:marBottom w:val="0"/>
      <w:divBdr>
        <w:top w:val="none" w:sz="0" w:space="0" w:color="auto"/>
        <w:left w:val="none" w:sz="0" w:space="0" w:color="auto"/>
        <w:bottom w:val="none" w:sz="0" w:space="0" w:color="auto"/>
        <w:right w:val="none" w:sz="0" w:space="0" w:color="auto"/>
      </w:divBdr>
    </w:div>
    <w:div w:id="2072344031">
      <w:marLeft w:val="0"/>
      <w:marRight w:val="0"/>
      <w:marTop w:val="0"/>
      <w:marBottom w:val="0"/>
      <w:divBdr>
        <w:top w:val="none" w:sz="0" w:space="0" w:color="auto"/>
        <w:left w:val="none" w:sz="0" w:space="0" w:color="auto"/>
        <w:bottom w:val="none" w:sz="0" w:space="0" w:color="auto"/>
        <w:right w:val="none" w:sz="0" w:space="0" w:color="auto"/>
      </w:divBdr>
    </w:div>
    <w:div w:id="2072344032">
      <w:marLeft w:val="0"/>
      <w:marRight w:val="0"/>
      <w:marTop w:val="0"/>
      <w:marBottom w:val="0"/>
      <w:divBdr>
        <w:top w:val="none" w:sz="0" w:space="0" w:color="auto"/>
        <w:left w:val="none" w:sz="0" w:space="0" w:color="auto"/>
        <w:bottom w:val="none" w:sz="0" w:space="0" w:color="auto"/>
        <w:right w:val="none" w:sz="0" w:space="0" w:color="auto"/>
      </w:divBdr>
    </w:div>
    <w:div w:id="2072344033">
      <w:marLeft w:val="0"/>
      <w:marRight w:val="0"/>
      <w:marTop w:val="0"/>
      <w:marBottom w:val="0"/>
      <w:divBdr>
        <w:top w:val="none" w:sz="0" w:space="0" w:color="auto"/>
        <w:left w:val="none" w:sz="0" w:space="0" w:color="auto"/>
        <w:bottom w:val="none" w:sz="0" w:space="0" w:color="auto"/>
        <w:right w:val="none" w:sz="0" w:space="0" w:color="auto"/>
      </w:divBdr>
    </w:div>
    <w:div w:id="2072344034">
      <w:marLeft w:val="0"/>
      <w:marRight w:val="0"/>
      <w:marTop w:val="0"/>
      <w:marBottom w:val="0"/>
      <w:divBdr>
        <w:top w:val="none" w:sz="0" w:space="0" w:color="auto"/>
        <w:left w:val="none" w:sz="0" w:space="0" w:color="auto"/>
        <w:bottom w:val="none" w:sz="0" w:space="0" w:color="auto"/>
        <w:right w:val="none" w:sz="0" w:space="0" w:color="auto"/>
      </w:divBdr>
    </w:div>
    <w:div w:id="2072344035">
      <w:marLeft w:val="0"/>
      <w:marRight w:val="0"/>
      <w:marTop w:val="0"/>
      <w:marBottom w:val="0"/>
      <w:divBdr>
        <w:top w:val="none" w:sz="0" w:space="0" w:color="auto"/>
        <w:left w:val="none" w:sz="0" w:space="0" w:color="auto"/>
        <w:bottom w:val="none" w:sz="0" w:space="0" w:color="auto"/>
        <w:right w:val="none" w:sz="0" w:space="0" w:color="auto"/>
      </w:divBdr>
    </w:div>
    <w:div w:id="2072344036">
      <w:marLeft w:val="0"/>
      <w:marRight w:val="0"/>
      <w:marTop w:val="0"/>
      <w:marBottom w:val="0"/>
      <w:divBdr>
        <w:top w:val="none" w:sz="0" w:space="0" w:color="auto"/>
        <w:left w:val="none" w:sz="0" w:space="0" w:color="auto"/>
        <w:bottom w:val="none" w:sz="0" w:space="0" w:color="auto"/>
        <w:right w:val="none" w:sz="0" w:space="0" w:color="auto"/>
      </w:divBdr>
    </w:div>
    <w:div w:id="2072344037">
      <w:marLeft w:val="0"/>
      <w:marRight w:val="0"/>
      <w:marTop w:val="0"/>
      <w:marBottom w:val="0"/>
      <w:divBdr>
        <w:top w:val="none" w:sz="0" w:space="0" w:color="auto"/>
        <w:left w:val="none" w:sz="0" w:space="0" w:color="auto"/>
        <w:bottom w:val="none" w:sz="0" w:space="0" w:color="auto"/>
        <w:right w:val="none" w:sz="0" w:space="0" w:color="auto"/>
      </w:divBdr>
    </w:div>
    <w:div w:id="2072344038">
      <w:marLeft w:val="0"/>
      <w:marRight w:val="0"/>
      <w:marTop w:val="0"/>
      <w:marBottom w:val="0"/>
      <w:divBdr>
        <w:top w:val="none" w:sz="0" w:space="0" w:color="auto"/>
        <w:left w:val="none" w:sz="0" w:space="0" w:color="auto"/>
        <w:bottom w:val="none" w:sz="0" w:space="0" w:color="auto"/>
        <w:right w:val="none" w:sz="0" w:space="0" w:color="auto"/>
      </w:divBdr>
    </w:div>
    <w:div w:id="2072344039">
      <w:marLeft w:val="0"/>
      <w:marRight w:val="0"/>
      <w:marTop w:val="0"/>
      <w:marBottom w:val="0"/>
      <w:divBdr>
        <w:top w:val="none" w:sz="0" w:space="0" w:color="auto"/>
        <w:left w:val="none" w:sz="0" w:space="0" w:color="auto"/>
        <w:bottom w:val="none" w:sz="0" w:space="0" w:color="auto"/>
        <w:right w:val="none" w:sz="0" w:space="0" w:color="auto"/>
      </w:divBdr>
    </w:div>
    <w:div w:id="2072344040">
      <w:marLeft w:val="0"/>
      <w:marRight w:val="0"/>
      <w:marTop w:val="0"/>
      <w:marBottom w:val="0"/>
      <w:divBdr>
        <w:top w:val="none" w:sz="0" w:space="0" w:color="auto"/>
        <w:left w:val="none" w:sz="0" w:space="0" w:color="auto"/>
        <w:bottom w:val="none" w:sz="0" w:space="0" w:color="auto"/>
        <w:right w:val="none" w:sz="0" w:space="0" w:color="auto"/>
      </w:divBdr>
    </w:div>
    <w:div w:id="2072344041">
      <w:marLeft w:val="0"/>
      <w:marRight w:val="0"/>
      <w:marTop w:val="0"/>
      <w:marBottom w:val="0"/>
      <w:divBdr>
        <w:top w:val="none" w:sz="0" w:space="0" w:color="auto"/>
        <w:left w:val="none" w:sz="0" w:space="0" w:color="auto"/>
        <w:bottom w:val="none" w:sz="0" w:space="0" w:color="auto"/>
        <w:right w:val="none" w:sz="0" w:space="0" w:color="auto"/>
      </w:divBdr>
    </w:div>
    <w:div w:id="2072344042">
      <w:marLeft w:val="0"/>
      <w:marRight w:val="0"/>
      <w:marTop w:val="0"/>
      <w:marBottom w:val="0"/>
      <w:divBdr>
        <w:top w:val="none" w:sz="0" w:space="0" w:color="auto"/>
        <w:left w:val="none" w:sz="0" w:space="0" w:color="auto"/>
        <w:bottom w:val="none" w:sz="0" w:space="0" w:color="auto"/>
        <w:right w:val="none" w:sz="0" w:space="0" w:color="auto"/>
      </w:divBdr>
    </w:div>
    <w:div w:id="2072344043">
      <w:marLeft w:val="0"/>
      <w:marRight w:val="0"/>
      <w:marTop w:val="0"/>
      <w:marBottom w:val="0"/>
      <w:divBdr>
        <w:top w:val="none" w:sz="0" w:space="0" w:color="auto"/>
        <w:left w:val="none" w:sz="0" w:space="0" w:color="auto"/>
        <w:bottom w:val="none" w:sz="0" w:space="0" w:color="auto"/>
        <w:right w:val="none" w:sz="0" w:space="0" w:color="auto"/>
      </w:divBdr>
    </w:div>
    <w:div w:id="2072344044">
      <w:marLeft w:val="0"/>
      <w:marRight w:val="0"/>
      <w:marTop w:val="0"/>
      <w:marBottom w:val="0"/>
      <w:divBdr>
        <w:top w:val="none" w:sz="0" w:space="0" w:color="auto"/>
        <w:left w:val="none" w:sz="0" w:space="0" w:color="auto"/>
        <w:bottom w:val="none" w:sz="0" w:space="0" w:color="auto"/>
        <w:right w:val="none" w:sz="0" w:space="0" w:color="auto"/>
      </w:divBdr>
    </w:div>
    <w:div w:id="2072344045">
      <w:marLeft w:val="0"/>
      <w:marRight w:val="0"/>
      <w:marTop w:val="0"/>
      <w:marBottom w:val="0"/>
      <w:divBdr>
        <w:top w:val="none" w:sz="0" w:space="0" w:color="auto"/>
        <w:left w:val="none" w:sz="0" w:space="0" w:color="auto"/>
        <w:bottom w:val="none" w:sz="0" w:space="0" w:color="auto"/>
        <w:right w:val="none" w:sz="0" w:space="0" w:color="auto"/>
      </w:divBdr>
    </w:div>
    <w:div w:id="2072344046">
      <w:marLeft w:val="0"/>
      <w:marRight w:val="0"/>
      <w:marTop w:val="0"/>
      <w:marBottom w:val="0"/>
      <w:divBdr>
        <w:top w:val="none" w:sz="0" w:space="0" w:color="auto"/>
        <w:left w:val="none" w:sz="0" w:space="0" w:color="auto"/>
        <w:bottom w:val="none" w:sz="0" w:space="0" w:color="auto"/>
        <w:right w:val="none" w:sz="0" w:space="0" w:color="auto"/>
      </w:divBdr>
    </w:div>
    <w:div w:id="2072344047">
      <w:marLeft w:val="0"/>
      <w:marRight w:val="0"/>
      <w:marTop w:val="0"/>
      <w:marBottom w:val="0"/>
      <w:divBdr>
        <w:top w:val="none" w:sz="0" w:space="0" w:color="auto"/>
        <w:left w:val="none" w:sz="0" w:space="0" w:color="auto"/>
        <w:bottom w:val="none" w:sz="0" w:space="0" w:color="auto"/>
        <w:right w:val="none" w:sz="0" w:space="0" w:color="auto"/>
      </w:divBdr>
    </w:div>
    <w:div w:id="2072344048">
      <w:marLeft w:val="0"/>
      <w:marRight w:val="0"/>
      <w:marTop w:val="0"/>
      <w:marBottom w:val="0"/>
      <w:divBdr>
        <w:top w:val="none" w:sz="0" w:space="0" w:color="auto"/>
        <w:left w:val="none" w:sz="0" w:space="0" w:color="auto"/>
        <w:bottom w:val="none" w:sz="0" w:space="0" w:color="auto"/>
        <w:right w:val="none" w:sz="0" w:space="0" w:color="auto"/>
      </w:divBdr>
    </w:div>
    <w:div w:id="2072344049">
      <w:marLeft w:val="0"/>
      <w:marRight w:val="0"/>
      <w:marTop w:val="0"/>
      <w:marBottom w:val="0"/>
      <w:divBdr>
        <w:top w:val="none" w:sz="0" w:space="0" w:color="auto"/>
        <w:left w:val="none" w:sz="0" w:space="0" w:color="auto"/>
        <w:bottom w:val="none" w:sz="0" w:space="0" w:color="auto"/>
        <w:right w:val="none" w:sz="0" w:space="0" w:color="auto"/>
      </w:divBdr>
    </w:div>
    <w:div w:id="2122800665">
      <w:bodyDiv w:val="1"/>
      <w:marLeft w:val="0"/>
      <w:marRight w:val="0"/>
      <w:marTop w:val="0"/>
      <w:marBottom w:val="0"/>
      <w:divBdr>
        <w:top w:val="none" w:sz="0" w:space="0" w:color="auto"/>
        <w:left w:val="none" w:sz="0" w:space="0" w:color="auto"/>
        <w:bottom w:val="none" w:sz="0" w:space="0" w:color="auto"/>
        <w:right w:val="none" w:sz="0" w:space="0" w:color="auto"/>
      </w:divBdr>
    </w:div>
    <w:div w:id="214619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A52018SC0181" TargetMode="External"/><Relationship Id="rId2" Type="http://schemas.openxmlformats.org/officeDocument/2006/relationships/hyperlink" Target="https://ec.europa.eu/regional_policy/en/newsroom/news/2021/09/20-09-2021-project-selection-the-economic-appraisal-vademecum" TargetMode="External"/><Relationship Id="rId1" Type="http://schemas.openxmlformats.org/officeDocument/2006/relationships/hyperlink" Target="http://ec.europa.eu/regional_policy/sources/docgener/studies/pdf/cba_guide.pdf" TargetMode="External"/><Relationship Id="rId4" Type="http://schemas.openxmlformats.org/officeDocument/2006/relationships/hyperlink" Target="https://www.cfla.gov.lv/lv/izmaksu-un-ieguvumu-analiz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B74D7CEF7991449DB399429E580DE9" ma:contentTypeVersion="11" ma:contentTypeDescription="Create a new document." ma:contentTypeScope="" ma:versionID="57ccfbc5c6b0129542c90ab9f0222409">
  <xsd:schema xmlns:xsd="http://www.w3.org/2001/XMLSchema" xmlns:xs="http://www.w3.org/2001/XMLSchema" xmlns:p="http://schemas.microsoft.com/office/2006/metadata/properties" xmlns:ns3="f5eebca2-7b0a-470f-a28f-79d24ecfb697" xmlns:ns4="1e501820-6607-43a2-bd31-06905db68dfa" targetNamespace="http://schemas.microsoft.com/office/2006/metadata/properties" ma:root="true" ma:fieldsID="f48d829fc3b40c6776f7ef8c63a0d019" ns3:_="" ns4:_="">
    <xsd:import namespace="f5eebca2-7b0a-470f-a28f-79d24ecfb697"/>
    <xsd:import namespace="1e501820-6607-43a2-bd31-06905db68df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ebca2-7b0a-470f-a28f-79d24ecfb6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501820-6607-43a2-bd31-06905db68df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FB78DD-3B4C-4624-9B75-90340F6B92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965686-369E-49DA-93C7-E03B7BE29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ebca2-7b0a-470f-a28f-79d24ecfb697"/>
    <ds:schemaRef ds:uri="1e501820-6607-43a2-bd31-06905db68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580483-A414-4A1C-8E54-FF0C2AEEAEF9}">
  <ds:schemaRefs>
    <ds:schemaRef ds:uri="http://schemas.openxmlformats.org/officeDocument/2006/bibliography"/>
  </ds:schemaRefs>
</ds:datastoreItem>
</file>

<file path=customXml/itemProps4.xml><?xml version="1.0" encoding="utf-8"?>
<ds:datastoreItem xmlns:ds="http://schemas.openxmlformats.org/officeDocument/2006/customXml" ds:itemID="{1EA24824-8520-42EE-A21D-D75F597AE0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3779</Words>
  <Characters>27267</Characters>
  <Application>Microsoft Office Word</Application>
  <DocSecurity>0</DocSecurity>
  <Lines>227</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SIA Bizpro</Company>
  <LinksUpToDate>false</LinksUpToDate>
  <CharactersWithSpaces>30985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Normunds Čiževskis</dc:creator>
  <cp:lastModifiedBy>Olita Magone</cp:lastModifiedBy>
  <cp:revision>2</cp:revision>
  <cp:lastPrinted>2016-08-17T13:36:00Z</cp:lastPrinted>
  <dcterms:created xsi:type="dcterms:W3CDTF">2025-02-25T07:38:00Z</dcterms:created>
  <dcterms:modified xsi:type="dcterms:W3CDTF">2025-02-25T07:38:00Z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0x0101005EB74D7CEF7991449DB399429E580DE9</vt:lpwstr>
  </property>
</Properties>
</file>