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22-TA-1805: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un Eiropas Savienības atbalsta piešķiršanu pasākumā "Kompensācijas zivsaimniecībā ārkārtas gadījumos"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"Kompensācijas zivsaimniecībā ārkārtas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virzība būtu atbalstāma pēc EJZAF Rīcības programmas zivsaimniecības attīstībai 2021.–2027. gadam apstiprināšanas Eiropas Komisijā, attiecīgi lūdzam anotācijā sniegt informāciju, kad tā ir apstiprināta.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skatīt pievienoto 3. punktu MK sēdes protokollēmuma projektā un papildināto informāciju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"Kompensācijas zivsaimniecībā ārkārtas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atbalsta dienests pēc saskaņošanas ar Zemkopības ministriju oficiālajā izdevumā "Latvijas Vēstnesis" publicē paziņojumu par projektu iesniegumu pieņemšanu vismaz piecas darbdienas pirms tās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 punkta redakcija neveido loģisku teikumu. Nav saprotams, kas ir domāts ar vārdiem "pirms tās uzsākšanas". Pamatojoties uz iepriekš minēto, lūdzam precizēt noteikumu projekta 3. punkta redakciju, skaidri norādot pēc kādas darbības uzsākšanas Lauku atbalsta dienests publicē paziņojumu par projektu iesniegumu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atbalsta dienests pēc saskaņošanas ar Zemkopības ministriju oficiālajā izdevumā "Latvijas Vēstnesis" publicē paziņojumu par projektu iesniegumu pieņemšanu vismaz piecas darbdienas pirms projektu iesniegumu pieņemšanas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2. punktu un Komisijas 2022. gada 25. marta Īstenošanas lēmumu (ES) </w:t>
            </w:r>
            <w:r w:rsidR="00000000" w:rsidRPr="00000000" w:rsidDel="00000000">
              <w:rPr>
                <w:rtl w:val="0"/>
              </w:rPr>
              <w:t xml:space="preserve">2022/500</w:t>
            </w:r>
            <w:r w:rsidR="00000000" w:rsidRPr="00000000" w:rsidDel="00000000">
              <w:rPr>
                <w:rtl w:val="0"/>
              </w:rPr>
              <w:t xml:space="preserve">, ar kuru Krievijas militāro agresiju pret Ukrainu nosaka par ārkārtas notikumu, kas rada būtiskus tirgus traucējumus;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 apakšpunktā norādīta atsauce uz Komisijas 2022. gada 25. marta Īstenošanas lēmumu (ES) 2022/500, ar kuru Krievijas militāro agresiju pret Ukrainu nosaka par ārkārtas notikumu, kas rada būtiskus tirgus traucējumus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lēmumi ir individuāli tiesību akti, kas rada tiesības un uzliek pienākumus to adresātam. Lēmumi ir tieši piemērojami tiesību akti. Tomēr ne vienmēr lēmumi attiecas tikai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Lēmumas pēc būtības ir adresēts dalībvalstīm, kurā tiek pieņemts, ka Regulas (ES) 2021/1139 26. panta 2. punkta vajadzībām Krievijas 2022. gada 24. februārī sākto militāro agresiju pret Ukrainu nosaka par ārkārtas notikumu, kas rada būtiskus tirgus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nosaka, ka šo Lēmumu piemēro izdevumiem, kurus saskaņā ar šo Lēmumu atļauts atbalstīt, attiecināmi ir tad, ja tie radušies laikposmā no 2022. gada 24. februāra līdz 31. decembrim un apmaksāti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projekta 4. punktu secināms, ka noteikumu projektā ir norādīta vispārēja atsauce uz Lēmumu, paredzot, ka pasākumā publisko finansējumu piešķir saskaņā ar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 minētie finansējuma saņēmēji ir juridiskas personas, attiecīgi šajā gadījumā Lēmums ir adresēts dalībvalstīm, bet dalībvalstij adresētajā lēmumā, iespējams, ir ietvertas normas, kas noteikumu projektā tiek attiecināmas arī uz juridiskajām personām. Lai tikai dalībvalstij saistošā lēmumā ietvertos nosacījumus piemērotu attiecībās ar privātpersonām, t.sk. juridiskajām personām, tie jāpārņem privātpersonām saistošos nacionālajos normatīvajos aktos. Attiecīgi lūdzam izvērtēt, vai noteikumu projekta 4. punktā uzliktais pienākums pasākumā publisko finansējumu piešķir saskaņā ar Lēmumu ir pamatots. Ja noteikumu projekta 4.1. apakšpunktā ietvertais regulējums ievērot Lēmumā noteikto attiecināms uz juridiskām personām un šāds nosacījums ir pamatots un nepieciešamas, tad Lēmums jāpārņem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4.1. apakšpunktā svītrot atsauci uz iepriekš minēto Lēmumu un nepieciešamības gadījumā attiecīgā Lēmuma normas, kuras nepieciešams padarīt saistošas juridiskajām personām, pārņemt (iestrādāt) noteikumu projektā līdzīgi kā Eiropas Savienības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 apakšpunktā norādīta atsauce uz Komisijas 2022. gada 25. marta Īstenošanas lēmumu (ES) 2022/500, ar kuru Krievijas militāro agresiju pret Ukrainu nosaka par ārkārtas notikumu, kas rada būtiskus tirgus traucējumus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lēmumi ir individuāli tiesību akti, kas rada tiesības un uzliek pienākumus to adresātam. Lēmumi ir tieši piemērojami tiesību akti. Tomēr ne vienmēr lēmumi attiecas tikai uz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Lēmumas pēc būtības ir adresēts dalībvalstīm, kurā tiek pieņemts, ka Regulas (ES) 2021/1139 26. panta 2. punkta vajadzībām Krievijas 2022. gada 24. februārī sākto militāro agresiju pret Ukrainu nosaka par ārkārtas notikumu, kas rada būtiskus tirgus traucējumus.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nosaka, ka šo Lēmumu piemēro izdevumiem, kurus saskaņā ar šo Lēmumu atļauts atbalstīt, attiecināmi ir tad, ja tie radušies laikposmā no 2022. gada 24. februāra līdz 31. decembrim un apmaksāti līdz 2029.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projekta 4. punktu secināms, ka noteikumu projektā ir norādīta vispārēja atsauce uz Lēmumu, paredzot, ka pasākumā publisko finansējumu piešķir saskaņā ar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iepriekš minētie finansējuma saņēmēji ir juridiskas personas, attiecīgi šajā gadījumā Lēmums ir adresēts dalībvalstīm, bet dalībvalstij adresētajā lēmumā, iespējams, ir ietvertas normas, kas noteikumu projektā tiek attiecināmas arī uz juridiskajām personām. Lai tikai dalībvalstij saistošā lēmumā ietvertos nosacījumus piemērotu attiecībās ar privātpersonām, t.sk. juridiskajām personām, tie jāpārņem privātpersonām saistošos nacionālajos normatīvajos aktos. Attiecīgi lūdzam izvērtēt, vai noteikumu projekta 4. punktā uzliktais pienākums pasākumā publisko finansējumu piešķir saskaņā ar Lēmumu ir pamatots. Ja noteikumu projekta 4.1. apakšpunktā ietvertais regulējums ievērot Lēmumā noteikto attiecināms uz juridiskām personām un šāds nosacījums ir pamatots un nepieciešamas, tad Lēmums jāpārņem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4.1. apakšpunktā svītrot atsauci uz iepriekš minēto Lēmumu un nepieciešamības gadījumā attiecīgā Lēmuma normas, kuras nepieciešams padarīt saistošas juridiskajām personām, pārņemt (iestrādāt) noteikumu projektā līdzīgi kā Eiropas Savienības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apakšpunktā svītrots Komisijas 2022. gada 25. marta Īstenošanas lēmums (ES) 2022/500, ar kuru Krievijas militāro agresiju pret Ukrainu nosaka par ārkārtas notikumu, kas rada būtiskus tirgus 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sarindojot projektu iesniegumus atbilstoši šo noteikumu </w:t>
            </w:r>
            <w:r w:rsidR="00000000" w:rsidRPr="00000000" w:rsidDel="00000000">
              <w:rPr>
                <w:rtl w:val="0"/>
              </w:rPr>
              <w:t xml:space="preserve">1.</w:t>
            </w:r>
            <w:r w:rsidR="00000000" w:rsidRPr="00000000" w:rsidDel="00000000">
              <w:rPr>
                <w:rtl w:val="0"/>
              </w:rPr>
              <w:t xml:space="preserve"> pielikumā minētajam projektu atlases kritērijam, to atlasē punktu skaits ir vienāds, priekšroka saņemt publisko finansējumu ir pretendentam, kuram pēdējā noslēgtajā gadā bijušas lielākas valsts sociālās apdrošināšanas iemaksas vidēji uz vienu pēdējā noslēgtajā gadā nodarbināto, tostarp pašnodarbināto, personu, dalītas ar 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skaidrot, kāpēc noteikumu projekta 19. punktā paredzēts tieši šāds vērtēšanas nosacījums, t.i., atbalsta pretendentiem gadījumos, kad atlasē punktu skaits ir vienāds, priekšroka saņemt publisko finansējumu ir pretendentam, kuram pēdējā noslēgtajā gadā bijušas lielākas valsts sociālās apdrošināšanas iemaksas vidēji uz vienu pēdējā noslēgtajā gadā nodarbināto, tostarp pašnodarbināto, personu, dalītas ar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Noteikumu projekta 19. punktā minētais vērtēšanas nosacījums ir pārņemts no iepriekšējā plānošanas perioda Rīcības programmas zivsaimniecības attīstībai 2014 - 2020.gadam atbalsta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arī tika saskaņots š.g. 13.aprīļa Zivsaimniecības konsultatīvās padomes sēdē un š.g. 12. maija Rīcības programmas Uzraudzības komitejas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minētais projektu atlases kritērijs tiktu piemērots tikai tādā gadījumā, kad diviem projektiem to atlasē sanāktu vienāds punktu skaits, kam ir ļoti maza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sarindojot projektu iesniegumus atbilstoši šo noteikumu </w:t>
            </w:r>
            <w:r w:rsidR="00000000" w:rsidRPr="00000000" w:rsidDel="00000000">
              <w:rPr>
                <w:rtl w:val="0"/>
              </w:rPr>
              <w:t xml:space="preserve">1.</w:t>
            </w:r>
            <w:r w:rsidR="00000000" w:rsidRPr="00000000" w:rsidDel="00000000">
              <w:rPr>
                <w:rtl w:val="0"/>
              </w:rPr>
              <w:t xml:space="preserve"> pielikumā minētajam projektu atlases kritērijam, to atlasē punktu skaits ir vienāds, priekšroka saņemt publisko finansējumu ir pretendentam, kuram pēdējā noslēgtajā gadā bijušas lielākas valsts sociālās apdrošināšanas iemaksas vidēji uz vienu pēdējā noslēgtajā gadā nodarbināto, tostarp pašnodarbināto, personu, dalītas ar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w:t>
            </w:r>
            <w:r w:rsidR="00000000" w:rsidRPr="00000000" w:rsidDel="00000000">
              <w:rPr>
                <w:rtl w:val="0"/>
              </w:rPr>
              <w:t xml:space="preserve"> punktā minēto eksporta tirgu zaudējumu apliecina pretendenta zivsaimniecības produktu eksporta kopējā apjoma kritums uz Ukrainu, Krieviju vai Baltkrieviju laikposmā no 2022. gada marta līdz jūnijam par vairāk nekā 20 procentiem salīdzinājumā ar 2021. gada attiecīgo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punktā noteikts, ka noteikumu 20. punktā minēto eksporta tirgu zaudējumu apliecina pretendenta zivsaimniecības produktu eksporta kopējā apjoma kritums uz Ukrainu, Krieviju vai Baltkrieviju laikposmā no 2022. gada marta līdz jūnijam par vairāk nekā 20 procentiem salīdzinājumā ar 2021. gada attiecīgo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vērtēts apjoma kritums tieši laikposmā no 2022. gada marta līdz jūnijam, īpaši ņemot vērā Komisijas 2022. gada 25. marta Īstenošanas lēmumu (ES) 2022/500, ar kuru Krievijas militāro agresiju pret Ukrainu nosaka par ārkārtas notikumu, kas rada būtiskus tirgus traucējumus 2. pantā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noteikumu projektā tiek piemērots laikposms sākot ar 2022. gada marta mēnesi un netiek sākts no 2022.gada 24. februāra, lai lieki nesarežģītu pasākuma administrēšanu un īstenošanu. No 24. februāra līdz mēneša beigām paliek tikai 4 dienas un tika nonākts pie secinājuma, ka iekļaujot dažas papildu dienas nevis pilnu mēnesi tiktu lieki sarežģīta pasākuma administrēšana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termiņš no 2022. gada marta līdz jūnijam tika saskaņots ar zivsaimniecības nozari un netika saņemti nekādi iebildumi par minēto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20.</w:t>
            </w:r>
            <w:r w:rsidR="00000000" w:rsidRPr="00000000" w:rsidDel="00000000">
              <w:rPr>
                <w:rtl w:val="0"/>
              </w:rPr>
              <w:t xml:space="preserve"> punktā minēto eksporta tirgu zaudējumu apliecina pretendenta zivsaimniecības produktu eksporta kopējā apjoma kritums uz Ukrainu, Krieviju vai Baltkrieviju laikposmā no 2022. gada marta līdz jūnijam par vairāk nekā 20 procentiem salīdzinājumā ar 2021. gada attiecīgo periodu.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EJZAF Rīcības programmas zivsaimniecības attīstībai 2021.–2027. gadam mērķa ietvaros pasākums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saīsinājumu “EJZF” precizēt uz “EJZAF”, kā arī šī punkta pēdējos 2 teikumus pārcelt uz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22-TA-1805</w:t>
    </w:r>
    <w:r>
      <w:br/>
    </w:r>
    <w:r w:rsidR="00000000" w:rsidRPr="00000000" w:rsidDel="00000000">
      <w:rPr>
        <w:rtl w:val="0"/>
      </w:rPr>
      <w:t xml:space="preserve">01.07.2022. 17.42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22-TA-1805</w:t>
    </w:r>
    <w:r>
      <w:br/>
    </w:r>
    <w:r w:rsidR="00000000" w:rsidRPr="00000000" w:rsidDel="00000000">
      <w:rPr>
        <w:rtl w:val="0"/>
      </w:rPr>
      <w:t xml:space="preserve">01.07.2022. 17.42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Izziņa_22-TA-1805.docx</dc:title>
</cp:coreProperties>
</file>

<file path=docProps/custom.xml><?xml version="1.0" encoding="utf-8"?>
<Properties xmlns="http://schemas.openxmlformats.org/officeDocument/2006/custom-properties" xmlns:vt="http://schemas.openxmlformats.org/officeDocument/2006/docPropsVTypes"/>
</file>