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3D4B" w:rsidR="00A2118E" w:rsidP="000F5C26" w:rsidRDefault="00915076" w14:paraId="55F7819E" w14:textId="1872A2EA">
      <w:pPr>
        <w:spacing w:after="0"/>
        <w:jc w:val="center"/>
        <w:rPr>
          <w:rFonts w:ascii="Cambria" w:hAnsi="Cambria"/>
          <w:b/>
          <w:sz w:val="24"/>
          <w:szCs w:val="24"/>
        </w:rPr>
      </w:pPr>
      <w:r w:rsidRPr="005A3D4B">
        <w:rPr>
          <w:rFonts w:ascii="Cambria" w:hAnsi="Cambria"/>
          <w:b/>
          <w:noProof/>
          <w:color w:val="FF0000"/>
          <w:sz w:val="24"/>
          <w:szCs w:val="24"/>
          <w:lang w:eastAsia="lv-LV"/>
        </w:rPr>
        <w:drawing>
          <wp:anchor distT="0" distB="0" distL="114300" distR="114300" simplePos="0" relativeHeight="251659264" behindDoc="1" locked="0" layoutInCell="1" allowOverlap="1" wp14:editId="0CBEE801" wp14:anchorId="21993BBA">
            <wp:simplePos x="0" y="0"/>
            <wp:positionH relativeFrom="page">
              <wp:align>left</wp:align>
            </wp:positionH>
            <wp:positionV relativeFrom="paragraph">
              <wp:posOffset>-897255</wp:posOffset>
            </wp:positionV>
            <wp:extent cx="7598410" cy="10744200"/>
            <wp:effectExtent l="0" t="0" r="2540" b="0"/>
            <wp:wrapNone/>
            <wp:docPr id="1" name="Picture 1" descr="LAPA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LAPA_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841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E05" w:rsidP="002B1DD1" w:rsidRDefault="001C4E05" w14:paraId="45167727" w14:textId="77777777">
      <w:pPr>
        <w:spacing w:after="0"/>
        <w:rPr>
          <w:rFonts w:ascii="Cambria" w:hAnsi="Cambria"/>
          <w:b/>
          <w:sz w:val="24"/>
          <w:szCs w:val="24"/>
        </w:rPr>
      </w:pPr>
    </w:p>
    <w:p w:rsidR="00A2118E" w:rsidP="00D72EFC" w:rsidRDefault="00A2118E" w14:paraId="66F018DD" w14:textId="368F65E9">
      <w:pPr>
        <w:spacing w:after="0"/>
        <w:jc w:val="center"/>
        <w:rPr>
          <w:rFonts w:ascii="Cambria" w:hAnsi="Cambria"/>
          <w:b/>
          <w:sz w:val="24"/>
          <w:szCs w:val="24"/>
        </w:rPr>
      </w:pPr>
      <w:r w:rsidRPr="005A3D4B">
        <w:rPr>
          <w:rFonts w:ascii="Cambria" w:hAnsi="Cambria"/>
          <w:b/>
          <w:sz w:val="24"/>
          <w:szCs w:val="24"/>
        </w:rPr>
        <w:t>Rīgā</w:t>
      </w:r>
    </w:p>
    <w:p w:rsidRPr="005A3D4B" w:rsidR="001C4E05" w:rsidP="000F5C26" w:rsidRDefault="001C4E05" w14:paraId="53B86546" w14:textId="77777777">
      <w:pPr>
        <w:spacing w:after="0"/>
        <w:jc w:val="right"/>
        <w:rPr>
          <w:rFonts w:ascii="Cambria" w:hAnsi="Cambria"/>
          <w:b/>
          <w:sz w:val="24"/>
          <w:szCs w:val="24"/>
        </w:rPr>
      </w:pPr>
    </w:p>
    <w:p w:rsidR="002C5A07" w:rsidP="00F556D2" w:rsidRDefault="00C43407" w14:paraId="79691402" w14:textId="6AFDE560">
      <w:pPr>
        <w:spacing w:after="0" w:line="240" w:lineRule="auto"/>
        <w:jc w:val="right"/>
        <w:rPr>
          <w:rFonts w:ascii="Cambria" w:hAnsi="Cambria" w:cstheme="minorHAnsi"/>
          <w:b/>
          <w:sz w:val="24"/>
          <w:szCs w:val="24"/>
        </w:rPr>
      </w:pPr>
      <w:r>
        <w:rPr>
          <w:rFonts w:ascii="Cambria" w:hAnsi="Cambria" w:cstheme="minorHAnsi"/>
          <w:b/>
          <w:sz w:val="24"/>
          <w:szCs w:val="24"/>
        </w:rPr>
        <w:t>Satiksmes minist</w:t>
      </w:r>
      <w:r w:rsidR="0097374C">
        <w:rPr>
          <w:rFonts w:ascii="Cambria" w:hAnsi="Cambria" w:cstheme="minorHAnsi"/>
          <w:b/>
          <w:sz w:val="24"/>
          <w:szCs w:val="24"/>
        </w:rPr>
        <w:t>rijai</w:t>
      </w:r>
    </w:p>
    <w:p w:rsidR="00B82177" w:rsidP="00F556D2" w:rsidRDefault="00A7706E" w14:paraId="7C4A9049" w14:textId="5A0E29ED">
      <w:pPr>
        <w:spacing w:after="0" w:line="240" w:lineRule="auto"/>
        <w:jc w:val="right"/>
        <w:rPr>
          <w:rFonts w:ascii="Cambria" w:hAnsi="Cambria" w:cstheme="minorHAnsi"/>
          <w:bCs/>
          <w:sz w:val="24"/>
          <w:szCs w:val="24"/>
        </w:rPr>
      </w:pPr>
      <w:hyperlink w:history="1" r:id="rId9">
        <w:r w:rsidRPr="0012176D" w:rsidR="0097374C">
          <w:rPr>
            <w:rStyle w:val="Hyperlink"/>
            <w:rFonts w:ascii="Cambria" w:hAnsi="Cambria" w:cstheme="minorHAnsi"/>
            <w:bCs/>
            <w:sz w:val="24"/>
            <w:szCs w:val="24"/>
          </w:rPr>
          <w:t>satiksmes.ministrija@sam.gov.lv</w:t>
        </w:r>
      </w:hyperlink>
    </w:p>
    <w:p w:rsidRPr="00631175" w:rsidR="0097374C" w:rsidP="00F556D2" w:rsidRDefault="0097374C" w14:paraId="31DB45D4" w14:textId="77777777">
      <w:pPr>
        <w:spacing w:after="0" w:line="240" w:lineRule="auto"/>
        <w:jc w:val="right"/>
        <w:rPr>
          <w:rFonts w:ascii="Cambria" w:hAnsi="Cambria" w:cstheme="minorHAnsi"/>
          <w:bCs/>
          <w:sz w:val="24"/>
          <w:szCs w:val="24"/>
        </w:rPr>
      </w:pPr>
    </w:p>
    <w:p w:rsidR="001C4E05" w:rsidP="000F5C26" w:rsidRDefault="001C4E05" w14:paraId="2671A719" w14:textId="77777777">
      <w:pPr>
        <w:spacing w:after="0"/>
        <w:rPr>
          <w:rFonts w:ascii="Cambria" w:hAnsi="Cambria"/>
          <w:sz w:val="24"/>
          <w:szCs w:val="24"/>
        </w:rPr>
      </w:pPr>
    </w:p>
    <w:p w:rsidRPr="005A3D4B" w:rsidR="00A2118E" w:rsidP="000F5C26" w:rsidRDefault="0097374C" w14:paraId="4EB1F50A" w14:textId="01379796">
      <w:pPr>
        <w:spacing w:after="0"/>
        <w:rPr>
          <w:rFonts w:ascii="Cambria" w:hAnsi="Cambria"/>
          <w:sz w:val="24"/>
          <w:szCs w:val="24"/>
        </w:rPr>
      </w:pPr>
      <w:r>
        <w:rPr>
          <w:rFonts w:ascii="Cambria" w:hAnsi="Cambria"/>
          <w:sz w:val="24"/>
          <w:szCs w:val="24"/>
        </w:rPr>
        <w:t>Datums skatāms laika zīmogā</w:t>
      </w:r>
    </w:p>
    <w:p w:rsidRPr="00EF4611" w:rsidR="0045247C" w:rsidP="00EF4611" w:rsidRDefault="00A2118E" w14:paraId="4E5AEBC3" w14:textId="4739E041">
      <w:pPr>
        <w:spacing w:after="0"/>
        <w:rPr>
          <w:rFonts w:ascii="Cambria" w:hAnsi="Cambria"/>
          <w:sz w:val="24"/>
          <w:szCs w:val="24"/>
        </w:rPr>
      </w:pPr>
      <w:r w:rsidRPr="005A3D4B">
        <w:rPr>
          <w:rFonts w:ascii="Cambria" w:hAnsi="Cambria"/>
          <w:sz w:val="24"/>
          <w:szCs w:val="24"/>
        </w:rPr>
        <w:t>Nr. 20</w:t>
      </w:r>
      <w:r w:rsidR="000B062D">
        <w:rPr>
          <w:rFonts w:ascii="Cambria" w:hAnsi="Cambria"/>
          <w:sz w:val="24"/>
          <w:szCs w:val="24"/>
        </w:rPr>
        <w:t>2</w:t>
      </w:r>
      <w:r w:rsidR="00EC4CB9">
        <w:rPr>
          <w:rFonts w:ascii="Cambria" w:hAnsi="Cambria"/>
          <w:sz w:val="24"/>
          <w:szCs w:val="24"/>
        </w:rPr>
        <w:t>1</w:t>
      </w:r>
      <w:r w:rsidRPr="005A3D4B" w:rsidR="00412466">
        <w:rPr>
          <w:rFonts w:ascii="Cambria" w:hAnsi="Cambria"/>
          <w:sz w:val="24"/>
          <w:szCs w:val="24"/>
        </w:rPr>
        <w:t>/</w:t>
      </w:r>
      <w:r w:rsidR="009E4265">
        <w:rPr>
          <w:rFonts w:ascii="Cambria" w:hAnsi="Cambria"/>
          <w:sz w:val="24"/>
          <w:szCs w:val="24"/>
        </w:rPr>
        <w:t>17</w:t>
      </w:r>
    </w:p>
    <w:tbl>
      <w:tblPr>
        <w:tblW w:w="0" w:type="auto"/>
        <w:tblLook w:val="01E0" w:firstRow="1" w:lastRow="1" w:firstColumn="1" w:lastColumn="1" w:noHBand="0" w:noVBand="0"/>
      </w:tblPr>
      <w:tblGrid>
        <w:gridCol w:w="4746"/>
        <w:gridCol w:w="4614"/>
      </w:tblGrid>
      <w:tr w:rsidRPr="005A3D4B" w:rsidR="00B33A3F" w:rsidTr="00911D5E" w14:paraId="4DC606C6" w14:textId="77777777">
        <w:trPr>
          <w:trHeight w:val="330"/>
        </w:trPr>
        <w:tc>
          <w:tcPr>
            <w:tcW w:w="4746" w:type="dxa"/>
          </w:tcPr>
          <w:p w:rsidRPr="0045247C" w:rsidR="00C939D9" w:rsidP="0045247C" w:rsidRDefault="00C939D9" w14:paraId="4188BC87" w14:textId="77777777">
            <w:pPr>
              <w:spacing w:after="0" w:line="240" w:lineRule="auto"/>
              <w:jc w:val="both"/>
              <w:rPr>
                <w:rFonts w:ascii="Cambria" w:hAnsi="Cambria" w:cstheme="minorHAnsi"/>
                <w:i/>
                <w:sz w:val="24"/>
                <w:szCs w:val="24"/>
              </w:rPr>
            </w:pPr>
          </w:p>
          <w:p w:rsidR="0045247C" w:rsidP="00860442" w:rsidRDefault="0097374C" w14:paraId="7F885FEE" w14:textId="41D140E1">
            <w:pPr>
              <w:spacing w:after="0" w:line="240" w:lineRule="auto"/>
              <w:jc w:val="both"/>
              <w:rPr>
                <w:rFonts w:ascii="Cambria" w:hAnsi="Cambria" w:cstheme="minorHAnsi"/>
                <w:i/>
                <w:sz w:val="24"/>
                <w:szCs w:val="24"/>
              </w:rPr>
            </w:pPr>
            <w:r w:rsidRPr="0097374C">
              <w:rPr>
                <w:rFonts w:ascii="Cambria" w:hAnsi="Cambria" w:cstheme="minorHAnsi"/>
                <w:i/>
                <w:sz w:val="24"/>
                <w:szCs w:val="24"/>
              </w:rPr>
              <w:t xml:space="preserve">Par </w:t>
            </w:r>
            <w:r w:rsidR="00EC4CB9">
              <w:rPr>
                <w:rFonts w:ascii="Cambria" w:hAnsi="Cambria" w:cstheme="minorHAnsi"/>
                <w:i/>
                <w:sz w:val="24"/>
                <w:szCs w:val="24"/>
              </w:rPr>
              <w:t>likumprojektu “Elekrtonisko sakaru likums” (VSS-765)</w:t>
            </w:r>
          </w:p>
          <w:p w:rsidRPr="005A3D4B" w:rsidR="0097374C" w:rsidP="0097374C" w:rsidRDefault="0097374C" w14:paraId="47ECF016" w14:textId="5C8BF023">
            <w:pPr>
              <w:spacing w:after="0" w:line="240" w:lineRule="auto"/>
              <w:jc w:val="both"/>
              <w:rPr>
                <w:rFonts w:ascii="Cambria" w:hAnsi="Cambria" w:cstheme="minorHAnsi"/>
                <w:i/>
                <w:sz w:val="24"/>
                <w:szCs w:val="24"/>
              </w:rPr>
            </w:pPr>
          </w:p>
        </w:tc>
        <w:tc>
          <w:tcPr>
            <w:tcW w:w="4614" w:type="dxa"/>
          </w:tcPr>
          <w:p w:rsidRPr="005A3D4B" w:rsidR="00B33A3F" w:rsidP="00911D5E" w:rsidRDefault="00B33A3F" w14:paraId="67C36351" w14:textId="77777777">
            <w:pPr>
              <w:spacing w:after="0" w:line="240" w:lineRule="auto"/>
              <w:jc w:val="both"/>
              <w:rPr>
                <w:rFonts w:ascii="Cambria" w:hAnsi="Cambria" w:cstheme="minorHAnsi"/>
                <w:i/>
                <w:sz w:val="24"/>
                <w:szCs w:val="24"/>
              </w:rPr>
            </w:pPr>
          </w:p>
        </w:tc>
      </w:tr>
    </w:tbl>
    <w:p w:rsidR="0041781E" w:rsidP="00EC4CB9" w:rsidRDefault="0044362A" w14:paraId="6ED69CC8" w14:textId="761DFCCD">
      <w:pPr>
        <w:spacing w:after="0" w:line="240" w:lineRule="auto"/>
        <w:ind w:firstLine="720"/>
        <w:jc w:val="both"/>
        <w:rPr>
          <w:rFonts w:ascii="Cambria" w:hAnsi="Cambria" w:cstheme="minorHAnsi"/>
          <w:color w:val="000000" w:themeColor="text1"/>
          <w:sz w:val="24"/>
          <w:szCs w:val="24"/>
        </w:rPr>
      </w:pPr>
      <w:r w:rsidRPr="005A3D4B">
        <w:rPr>
          <w:rFonts w:ascii="Cambria" w:hAnsi="Cambria" w:cstheme="minorHAnsi"/>
          <w:color w:val="000000" w:themeColor="text1"/>
          <w:sz w:val="24"/>
          <w:szCs w:val="24"/>
        </w:rPr>
        <w:t xml:space="preserve">Latvijas Tirdzniecības un rūpniecības kamera (turpmāk – LTRK) </w:t>
      </w:r>
      <w:r w:rsidR="008B5D61">
        <w:rPr>
          <w:rFonts w:ascii="Cambria" w:hAnsi="Cambria" w:cstheme="minorHAnsi"/>
          <w:color w:val="000000" w:themeColor="text1"/>
          <w:sz w:val="24"/>
          <w:szCs w:val="24"/>
        </w:rPr>
        <w:t>ir izvērtējusi Satiksmes ministrijas izstrādāto likumprojektu “Elektronisko sakaru likums” (VSS-765)</w:t>
      </w:r>
      <w:r w:rsidR="007805E2">
        <w:rPr>
          <w:rFonts w:ascii="Cambria" w:hAnsi="Cambria" w:cstheme="minorHAnsi"/>
          <w:color w:val="000000" w:themeColor="text1"/>
          <w:sz w:val="24"/>
          <w:szCs w:val="24"/>
        </w:rPr>
        <w:t xml:space="preserve"> (turpmāk – likumprojekts)</w:t>
      </w:r>
      <w:r w:rsidR="008B5D61">
        <w:rPr>
          <w:rFonts w:ascii="Cambria" w:hAnsi="Cambria" w:cstheme="minorHAnsi"/>
          <w:color w:val="000000" w:themeColor="text1"/>
          <w:sz w:val="24"/>
          <w:szCs w:val="24"/>
        </w:rPr>
        <w:t xml:space="preserve"> un izsaka sekojošus iebildumus:</w:t>
      </w:r>
    </w:p>
    <w:p w:rsidR="008E3E9D" w:rsidP="00EC4CB9" w:rsidRDefault="008E3E9D" w14:paraId="77783E74" w14:textId="77777777">
      <w:pPr>
        <w:spacing w:after="0" w:line="240" w:lineRule="auto"/>
        <w:ind w:firstLine="720"/>
        <w:jc w:val="both"/>
        <w:rPr>
          <w:rFonts w:ascii="Cambria" w:hAnsi="Cambria" w:cstheme="minorHAnsi"/>
          <w:color w:val="000000" w:themeColor="text1"/>
          <w:sz w:val="24"/>
          <w:szCs w:val="24"/>
        </w:rPr>
      </w:pPr>
    </w:p>
    <w:p w:rsidR="008B5D61" w:rsidP="00EC4CB9" w:rsidRDefault="007805E2" w14:paraId="730132AD" w14:textId="2B38DE0C">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[1.] likumprojekta 1.pantā pirmās daļas 63.punkta d) apakšpunktu nepieciešams izteikt atsevišķā punktā. </w:t>
      </w:r>
      <w:r w:rsidR="00AC1D40">
        <w:rPr>
          <w:rFonts w:ascii="Cambria" w:hAnsi="Cambria" w:cstheme="minorHAnsi"/>
          <w:color w:val="000000" w:themeColor="text1"/>
          <w:sz w:val="24"/>
          <w:szCs w:val="24"/>
        </w:rPr>
        <w:t xml:space="preserve"> Iebilduma mērķis ir </w:t>
      </w:r>
      <w:r w:rsidRPr="00AC1D40" w:rsidR="00AC1D40">
        <w:rPr>
          <w:rFonts w:ascii="Cambria" w:hAnsi="Cambria" w:cstheme="minorHAnsi"/>
          <w:color w:val="000000" w:themeColor="text1"/>
          <w:sz w:val="24"/>
          <w:szCs w:val="24"/>
        </w:rPr>
        <w:t>nodrošināt likumprojektā korektu ierobežotas joslas kopīgas izmantošanas regulēšanas/atļaušanas režīmu. Ir svarīgi</w:t>
      </w:r>
      <w:r w:rsidR="00AC1D40">
        <w:rPr>
          <w:rFonts w:ascii="Cambria" w:hAnsi="Cambria" w:cstheme="minorHAnsi"/>
          <w:color w:val="000000" w:themeColor="text1"/>
          <w:sz w:val="24"/>
          <w:szCs w:val="24"/>
        </w:rPr>
        <w:t>,</w:t>
      </w:r>
      <w:r w:rsidRPr="00AC1D40" w:rsidR="00AC1D40">
        <w:rPr>
          <w:rFonts w:ascii="Cambria" w:hAnsi="Cambria" w:cstheme="minorHAnsi"/>
          <w:color w:val="000000" w:themeColor="text1"/>
          <w:sz w:val="24"/>
          <w:szCs w:val="24"/>
        </w:rPr>
        <w:t xml:space="preserve"> pareizi un atbilstoši Kodeksā noteiktajam</w:t>
      </w:r>
      <w:r w:rsidR="00AC1D40">
        <w:rPr>
          <w:rFonts w:ascii="Cambria" w:hAnsi="Cambria" w:cstheme="minorHAnsi"/>
          <w:color w:val="000000" w:themeColor="text1"/>
          <w:sz w:val="24"/>
          <w:szCs w:val="24"/>
        </w:rPr>
        <w:t>,</w:t>
      </w:r>
      <w:r w:rsidRPr="00AC1D40" w:rsidR="00AC1D40">
        <w:rPr>
          <w:rFonts w:ascii="Cambria" w:hAnsi="Cambria" w:cstheme="minorHAnsi"/>
          <w:color w:val="000000" w:themeColor="text1"/>
          <w:sz w:val="24"/>
          <w:szCs w:val="24"/>
        </w:rPr>
        <w:t xml:space="preserve"> izmantot likumprojektā Kodeksa būtiskos jēdzienus: “transfer” – “nodošana”, “lease” – noma, “sharing” – kopīga izmantošana. Nepamatoti nosakot, ka viens (“sharing”) ir otrā (“nodošanas un nomas”) veids, tiek sagrozīt</w:t>
      </w:r>
      <w:r w:rsidR="00314E7F">
        <w:rPr>
          <w:rFonts w:ascii="Cambria" w:hAnsi="Cambria" w:cstheme="minorHAnsi"/>
          <w:color w:val="000000" w:themeColor="text1"/>
          <w:sz w:val="24"/>
          <w:szCs w:val="24"/>
        </w:rPr>
        <w:t>s</w:t>
      </w:r>
      <w:r w:rsidRPr="00AC1D40" w:rsidR="00AC1D40">
        <w:rPr>
          <w:rFonts w:ascii="Cambria" w:hAnsi="Cambria" w:cstheme="minorHAnsi"/>
          <w:color w:val="000000" w:themeColor="text1"/>
          <w:sz w:val="24"/>
          <w:szCs w:val="24"/>
        </w:rPr>
        <w:t xml:space="preserve"> Kodeksa </w:t>
      </w:r>
      <w:r w:rsidR="00AC1D40">
        <w:rPr>
          <w:rFonts w:ascii="Cambria" w:hAnsi="Cambria" w:cstheme="minorHAnsi"/>
          <w:color w:val="000000" w:themeColor="text1"/>
          <w:sz w:val="24"/>
          <w:szCs w:val="24"/>
        </w:rPr>
        <w:t>mērķis</w:t>
      </w:r>
      <w:r w:rsidRPr="00AC1D40" w:rsidR="00AC1D40">
        <w:rPr>
          <w:rFonts w:ascii="Cambria" w:hAnsi="Cambria" w:cstheme="minorHAnsi"/>
          <w:color w:val="000000" w:themeColor="text1"/>
          <w:sz w:val="24"/>
          <w:szCs w:val="24"/>
        </w:rPr>
        <w:t xml:space="preserve"> un uzstādījumi par efektīvu ierobežoto resursu izmantošanas regulēšanu.</w:t>
      </w:r>
      <w:r w:rsidR="00AC1D40">
        <w:rPr>
          <w:rFonts w:ascii="Cambria" w:hAnsi="Cambria" w:cstheme="minorHAnsi"/>
          <w:color w:val="000000" w:themeColor="text1"/>
          <w:sz w:val="24"/>
          <w:szCs w:val="24"/>
        </w:rPr>
        <w:t xml:space="preserve"> </w:t>
      </w:r>
      <w:r w:rsidRPr="007805E2">
        <w:rPr>
          <w:rFonts w:ascii="Cambria" w:hAnsi="Cambria" w:cstheme="minorHAnsi"/>
          <w:color w:val="000000" w:themeColor="text1"/>
          <w:sz w:val="24"/>
          <w:szCs w:val="24"/>
        </w:rPr>
        <w:t>Pašlaik no likumprojekta konstrukcijas nav skaidrs, kuros aspektos “tālāknodošanas” regulējums ietver arī “kopīgas ierobežotas joslas izmantošanas” regulējumu un kuros – nē, jo likumprojektā jēdziens “tālāknodošana” ir sastopams gan atsevišķi (neminot “kopīgu ierobežotas joslas izmantošanu”), gan kopā ar “kopīgas ierobežotas joslas izmantošanu, piemēram, 5.panta pirmās daļas 4.punktā.</w:t>
      </w:r>
    </w:p>
    <w:p w:rsidR="007805E2" w:rsidP="00EC4CB9" w:rsidRDefault="007805E2" w14:paraId="3EABC9DF" w14:textId="34BB17E3">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Ņemot vērā minēto, LTRK ieskatā nepieciešams svītrot</w:t>
      </w:r>
      <w:r w:rsidR="00314E7F">
        <w:rPr>
          <w:rFonts w:ascii="Cambria" w:hAnsi="Cambria" w:cstheme="minorHAnsi"/>
          <w:color w:val="000000" w:themeColor="text1"/>
          <w:sz w:val="24"/>
          <w:szCs w:val="24"/>
        </w:rPr>
        <w:t xml:space="preserve"> likumprojekta</w:t>
      </w:r>
      <w:r>
        <w:rPr>
          <w:rFonts w:ascii="Cambria" w:hAnsi="Cambria" w:cstheme="minorHAnsi"/>
          <w:color w:val="000000" w:themeColor="text1"/>
          <w:sz w:val="24"/>
          <w:szCs w:val="24"/>
        </w:rPr>
        <w:t xml:space="preserve"> 1.panta pirmās daļas 63.punkta d) apakšpunktu, to izsakot atsevišķā punktā šādā redakcijā:</w:t>
      </w:r>
    </w:p>
    <w:p w:rsidR="007805E2" w:rsidP="00EC4CB9" w:rsidRDefault="007805E2" w14:paraId="1ACCB4AB" w14:textId="08903722">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w:t>
      </w:r>
      <w:r w:rsidRPr="007805E2">
        <w:rPr>
          <w:rFonts w:ascii="Cambria" w:hAnsi="Cambria" w:cstheme="minorHAnsi"/>
          <w:color w:val="000000" w:themeColor="text1"/>
          <w:sz w:val="24"/>
          <w:szCs w:val="24"/>
        </w:rPr>
        <w:t>32) kopīga ierobežotas joslas izmantošana – ierobežotas joslas vienlaicīga izmantošana starp elektronisko sakaru komersantiem, no kuriem vismaz vienam ir piešķirtas attiecīgās joslas lietošanas tiesības, savstarpēji sadarbojoties un saskaņā ar Regulatora noteiktajām prasībām;</w:t>
      </w:r>
      <w:r>
        <w:rPr>
          <w:rFonts w:ascii="Cambria" w:hAnsi="Cambria" w:cstheme="minorHAnsi"/>
          <w:color w:val="000000" w:themeColor="text1"/>
          <w:sz w:val="24"/>
          <w:szCs w:val="24"/>
        </w:rPr>
        <w:t>”</w:t>
      </w:r>
      <w:r w:rsidR="00AC1D40">
        <w:rPr>
          <w:rFonts w:ascii="Cambria" w:hAnsi="Cambria" w:cstheme="minorHAnsi"/>
          <w:color w:val="000000" w:themeColor="text1"/>
          <w:sz w:val="24"/>
          <w:szCs w:val="24"/>
        </w:rPr>
        <w:t>.</w:t>
      </w:r>
    </w:p>
    <w:p w:rsidR="008E3E9D" w:rsidP="00EC4CB9" w:rsidRDefault="008E3E9D" w14:paraId="54EF29A8" w14:textId="77777777">
      <w:pPr>
        <w:spacing w:after="0" w:line="240" w:lineRule="auto"/>
        <w:ind w:firstLine="720"/>
        <w:jc w:val="both"/>
        <w:rPr>
          <w:rFonts w:ascii="Cambria" w:hAnsi="Cambria" w:cstheme="minorHAnsi"/>
          <w:color w:val="000000" w:themeColor="text1"/>
          <w:sz w:val="24"/>
          <w:szCs w:val="24"/>
        </w:rPr>
      </w:pPr>
    </w:p>
    <w:p w:rsidR="00AC1D40" w:rsidP="00EC4CB9" w:rsidRDefault="00AC1D40" w14:paraId="01B65299" w14:textId="4C033DDF">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[2.] </w:t>
      </w:r>
      <w:r w:rsidR="00A15632">
        <w:rPr>
          <w:rFonts w:ascii="Cambria" w:hAnsi="Cambria" w:cstheme="minorHAnsi"/>
          <w:color w:val="000000" w:themeColor="text1"/>
          <w:sz w:val="24"/>
          <w:szCs w:val="24"/>
        </w:rPr>
        <w:t xml:space="preserve">likumprojekta 5.panta pirmās daļas 4.punktā </w:t>
      </w:r>
      <w:r w:rsidR="00314E7F">
        <w:rPr>
          <w:rFonts w:ascii="Cambria" w:hAnsi="Cambria" w:cstheme="minorHAnsi"/>
          <w:color w:val="000000" w:themeColor="text1"/>
          <w:sz w:val="24"/>
          <w:szCs w:val="24"/>
        </w:rPr>
        <w:t xml:space="preserve">nepieciešams </w:t>
      </w:r>
      <w:r w:rsidR="00A15632">
        <w:rPr>
          <w:rFonts w:ascii="Cambria" w:hAnsi="Cambria" w:cstheme="minorHAnsi"/>
          <w:color w:val="000000" w:themeColor="text1"/>
          <w:sz w:val="24"/>
          <w:szCs w:val="24"/>
        </w:rPr>
        <w:t xml:space="preserve">svītrot vārdu “maiņai”. LTRK ieskatā </w:t>
      </w:r>
      <w:r w:rsidRPr="00A15632" w:rsidR="00A15632">
        <w:rPr>
          <w:rFonts w:ascii="Cambria" w:hAnsi="Cambria" w:cstheme="minorHAnsi"/>
          <w:color w:val="000000" w:themeColor="text1"/>
          <w:sz w:val="24"/>
          <w:szCs w:val="24"/>
        </w:rPr>
        <w:t>Radiofrekvenču lietošanas tiesību maiņa ir definēta kā tālāknodošanas veids. Tāpēc nav loģiski šajā normā atsevišķi norādīt gan tālāknodošanu, gan maiņu.</w:t>
      </w:r>
    </w:p>
    <w:p w:rsidR="008E3E9D" w:rsidP="00EC4CB9" w:rsidRDefault="008E3E9D" w14:paraId="4B34DCDB" w14:textId="77777777">
      <w:pPr>
        <w:spacing w:after="0" w:line="240" w:lineRule="auto"/>
        <w:ind w:firstLine="720"/>
        <w:jc w:val="both"/>
        <w:rPr>
          <w:rFonts w:ascii="Cambria" w:hAnsi="Cambria" w:cstheme="minorHAnsi"/>
          <w:color w:val="000000" w:themeColor="text1"/>
          <w:sz w:val="24"/>
          <w:szCs w:val="24"/>
        </w:rPr>
      </w:pPr>
    </w:p>
    <w:p w:rsidR="00A15632" w:rsidP="00EC4CB9" w:rsidRDefault="00A15632" w14:paraId="791F2A19" w14:textId="46099A05">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[3.] </w:t>
      </w:r>
      <w:r w:rsidR="00350870">
        <w:rPr>
          <w:rFonts w:ascii="Cambria" w:hAnsi="Cambria" w:cstheme="minorHAnsi"/>
          <w:color w:val="000000" w:themeColor="text1"/>
          <w:sz w:val="24"/>
          <w:szCs w:val="24"/>
        </w:rPr>
        <w:t xml:space="preserve">svītrot likumprojekta </w:t>
      </w:r>
      <w:r w:rsidR="005F6735">
        <w:rPr>
          <w:rFonts w:ascii="Cambria" w:hAnsi="Cambria" w:cstheme="minorHAnsi"/>
          <w:color w:val="000000" w:themeColor="text1"/>
          <w:sz w:val="24"/>
          <w:szCs w:val="24"/>
        </w:rPr>
        <w:t>33.panta piekto daļu. LTRK norāda, ka p</w:t>
      </w:r>
      <w:r w:rsidRPr="005F6735" w:rsidR="005F6735">
        <w:rPr>
          <w:rFonts w:ascii="Cambria" w:hAnsi="Cambria" w:cstheme="minorHAnsi"/>
          <w:color w:val="000000" w:themeColor="text1"/>
          <w:sz w:val="24"/>
          <w:szCs w:val="24"/>
        </w:rPr>
        <w:t>rasība elektronisko sakaru komersantiem nodrošināt atklātību un publisko pieejamību informācijai par elektronisko sakaru pakalpojumu mazumtirdzniecības tarifiem ir ietverta 20.panta ceturtajā daļa, līdz ar to 33.panta piektajā daļā daļēji dublē 20.panta ceturto daļu.</w:t>
      </w:r>
    </w:p>
    <w:p w:rsidR="008E3E9D" w:rsidP="00EC4CB9" w:rsidRDefault="008E3E9D" w14:paraId="79669132" w14:textId="77777777">
      <w:pPr>
        <w:spacing w:after="0" w:line="240" w:lineRule="auto"/>
        <w:ind w:firstLine="720"/>
        <w:jc w:val="both"/>
        <w:rPr>
          <w:rFonts w:ascii="Cambria" w:hAnsi="Cambria" w:cstheme="minorHAnsi"/>
          <w:color w:val="000000" w:themeColor="text1"/>
          <w:sz w:val="24"/>
          <w:szCs w:val="24"/>
        </w:rPr>
      </w:pPr>
    </w:p>
    <w:p w:rsidR="005F6735" w:rsidP="00EC4CB9" w:rsidRDefault="005F6735" w14:paraId="54629274" w14:textId="7A4AD313">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[4.] </w:t>
      </w:r>
      <w:r w:rsidR="008E3E9D">
        <w:rPr>
          <w:rFonts w:ascii="Cambria" w:hAnsi="Cambria" w:cstheme="minorHAnsi"/>
          <w:color w:val="000000" w:themeColor="text1"/>
          <w:sz w:val="24"/>
          <w:szCs w:val="24"/>
        </w:rPr>
        <w:t>izteikt likumprojekta 35.panta devīto daļu šādā redakcijā:</w:t>
      </w:r>
    </w:p>
    <w:p w:rsidR="008E3E9D" w:rsidP="00EC4CB9" w:rsidRDefault="008E3E9D" w14:paraId="23908C3F" w14:textId="5B0394F3">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w:t>
      </w:r>
      <w:r w:rsidRPr="008E3E9D">
        <w:rPr>
          <w:rFonts w:ascii="Cambria" w:hAnsi="Cambria" w:cstheme="minorHAnsi"/>
          <w:color w:val="000000" w:themeColor="text1"/>
          <w:sz w:val="24"/>
          <w:szCs w:val="24"/>
        </w:rPr>
        <w:t xml:space="preserve">(9) Ja terminēta līguma, kas paredzēja elektronisko sakaru pakalpojuma un to saņemšanai nepieciešamās subsidētās galiekārtas iegādi komplekta veidā,  saistības ir izbeigtas saskaņā ar šī panta piekto, sesto un septīto daļu, elektronisko sakaru komersants piedāvā patērētājam iegūt savā īpašumā elektronisko sakaru pakalpojuma saņemšanai nepieciešamo subsidēto galiekārtu. Patērētājam ir tiesības to saņemt par maksu, kas nepārsniedz galiekārtas vērtību proporcionāli </w:t>
      </w:r>
      <w:r w:rsidRPr="008E3E9D">
        <w:rPr>
          <w:rFonts w:ascii="Cambria" w:hAnsi="Cambria" w:cstheme="minorHAnsi"/>
          <w:color w:val="000000" w:themeColor="text1"/>
          <w:sz w:val="24"/>
          <w:szCs w:val="24"/>
        </w:rPr>
        <w:lastRenderedPageBreak/>
        <w:t>laikam, par ko vienošanās panākta līguma slēgšanas brīdī vai atlikušo pakalpojuma maksas daļu līdz līguma darbības beigām – atkarībā no tā, kura summa ir mazāka. Šīs daļas noteikumi nav attiecināmi uz galiekārtām, kas tika iegādātas ar atlikto maksājumu.”</w:t>
      </w:r>
    </w:p>
    <w:p w:rsidR="008E3E9D" w:rsidP="00EC4CB9" w:rsidRDefault="008E3E9D" w14:paraId="3376044C" w14:textId="04CDF1FF">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LTRK ieskatā </w:t>
      </w:r>
      <w:r w:rsidRPr="008E3E9D">
        <w:rPr>
          <w:rFonts w:ascii="Cambria" w:hAnsi="Cambria" w:cstheme="minorHAnsi"/>
          <w:color w:val="000000" w:themeColor="text1"/>
          <w:sz w:val="24"/>
          <w:szCs w:val="24"/>
        </w:rPr>
        <w:t>ka nedrīkst jaukt jēdzienus “subsidēta galiekārta” un “subsidētā galiekārta, kas iegādāta, piemērojot atlikto maksājumu”. Pirmajā gadījumā galiekārtu piešķir klientam bez maksas vai par vērtību, kas ir mazāka nekā vērtība, par kādu attiecīgo galiekārtu pārdod citiem klientiem, pie nosacījuma, ka klients izpilda kādas saistības, piemēram, noslēdz elektronisko sakaru pakalpojumu līgumu ar noteiktu minimālo līguma termiņu vai noslēdz elektronisko sakaru pakalpojumu līgumu par noteiktu skaitu pieslēgumu numuriem, vai arī klientam tiek noteikta abu minēto saistību kombinācija. Otrajā gadījumā subsidēto galiekārtu pārdot (par zemāku cenu nekā parasti), nepieprasot visu cenu uzreiz, bet tā tiek nomaksāta pakāpeniski.</w:t>
      </w:r>
      <w:r>
        <w:rPr>
          <w:rFonts w:ascii="Cambria" w:hAnsi="Cambria" w:cstheme="minorHAnsi"/>
          <w:color w:val="000000" w:themeColor="text1"/>
          <w:sz w:val="24"/>
          <w:szCs w:val="24"/>
        </w:rPr>
        <w:t xml:space="preserve"> Vienlaikus, </w:t>
      </w:r>
      <w:r w:rsidRPr="008E3E9D">
        <w:rPr>
          <w:rFonts w:ascii="Cambria" w:hAnsi="Cambria" w:cstheme="minorHAnsi"/>
          <w:color w:val="000000" w:themeColor="text1"/>
          <w:sz w:val="24"/>
          <w:szCs w:val="24"/>
        </w:rPr>
        <w:t>lai novērstu nekorektu normas interpretāciju un sajaukšanu ar “atlikto maksājumu”, anotācija ir jāpapildina ar jēdziena “subsidētā galiekārta” definīciju. Definīcija varētu būt šāda: “subsidētā galiekārta – galiekārta, kuru elektronisko sakaru komersants pārdot galalietotājam par summu, kura nepārsniedz 50% no attiecīgas galiekārtas standarta cenas, ko piedāvā attiecīgais elektronisko sakaru komersants”.</w:t>
      </w:r>
    </w:p>
    <w:p w:rsidR="008E3E9D" w:rsidP="00EC4CB9" w:rsidRDefault="008E3E9D" w14:paraId="6BC98426" w14:textId="2CDF8EB5">
      <w:pPr>
        <w:spacing w:after="0" w:line="240" w:lineRule="auto"/>
        <w:ind w:firstLine="720"/>
        <w:jc w:val="both"/>
        <w:rPr>
          <w:rFonts w:ascii="Cambria" w:hAnsi="Cambria" w:cstheme="minorHAnsi"/>
          <w:color w:val="000000" w:themeColor="text1"/>
          <w:sz w:val="24"/>
          <w:szCs w:val="24"/>
        </w:rPr>
      </w:pPr>
    </w:p>
    <w:p w:rsidR="008E3E9D" w:rsidP="00EC4CB9" w:rsidRDefault="008E3E9D" w14:paraId="1772749F" w14:textId="0E7DFCC7">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[5.] </w:t>
      </w:r>
      <w:r w:rsidR="007A7286">
        <w:rPr>
          <w:rFonts w:ascii="Cambria" w:hAnsi="Cambria" w:cstheme="minorHAnsi"/>
          <w:color w:val="000000" w:themeColor="text1"/>
          <w:sz w:val="24"/>
          <w:szCs w:val="24"/>
        </w:rPr>
        <w:t>izteikt likumprojekta 40.panta ceturtās daļas otro punktu šādā redakcijā:</w:t>
      </w:r>
    </w:p>
    <w:p w:rsidR="007A7286" w:rsidP="00EC4CB9" w:rsidRDefault="007A7286" w14:paraId="12572481" w14:textId="503CAEFB">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w:t>
      </w:r>
      <w:r w:rsidRPr="007A7286">
        <w:rPr>
          <w:rFonts w:ascii="Cambria" w:hAnsi="Cambria" w:cstheme="minorHAnsi"/>
          <w:color w:val="000000" w:themeColor="text1"/>
          <w:sz w:val="24"/>
          <w:szCs w:val="24"/>
        </w:rPr>
        <w:t>mēneša laikā pēc elektronisko sakaru pakalpojuma līguma izbeigšanas, ja vien galalietotājs, izbeidzot elektronisko sakaru pakalpojuma līgumu, nav atteicies no šīs tiesības</w:t>
      </w:r>
      <w:r>
        <w:rPr>
          <w:rFonts w:ascii="Cambria" w:hAnsi="Cambria" w:cstheme="minorHAnsi"/>
          <w:color w:val="000000" w:themeColor="text1"/>
          <w:sz w:val="24"/>
          <w:szCs w:val="24"/>
        </w:rPr>
        <w:t>.”</w:t>
      </w:r>
    </w:p>
    <w:p w:rsidRPr="007A7286" w:rsidR="007A7286" w:rsidP="007A7286" w:rsidRDefault="007A7286" w14:paraId="4347E09E" w14:textId="715CD6B2">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Vienlaikus ar šo priekšlikumu LTRK ieskatā nepieciešams p</w:t>
      </w:r>
      <w:r w:rsidRPr="007A7286">
        <w:rPr>
          <w:rFonts w:ascii="Cambria" w:hAnsi="Cambria" w:cstheme="minorHAnsi"/>
          <w:color w:val="000000" w:themeColor="text1"/>
          <w:sz w:val="24"/>
          <w:szCs w:val="24"/>
        </w:rPr>
        <w:t>apildināt sada</w:t>
      </w:r>
      <w:r w:rsidR="00314E7F">
        <w:rPr>
          <w:rFonts w:ascii="Cambria" w:hAnsi="Cambria" w:cstheme="minorHAnsi"/>
          <w:color w:val="000000" w:themeColor="text1"/>
          <w:sz w:val="24"/>
          <w:szCs w:val="24"/>
        </w:rPr>
        <w:t>ļ</w:t>
      </w:r>
      <w:r w:rsidRPr="007A7286">
        <w:rPr>
          <w:rFonts w:ascii="Cambria" w:hAnsi="Cambria" w:cstheme="minorHAnsi"/>
          <w:color w:val="000000" w:themeColor="text1"/>
          <w:sz w:val="24"/>
          <w:szCs w:val="24"/>
        </w:rPr>
        <w:t>u “Pārejas noteikumi” ar 14.punktu šādā redakcijā:</w:t>
      </w:r>
    </w:p>
    <w:p w:rsidR="007A7286" w:rsidP="007A7286" w:rsidRDefault="007A7286" w14:paraId="4311B052" w14:textId="3780F793">
      <w:pPr>
        <w:spacing w:after="0" w:line="240" w:lineRule="auto"/>
        <w:ind w:firstLine="720"/>
        <w:jc w:val="both"/>
        <w:rPr>
          <w:rFonts w:ascii="Cambria" w:hAnsi="Cambria" w:cstheme="minorHAnsi"/>
          <w:color w:val="000000" w:themeColor="text1"/>
          <w:sz w:val="24"/>
          <w:szCs w:val="24"/>
        </w:rPr>
      </w:pPr>
      <w:r w:rsidRPr="007A7286">
        <w:rPr>
          <w:rFonts w:ascii="Cambria" w:hAnsi="Cambria" w:cstheme="minorHAnsi"/>
          <w:color w:val="000000" w:themeColor="text1"/>
          <w:sz w:val="24"/>
          <w:szCs w:val="24"/>
        </w:rPr>
        <w:t>“14. Šā likuma 40.panta ceturtās daļas 2.punkts stājas spēkā sešu mēnešu laikā no šā likuma stāšanās spēkā.</w:t>
      </w:r>
    </w:p>
    <w:p w:rsidR="007A7286" w:rsidP="0041781E" w:rsidRDefault="007A7286" w14:paraId="56EEA06F" w14:textId="77777777">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LTRK vērš </w:t>
      </w:r>
      <w:r w:rsidRPr="007A7286">
        <w:rPr>
          <w:rFonts w:ascii="Cambria" w:hAnsi="Cambria" w:cstheme="minorHAnsi"/>
          <w:color w:val="000000" w:themeColor="text1"/>
          <w:sz w:val="24"/>
          <w:szCs w:val="24"/>
        </w:rPr>
        <w:t xml:space="preserve">uzmanību, ka līdz šim numura saglabāšanas pakalpojumu regulēja Regulatora 2015.gada 3.decembra lēmums Nr. 1/19 “Numura saglabāšanas pakalpojuma nodrošināšanas noteikumi”, bet tas neaptver gadījumus, kad galalietotājs pieprasa numura saglabāšanas pakalpojumu mēneša laikā pēc līguma izbeigšanas. Likumprojekta izziņā norādīts, ka “Direktīvā attiecībā uz šo normu nav noteikts pārejas periods, ka normas par numuru saglabāšanu var ieviest vēlāk.” </w:t>
      </w:r>
      <w:r>
        <w:rPr>
          <w:rFonts w:ascii="Cambria" w:hAnsi="Cambria" w:cstheme="minorHAnsi"/>
          <w:color w:val="000000" w:themeColor="text1"/>
          <w:sz w:val="24"/>
          <w:szCs w:val="24"/>
        </w:rPr>
        <w:t>Ja</w:t>
      </w:r>
      <w:r w:rsidRPr="007A7286">
        <w:rPr>
          <w:rFonts w:ascii="Cambria" w:hAnsi="Cambria" w:cstheme="minorHAnsi"/>
          <w:color w:val="000000" w:themeColor="text1"/>
          <w:sz w:val="24"/>
          <w:szCs w:val="24"/>
        </w:rPr>
        <w:t xml:space="preserve"> netiks paredzēts parējās periods regulējuma papildināšanai, norādītajiem gadījumiem veidosies tiesiskais vakuums un normas piemērošana būs apgrūtināta vai neiespējama.  </w:t>
      </w:r>
    </w:p>
    <w:p w:rsidR="007A7286" w:rsidP="0041781E" w:rsidRDefault="007A7286" w14:paraId="270536E2" w14:textId="77777777">
      <w:pPr>
        <w:spacing w:after="0" w:line="240" w:lineRule="auto"/>
        <w:ind w:firstLine="720"/>
        <w:jc w:val="both"/>
        <w:rPr>
          <w:rFonts w:ascii="Cambria" w:hAnsi="Cambria" w:cstheme="minorHAnsi"/>
          <w:color w:val="000000" w:themeColor="text1"/>
          <w:sz w:val="24"/>
          <w:szCs w:val="24"/>
        </w:rPr>
      </w:pPr>
    </w:p>
    <w:p w:rsidR="007A7286" w:rsidP="0041781E" w:rsidRDefault="007A7286" w14:paraId="2BB80CEA" w14:textId="0D3373DE">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[6.] izteikt </w:t>
      </w:r>
      <w:r w:rsidR="00FB05D0">
        <w:rPr>
          <w:rFonts w:ascii="Cambria" w:hAnsi="Cambria" w:cstheme="minorHAnsi"/>
          <w:color w:val="000000" w:themeColor="text1"/>
          <w:sz w:val="24"/>
          <w:szCs w:val="24"/>
        </w:rPr>
        <w:t xml:space="preserve">likumprojekta </w:t>
      </w:r>
      <w:r>
        <w:rPr>
          <w:rFonts w:ascii="Cambria" w:hAnsi="Cambria" w:cstheme="minorHAnsi"/>
          <w:color w:val="000000" w:themeColor="text1"/>
          <w:sz w:val="24"/>
          <w:szCs w:val="24"/>
        </w:rPr>
        <w:t>45.panta nosaukumu šādā redakcijā:</w:t>
      </w:r>
    </w:p>
    <w:p w:rsidR="00692F29" w:rsidP="0041781E" w:rsidRDefault="007A7286" w14:paraId="1DD5A7C9" w14:textId="17209427">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w:t>
      </w:r>
      <w:r w:rsidRPr="007A7286">
        <w:rPr>
          <w:rFonts w:ascii="Cambria" w:hAnsi="Cambria" w:cstheme="minorHAnsi"/>
          <w:color w:val="000000" w:themeColor="text1"/>
          <w:sz w:val="24"/>
          <w:szCs w:val="24"/>
        </w:rPr>
        <w:t>45.pants. Ierobežotas joslas lietošanas tiesību tālāknodošana</w:t>
      </w:r>
      <w:r>
        <w:rPr>
          <w:rFonts w:ascii="Cambria" w:hAnsi="Cambria" w:cstheme="minorHAnsi"/>
          <w:color w:val="000000" w:themeColor="text1"/>
          <w:sz w:val="24"/>
          <w:szCs w:val="24"/>
        </w:rPr>
        <w:t>”</w:t>
      </w:r>
      <w:r w:rsidRPr="007A7286">
        <w:rPr>
          <w:rFonts w:ascii="Cambria" w:hAnsi="Cambria" w:cstheme="minorHAnsi"/>
          <w:color w:val="000000" w:themeColor="text1"/>
          <w:sz w:val="24"/>
          <w:szCs w:val="24"/>
        </w:rPr>
        <w:t xml:space="preserve"> </w:t>
      </w:r>
      <w:r>
        <w:rPr>
          <w:rFonts w:ascii="Cambria" w:hAnsi="Cambria" w:cstheme="minorHAnsi"/>
          <w:color w:val="000000" w:themeColor="text1"/>
          <w:sz w:val="24"/>
          <w:szCs w:val="24"/>
        </w:rPr>
        <w:t>.</w:t>
      </w:r>
    </w:p>
    <w:p w:rsidR="007A7286" w:rsidP="0041781E" w:rsidRDefault="007A7286" w14:paraId="57E05A22" w14:textId="54EEAC82">
      <w:pPr>
        <w:spacing w:after="0" w:line="240" w:lineRule="auto"/>
        <w:ind w:firstLine="720"/>
        <w:jc w:val="both"/>
        <w:rPr>
          <w:rFonts w:ascii="Cambria" w:hAnsi="Cambria" w:cstheme="minorHAnsi"/>
          <w:color w:val="000000" w:themeColor="text1"/>
          <w:sz w:val="24"/>
          <w:szCs w:val="24"/>
        </w:rPr>
      </w:pPr>
    </w:p>
    <w:p w:rsidR="007A7286" w:rsidP="0041781E" w:rsidRDefault="007A7286" w14:paraId="635CCF1E" w14:textId="2DD15DAE">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[7.] </w:t>
      </w:r>
      <w:r w:rsidR="00FB05D0">
        <w:rPr>
          <w:rFonts w:ascii="Cambria" w:hAnsi="Cambria" w:cstheme="minorHAnsi"/>
          <w:color w:val="000000" w:themeColor="text1"/>
          <w:sz w:val="24"/>
          <w:szCs w:val="24"/>
        </w:rPr>
        <w:t>izteikt likumprojekta 46.pantu šādā redakcijā:</w:t>
      </w:r>
    </w:p>
    <w:p w:rsidRPr="00FB05D0" w:rsidR="00FB05D0" w:rsidP="00FB05D0" w:rsidRDefault="00FB05D0" w14:paraId="27C959B8" w14:textId="11A56EB1">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w:t>
      </w:r>
      <w:r w:rsidR="00314E7F">
        <w:rPr>
          <w:rFonts w:ascii="Cambria" w:hAnsi="Cambria" w:cstheme="minorHAnsi"/>
          <w:color w:val="000000" w:themeColor="text1"/>
          <w:sz w:val="24"/>
          <w:szCs w:val="24"/>
        </w:rPr>
        <w:t>(</w:t>
      </w:r>
      <w:r w:rsidRPr="00FB05D0">
        <w:rPr>
          <w:rFonts w:ascii="Cambria" w:hAnsi="Cambria" w:cstheme="minorHAnsi"/>
          <w:color w:val="000000" w:themeColor="text1"/>
          <w:sz w:val="24"/>
          <w:szCs w:val="24"/>
        </w:rPr>
        <w:t>1) Kopīga ierobežotas joslas izmantošana ir iespējama starp elektronisko sakaru komersantiem.</w:t>
      </w:r>
    </w:p>
    <w:p w:rsidRPr="00FB05D0" w:rsidR="00FB05D0" w:rsidP="00FB05D0" w:rsidRDefault="00FB05D0" w14:paraId="72839F5D" w14:textId="77777777">
      <w:pPr>
        <w:spacing w:after="0" w:line="240" w:lineRule="auto"/>
        <w:ind w:firstLine="720"/>
        <w:jc w:val="both"/>
        <w:rPr>
          <w:rFonts w:ascii="Cambria" w:hAnsi="Cambria" w:cstheme="minorHAnsi"/>
          <w:color w:val="000000" w:themeColor="text1"/>
          <w:sz w:val="24"/>
          <w:szCs w:val="24"/>
        </w:rPr>
      </w:pPr>
      <w:r w:rsidRPr="00FB05D0">
        <w:rPr>
          <w:rFonts w:ascii="Cambria" w:hAnsi="Cambria" w:cstheme="minorHAnsi"/>
          <w:color w:val="000000" w:themeColor="text1"/>
          <w:sz w:val="24"/>
          <w:szCs w:val="24"/>
        </w:rPr>
        <w:t xml:space="preserve">(2) Pirms kopīgas ierobežotas joslas izmantošanas uzsākšanas elektronisko sakaru komersanti veic kopīgas ierobežotas joslas izmantošanas ietekmes uz konkurenci novērtēšanu, tajā skaitā novērtējot: </w:t>
      </w:r>
    </w:p>
    <w:p w:rsidRPr="00FB05D0" w:rsidR="00FB05D0" w:rsidP="00FB05D0" w:rsidRDefault="00FB05D0" w14:paraId="3E85A37A" w14:textId="77777777">
      <w:pPr>
        <w:spacing w:after="0" w:line="240" w:lineRule="auto"/>
        <w:ind w:firstLine="720"/>
        <w:jc w:val="both"/>
        <w:rPr>
          <w:rFonts w:ascii="Cambria" w:hAnsi="Cambria" w:cstheme="minorHAnsi"/>
          <w:color w:val="000000" w:themeColor="text1"/>
          <w:sz w:val="24"/>
          <w:szCs w:val="24"/>
        </w:rPr>
      </w:pPr>
      <w:r w:rsidRPr="00FB05D0">
        <w:rPr>
          <w:rFonts w:ascii="Cambria" w:hAnsi="Cambria" w:cstheme="minorHAnsi"/>
          <w:color w:val="000000" w:themeColor="text1"/>
          <w:sz w:val="24"/>
          <w:szCs w:val="24"/>
        </w:rPr>
        <w:t>1) vai ierobežotas joslas kopīga izmantošana veicinās elektronisko sakaru pakalpojumu pieejamību un kvalitātes uzlabošanos un   elektronisko sakaru tīklu attīstību, radot labumu patērētājiem un sekmējot ekonomisko attīstību;</w:t>
      </w:r>
    </w:p>
    <w:p w:rsidRPr="00FB05D0" w:rsidR="00FB05D0" w:rsidP="00FB05D0" w:rsidRDefault="00FB05D0" w14:paraId="27DD605B" w14:textId="77777777">
      <w:pPr>
        <w:spacing w:after="0" w:line="240" w:lineRule="auto"/>
        <w:ind w:firstLine="720"/>
        <w:jc w:val="both"/>
        <w:rPr>
          <w:rFonts w:ascii="Cambria" w:hAnsi="Cambria" w:cstheme="minorHAnsi"/>
          <w:color w:val="000000" w:themeColor="text1"/>
          <w:sz w:val="24"/>
          <w:szCs w:val="24"/>
        </w:rPr>
      </w:pPr>
      <w:r w:rsidRPr="00FB05D0">
        <w:rPr>
          <w:rFonts w:ascii="Cambria" w:hAnsi="Cambria" w:cstheme="minorHAnsi"/>
          <w:color w:val="000000" w:themeColor="text1"/>
          <w:sz w:val="24"/>
          <w:szCs w:val="24"/>
        </w:rPr>
        <w:t>2) neuzliek attiecīgajiem elektronisko sakaru komersantiem ierobežojumus, kuri nav nepieciešami kopīgas ierobežotas joslas izmantošanas mērķu  sasniegšanai;</w:t>
      </w:r>
    </w:p>
    <w:p w:rsidRPr="00FB05D0" w:rsidR="00FB05D0" w:rsidP="00FB05D0" w:rsidRDefault="00FB05D0" w14:paraId="72C63F26" w14:textId="77777777">
      <w:pPr>
        <w:spacing w:after="0" w:line="240" w:lineRule="auto"/>
        <w:ind w:firstLine="720"/>
        <w:jc w:val="both"/>
        <w:rPr>
          <w:rFonts w:ascii="Cambria" w:hAnsi="Cambria" w:cstheme="minorHAnsi"/>
          <w:color w:val="000000" w:themeColor="text1"/>
          <w:sz w:val="24"/>
          <w:szCs w:val="24"/>
        </w:rPr>
      </w:pPr>
      <w:r w:rsidRPr="00FB05D0">
        <w:rPr>
          <w:rFonts w:ascii="Cambria" w:hAnsi="Cambria" w:cstheme="minorHAnsi"/>
          <w:color w:val="000000" w:themeColor="text1"/>
          <w:sz w:val="24"/>
          <w:szCs w:val="24"/>
        </w:rPr>
        <w:t>3) vai kopīga ierobežotas joslas izmantošana nedod iespēju likvidēt konkurenci ievērojamā konkrētā tirgus daļā.</w:t>
      </w:r>
    </w:p>
    <w:p w:rsidRPr="00FB05D0" w:rsidR="00FB05D0" w:rsidP="00FB05D0" w:rsidRDefault="00FB05D0" w14:paraId="3A718892" w14:textId="77777777">
      <w:pPr>
        <w:spacing w:after="0" w:line="240" w:lineRule="auto"/>
        <w:ind w:firstLine="720"/>
        <w:jc w:val="both"/>
        <w:rPr>
          <w:rFonts w:ascii="Cambria" w:hAnsi="Cambria" w:cstheme="minorHAnsi"/>
          <w:color w:val="000000" w:themeColor="text1"/>
          <w:sz w:val="24"/>
          <w:szCs w:val="24"/>
        </w:rPr>
      </w:pPr>
      <w:r w:rsidRPr="00FB05D0">
        <w:rPr>
          <w:rFonts w:ascii="Cambria" w:hAnsi="Cambria" w:cstheme="minorHAnsi"/>
          <w:color w:val="000000" w:themeColor="text1"/>
          <w:sz w:val="24"/>
          <w:szCs w:val="24"/>
        </w:rPr>
        <w:t>(3) Pirms kopīgas ierobežotas joslas izmantošanas uzsākšanas elektronisko sakaru komersanti paziņo Regulatoram par kopīgas ierobežotas joslas izmantošanas uzsākšanu.</w:t>
      </w:r>
    </w:p>
    <w:p w:rsidRPr="00FB05D0" w:rsidR="00FB05D0" w:rsidP="00FB05D0" w:rsidRDefault="00FB05D0" w14:paraId="309114F1" w14:textId="77777777">
      <w:pPr>
        <w:spacing w:after="0" w:line="240" w:lineRule="auto"/>
        <w:ind w:firstLine="720"/>
        <w:jc w:val="both"/>
        <w:rPr>
          <w:rFonts w:ascii="Cambria" w:hAnsi="Cambria" w:cstheme="minorHAnsi"/>
          <w:color w:val="000000" w:themeColor="text1"/>
          <w:sz w:val="24"/>
          <w:szCs w:val="24"/>
        </w:rPr>
      </w:pPr>
      <w:r w:rsidRPr="00FB05D0">
        <w:rPr>
          <w:rFonts w:ascii="Cambria" w:hAnsi="Cambria" w:cstheme="minorHAnsi"/>
          <w:color w:val="000000" w:themeColor="text1"/>
          <w:sz w:val="24"/>
          <w:szCs w:val="24"/>
        </w:rPr>
        <w:lastRenderedPageBreak/>
        <w:t>(4) Viena mēneša laikā pēc paziņojuma par kopīgas ierobežotas joslas saņemšanas Regulators reģistrē kopīgas ierobežotas joslas izmantošanu.</w:t>
      </w:r>
    </w:p>
    <w:p w:rsidRPr="00FB05D0" w:rsidR="00FB05D0" w:rsidP="00FB05D0" w:rsidRDefault="00FB05D0" w14:paraId="48DD3B77" w14:textId="77777777">
      <w:pPr>
        <w:spacing w:after="0" w:line="240" w:lineRule="auto"/>
        <w:ind w:firstLine="720"/>
        <w:jc w:val="both"/>
        <w:rPr>
          <w:rFonts w:ascii="Cambria" w:hAnsi="Cambria" w:cstheme="minorHAnsi"/>
          <w:color w:val="000000" w:themeColor="text1"/>
          <w:sz w:val="24"/>
          <w:szCs w:val="24"/>
        </w:rPr>
      </w:pPr>
      <w:r w:rsidRPr="00FB05D0">
        <w:rPr>
          <w:rFonts w:ascii="Cambria" w:hAnsi="Cambria" w:cstheme="minorHAnsi"/>
          <w:color w:val="000000" w:themeColor="text1"/>
          <w:sz w:val="24"/>
          <w:szCs w:val="24"/>
        </w:rPr>
        <w:t>(5) Valsts akciju sabiedrība "Elektroniskie sakari" izsniedz radiofrekvences piešķīruma lietošanas atļaujas elektronisko sakaru komersantiem pēc Regulatora veiktās reģistrācijas  par kopīgu ierobežotas joslas izmantošanu.</w:t>
      </w:r>
    </w:p>
    <w:p w:rsidR="00FB05D0" w:rsidP="00FB05D0" w:rsidRDefault="00FB05D0" w14:paraId="5403AD48" w14:textId="12436C49">
      <w:pPr>
        <w:spacing w:after="0" w:line="240" w:lineRule="auto"/>
        <w:ind w:firstLine="720"/>
        <w:jc w:val="both"/>
        <w:rPr>
          <w:rFonts w:ascii="Cambria" w:hAnsi="Cambria" w:cstheme="minorHAnsi"/>
          <w:color w:val="000000" w:themeColor="text1"/>
          <w:sz w:val="24"/>
          <w:szCs w:val="24"/>
        </w:rPr>
      </w:pPr>
      <w:r w:rsidRPr="00FB05D0">
        <w:rPr>
          <w:rFonts w:ascii="Cambria" w:hAnsi="Cambria" w:cstheme="minorHAnsi"/>
          <w:color w:val="000000" w:themeColor="text1"/>
          <w:sz w:val="24"/>
          <w:szCs w:val="24"/>
        </w:rPr>
        <w:t>(6) Regulatoram ir tiesības ar lēmumu noteikt elektronisko sakaru komersantiem pienākumu par kopīgu ierobežotas joslas izmantošanu, ja tas vecinās radiofrekvenču spektra racionālu un efektīvu izmantošanu. Regulators izdot noteikumus par kritērijiem, kad var tikt pieņemts attiecīgais lēmums. Valsts akciju sabiedrība "Elektroniskie sakari" izsniedz radiofrekvences piešķīruma lietošanas atļaujas elektronisko sakaru komersantiem atbilstoši Regulatora lēmumam par kopīgu ierobežotas joslas izmantošanu.</w:t>
      </w:r>
      <w:r>
        <w:rPr>
          <w:rFonts w:ascii="Cambria" w:hAnsi="Cambria" w:cstheme="minorHAnsi"/>
          <w:color w:val="000000" w:themeColor="text1"/>
          <w:sz w:val="24"/>
          <w:szCs w:val="24"/>
        </w:rPr>
        <w:t>”</w:t>
      </w:r>
    </w:p>
    <w:p w:rsidR="00FB05D0" w:rsidP="00FB05D0" w:rsidRDefault="00FB05D0" w14:paraId="3F9DD4C2" w14:textId="1E709F78">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LTRK ieskatā šāda redakcija</w:t>
      </w:r>
      <w:r w:rsidRPr="00FB05D0">
        <w:rPr>
          <w:rFonts w:ascii="Cambria" w:hAnsi="Cambria" w:cstheme="minorHAnsi"/>
          <w:color w:val="000000" w:themeColor="text1"/>
          <w:sz w:val="24"/>
          <w:szCs w:val="24"/>
        </w:rPr>
        <w:t xml:space="preserve"> nodrošinātu kopīgas ierobežotas joslas izmantošanas regulēšanas režīmu atbilstoši Kodeksam un nošķirt</w:t>
      </w:r>
      <w:r>
        <w:rPr>
          <w:rFonts w:ascii="Cambria" w:hAnsi="Cambria" w:cstheme="minorHAnsi"/>
          <w:color w:val="000000" w:themeColor="text1"/>
          <w:sz w:val="24"/>
          <w:szCs w:val="24"/>
        </w:rPr>
        <w:t>u</w:t>
      </w:r>
      <w:r w:rsidRPr="00FB05D0">
        <w:rPr>
          <w:rFonts w:ascii="Cambria" w:hAnsi="Cambria" w:cstheme="minorHAnsi"/>
          <w:color w:val="000000" w:themeColor="text1"/>
          <w:sz w:val="24"/>
          <w:szCs w:val="24"/>
        </w:rPr>
        <w:t xml:space="preserve"> regulēšanas režīmus lietošanas tiesību tālāknodošanai un kopīgai izmantošanai</w:t>
      </w:r>
      <w:r>
        <w:rPr>
          <w:rFonts w:ascii="Cambria" w:hAnsi="Cambria" w:cstheme="minorHAnsi"/>
          <w:color w:val="000000" w:themeColor="text1"/>
          <w:sz w:val="24"/>
          <w:szCs w:val="24"/>
        </w:rPr>
        <w:t>.</w:t>
      </w:r>
    </w:p>
    <w:p w:rsidR="00FB05D0" w:rsidP="00FB05D0" w:rsidRDefault="00FB05D0" w14:paraId="61A26E9F" w14:textId="2F7AB429">
      <w:pPr>
        <w:spacing w:after="0" w:line="240" w:lineRule="auto"/>
        <w:ind w:firstLine="720"/>
        <w:jc w:val="both"/>
        <w:rPr>
          <w:rFonts w:ascii="Cambria" w:hAnsi="Cambria" w:cstheme="minorHAnsi"/>
          <w:color w:val="000000" w:themeColor="text1"/>
          <w:sz w:val="24"/>
          <w:szCs w:val="24"/>
        </w:rPr>
      </w:pPr>
    </w:p>
    <w:p w:rsidRPr="0041781E" w:rsidR="00FB05D0" w:rsidP="00FB05D0" w:rsidRDefault="00FB05D0" w14:paraId="115E600A" w14:textId="30082CA9">
      <w:pPr>
        <w:spacing w:after="0" w:line="240" w:lineRule="auto"/>
        <w:ind w:firstLine="720"/>
        <w:jc w:val="both"/>
        <w:rPr>
          <w:rFonts w:ascii="Cambria" w:hAnsi="Cambria" w:cstheme="minorHAnsi"/>
          <w:color w:val="000000" w:themeColor="text1"/>
          <w:sz w:val="24"/>
          <w:szCs w:val="24"/>
        </w:rPr>
      </w:pPr>
      <w:r>
        <w:rPr>
          <w:rFonts w:ascii="Cambria" w:hAnsi="Cambria" w:cstheme="minorHAnsi"/>
          <w:color w:val="000000" w:themeColor="text1"/>
          <w:sz w:val="24"/>
          <w:szCs w:val="24"/>
        </w:rPr>
        <w:t xml:space="preserve">[8.] </w:t>
      </w:r>
      <w:r w:rsidR="005F3EFC">
        <w:rPr>
          <w:rFonts w:ascii="Cambria" w:hAnsi="Cambria" w:cstheme="minorHAnsi"/>
          <w:color w:val="000000" w:themeColor="text1"/>
          <w:sz w:val="24"/>
          <w:szCs w:val="24"/>
        </w:rPr>
        <w:t>attiecībā par likumprojekta pantiem sākot no 108.panta līdz 112.pantam, LTRK norāda, ka</w:t>
      </w:r>
      <w:r w:rsidRPr="005F3EFC" w:rsidR="005F3EFC">
        <w:rPr>
          <w:rFonts w:ascii="Cambria" w:hAnsi="Cambria" w:cstheme="minorHAnsi"/>
          <w:color w:val="000000" w:themeColor="text1"/>
          <w:sz w:val="24"/>
          <w:szCs w:val="24"/>
        </w:rPr>
        <w:t xml:space="preserve"> publiski</w:t>
      </w:r>
      <w:r w:rsidR="005F3EFC">
        <w:rPr>
          <w:rFonts w:ascii="Cambria" w:hAnsi="Cambria" w:cstheme="minorHAnsi"/>
          <w:color w:val="000000" w:themeColor="text1"/>
          <w:sz w:val="24"/>
          <w:szCs w:val="24"/>
        </w:rPr>
        <w:t xml:space="preserve"> nav</w:t>
      </w:r>
      <w:r w:rsidRPr="005F3EFC" w:rsidR="005F3EFC">
        <w:rPr>
          <w:rFonts w:ascii="Cambria" w:hAnsi="Cambria" w:cstheme="minorHAnsi"/>
          <w:color w:val="000000" w:themeColor="text1"/>
          <w:sz w:val="24"/>
          <w:szCs w:val="24"/>
        </w:rPr>
        <w:t xml:space="preserve"> pieejamās informācijas par minētajos pantos noteiktajiem pārkāpumiem Latvijā, </w:t>
      </w:r>
      <w:r w:rsidR="005F3EFC">
        <w:rPr>
          <w:rFonts w:ascii="Cambria" w:hAnsi="Cambria" w:cstheme="minorHAnsi"/>
          <w:color w:val="000000" w:themeColor="text1"/>
          <w:sz w:val="24"/>
          <w:szCs w:val="24"/>
        </w:rPr>
        <w:t xml:space="preserve">kā arī </w:t>
      </w:r>
      <w:r w:rsidRPr="005F3EFC" w:rsidR="005F3EFC">
        <w:rPr>
          <w:rFonts w:ascii="Cambria" w:hAnsi="Cambria" w:cstheme="minorHAnsi"/>
          <w:color w:val="000000" w:themeColor="text1"/>
          <w:sz w:val="24"/>
          <w:szCs w:val="24"/>
        </w:rPr>
        <w:t>Kodekss šādu sodu palielinājumu</w:t>
      </w:r>
      <w:r w:rsidR="005F3EFC">
        <w:rPr>
          <w:rFonts w:ascii="Cambria" w:hAnsi="Cambria" w:cstheme="minorHAnsi"/>
          <w:color w:val="000000" w:themeColor="text1"/>
          <w:sz w:val="24"/>
          <w:szCs w:val="24"/>
        </w:rPr>
        <w:t>, kāds ir minētajos pantos,</w:t>
      </w:r>
      <w:r w:rsidRPr="005F3EFC" w:rsidR="005F3EFC">
        <w:rPr>
          <w:rFonts w:ascii="Cambria" w:hAnsi="Cambria" w:cstheme="minorHAnsi"/>
          <w:color w:val="000000" w:themeColor="text1"/>
          <w:sz w:val="24"/>
          <w:szCs w:val="24"/>
        </w:rPr>
        <w:t xml:space="preserve"> neparedz</w:t>
      </w:r>
      <w:r w:rsidR="005F3EFC">
        <w:rPr>
          <w:rFonts w:ascii="Cambria" w:hAnsi="Cambria" w:cstheme="minorHAnsi"/>
          <w:color w:val="000000" w:themeColor="text1"/>
          <w:sz w:val="24"/>
          <w:szCs w:val="24"/>
        </w:rPr>
        <w:t>. Pamatojomums nav norādīts arī</w:t>
      </w:r>
      <w:r w:rsidRPr="005F3EFC" w:rsidR="005F3EFC">
        <w:rPr>
          <w:rFonts w:ascii="Cambria" w:hAnsi="Cambria" w:cstheme="minorHAnsi"/>
          <w:color w:val="000000" w:themeColor="text1"/>
          <w:sz w:val="24"/>
          <w:szCs w:val="24"/>
        </w:rPr>
        <w:t xml:space="preserve"> likumprojekta anotācijā.</w:t>
      </w:r>
      <w:r w:rsidR="005F3EFC">
        <w:rPr>
          <w:rFonts w:ascii="Cambria" w:hAnsi="Cambria" w:cstheme="minorHAnsi"/>
          <w:color w:val="000000" w:themeColor="text1"/>
          <w:sz w:val="24"/>
          <w:szCs w:val="24"/>
        </w:rPr>
        <w:t xml:space="preserve"> Vienlaikus a</w:t>
      </w:r>
      <w:r w:rsidRPr="005F3EFC" w:rsidR="005F3EFC">
        <w:rPr>
          <w:rFonts w:ascii="Cambria" w:hAnsi="Cambria" w:cstheme="minorHAnsi"/>
          <w:color w:val="000000" w:themeColor="text1"/>
          <w:sz w:val="24"/>
          <w:szCs w:val="24"/>
        </w:rPr>
        <w:t xml:space="preserve">notācijā norādīts, ka “XVII nodaļā “Administratīvie pārkāpumi elektronisko sakaru jomā un kompetence administratīvo pārkāpumu procesā” saglabāts ESL regulējums, kas stājās spēkā 2020.gada 1.jūlijā”, taču </w:t>
      </w:r>
      <w:r w:rsidR="005F3EFC">
        <w:rPr>
          <w:rFonts w:ascii="Cambria" w:hAnsi="Cambria" w:cstheme="minorHAnsi"/>
          <w:color w:val="000000" w:themeColor="text1"/>
          <w:sz w:val="24"/>
          <w:szCs w:val="24"/>
        </w:rPr>
        <w:t xml:space="preserve">LTRK tam nepiekrīt, jo, </w:t>
      </w:r>
      <w:r w:rsidRPr="005F3EFC" w:rsidR="005F3EFC">
        <w:rPr>
          <w:rFonts w:ascii="Cambria" w:hAnsi="Cambria" w:cstheme="minorHAnsi"/>
          <w:color w:val="000000" w:themeColor="text1"/>
          <w:sz w:val="24"/>
          <w:szCs w:val="24"/>
        </w:rPr>
        <w:t>piemēram, sodu apmēri likumprojektā ir paredzēti citādi nekā Elektronisko sakaru likuma aktuālajā redakcijā</w:t>
      </w:r>
      <w:r w:rsidR="005F3EFC">
        <w:rPr>
          <w:rFonts w:ascii="Cambria" w:hAnsi="Cambria" w:cstheme="minorHAnsi"/>
          <w:color w:val="000000" w:themeColor="text1"/>
          <w:sz w:val="24"/>
          <w:szCs w:val="24"/>
        </w:rPr>
        <w:t>. LTRK nepiekrīt nesamērīgais sodu palielināšanai bez objektīva pamatojuma vai normatīvā pamatojuma.</w:t>
      </w:r>
    </w:p>
    <w:p w:rsidR="00D72EFC" w:rsidP="00F556D2" w:rsidRDefault="00D72EFC" w14:paraId="223D21C6" w14:textId="335B6ED7">
      <w:pPr>
        <w:spacing w:after="0" w:line="240" w:lineRule="auto"/>
        <w:jc w:val="both"/>
        <w:rPr>
          <w:rFonts w:ascii="Cambria" w:hAnsi="Cambria" w:eastAsiaTheme="minorEastAsia" w:cstheme="minorHAnsi"/>
          <w:color w:val="000000" w:themeColor="text1"/>
          <w:sz w:val="24"/>
          <w:szCs w:val="24"/>
          <w:lang w:eastAsia="lv-LV"/>
        </w:rPr>
      </w:pPr>
    </w:p>
    <w:p w:rsidR="006C356E" w:rsidP="00F556D2" w:rsidRDefault="006C356E" w14:paraId="604E8EB3" w14:textId="44A60DE3">
      <w:pPr>
        <w:spacing w:after="0" w:line="240" w:lineRule="auto"/>
        <w:jc w:val="both"/>
        <w:rPr>
          <w:rFonts w:ascii="Cambria" w:hAnsi="Cambria" w:eastAsiaTheme="minorEastAsia" w:cstheme="minorHAnsi"/>
          <w:color w:val="000000" w:themeColor="text1"/>
          <w:sz w:val="24"/>
          <w:szCs w:val="24"/>
          <w:lang w:eastAsia="lv-LV"/>
        </w:rPr>
      </w:pPr>
    </w:p>
    <w:p w:rsidRPr="005A3D4B" w:rsidR="005F3EFC" w:rsidP="00F556D2" w:rsidRDefault="005F3EFC" w14:paraId="316F83AD" w14:textId="77777777">
      <w:pPr>
        <w:spacing w:after="0" w:line="240" w:lineRule="auto"/>
        <w:jc w:val="both"/>
        <w:rPr>
          <w:rFonts w:ascii="Cambria" w:hAnsi="Cambria" w:eastAsiaTheme="minorEastAsia" w:cstheme="minorHAnsi"/>
          <w:color w:val="000000" w:themeColor="text1"/>
          <w:sz w:val="24"/>
          <w:szCs w:val="24"/>
          <w:lang w:eastAsia="lv-LV"/>
        </w:rPr>
      </w:pPr>
    </w:p>
    <w:p w:rsidRPr="005A3D4B" w:rsidR="0055332D" w:rsidP="000F5C26" w:rsidRDefault="0055332D" w14:paraId="226FD10A" w14:textId="77777777">
      <w:pPr>
        <w:spacing w:after="0" w:line="240" w:lineRule="auto"/>
        <w:rPr>
          <w:rFonts w:ascii="Cambria" w:hAnsi="Cambria" w:eastAsia="Calibri" w:cs="Times New Roman"/>
          <w:sz w:val="24"/>
          <w:szCs w:val="24"/>
        </w:rPr>
      </w:pPr>
      <w:r w:rsidRPr="005A3D4B">
        <w:rPr>
          <w:rFonts w:ascii="Cambria" w:hAnsi="Cambria" w:eastAsia="Calibri" w:cs="Times New Roman"/>
          <w:sz w:val="24"/>
          <w:szCs w:val="24"/>
        </w:rPr>
        <w:t>Ar cieņu,</w:t>
      </w:r>
      <w:r w:rsidRPr="005A3D4B">
        <w:rPr>
          <w:rFonts w:ascii="Cambria" w:hAnsi="Cambria" w:eastAsia="Calibri" w:cs="Times New Roman"/>
          <w:sz w:val="24"/>
          <w:szCs w:val="24"/>
        </w:rPr>
        <w:tab/>
      </w:r>
    </w:p>
    <w:p w:rsidR="001C4E05" w:rsidP="00C2490E" w:rsidRDefault="0055332D" w14:paraId="5713FCBF" w14:textId="79F584C7">
      <w:pPr>
        <w:tabs>
          <w:tab w:val="left" w:pos="7655"/>
        </w:tabs>
        <w:spacing w:after="0" w:line="240" w:lineRule="auto"/>
        <w:rPr>
          <w:rFonts w:ascii="Cambria" w:hAnsi="Cambria" w:eastAsia="Calibri" w:cs="Times New Roman"/>
          <w:sz w:val="24"/>
          <w:szCs w:val="24"/>
        </w:rPr>
      </w:pPr>
      <w:r w:rsidRPr="005A3D4B">
        <w:rPr>
          <w:rFonts w:ascii="Cambria" w:hAnsi="Cambria" w:eastAsia="Calibri" w:cs="Times New Roman"/>
          <w:sz w:val="24"/>
          <w:szCs w:val="24"/>
        </w:rPr>
        <w:t>Valdes priekšsēdētāj</w:t>
      </w:r>
      <w:r w:rsidR="0097374C">
        <w:rPr>
          <w:rFonts w:ascii="Cambria" w:hAnsi="Cambria" w:eastAsia="Calibri" w:cs="Times New Roman"/>
          <w:sz w:val="24"/>
          <w:szCs w:val="24"/>
        </w:rPr>
        <w:t xml:space="preserve">s                                                                                                       </w:t>
      </w:r>
      <w:r w:rsidRPr="005A3D4B">
        <w:rPr>
          <w:rFonts w:ascii="Cambria" w:hAnsi="Cambria" w:eastAsia="Calibri" w:cs="Times New Roman"/>
          <w:sz w:val="24"/>
          <w:szCs w:val="24"/>
        </w:rPr>
        <w:t xml:space="preserve">Jānis </w:t>
      </w:r>
      <w:r w:rsidR="0097374C">
        <w:rPr>
          <w:rFonts w:ascii="Cambria" w:hAnsi="Cambria" w:eastAsia="Calibri" w:cs="Times New Roman"/>
          <w:sz w:val="24"/>
          <w:szCs w:val="24"/>
        </w:rPr>
        <w:t>Endziņš</w:t>
      </w:r>
    </w:p>
    <w:p w:rsidR="00D72EFC" w:rsidP="00C2490E" w:rsidRDefault="00D72EFC" w14:paraId="62E30F5F" w14:textId="5AF3BCFA">
      <w:pPr>
        <w:tabs>
          <w:tab w:val="left" w:pos="7655"/>
        </w:tabs>
        <w:spacing w:after="0" w:line="240" w:lineRule="auto"/>
        <w:rPr>
          <w:rFonts w:ascii="Cambria" w:hAnsi="Cambria" w:eastAsia="Calibri" w:cs="Times New Roman"/>
          <w:sz w:val="24"/>
          <w:szCs w:val="24"/>
        </w:rPr>
      </w:pPr>
    </w:p>
    <w:p w:rsidR="00692F29" w:rsidP="00C2490E" w:rsidRDefault="00692F29" w14:paraId="53A5B83B" w14:textId="1799A17A">
      <w:pPr>
        <w:tabs>
          <w:tab w:val="left" w:pos="7655"/>
        </w:tabs>
        <w:spacing w:after="0" w:line="240" w:lineRule="auto"/>
        <w:rPr>
          <w:rFonts w:ascii="Cambria" w:hAnsi="Cambria" w:eastAsia="Calibri" w:cs="Times New Roman"/>
          <w:sz w:val="24"/>
          <w:szCs w:val="24"/>
        </w:rPr>
      </w:pPr>
    </w:p>
    <w:p w:rsidR="00692F29" w:rsidP="00C2490E" w:rsidRDefault="00692F29" w14:paraId="7BD48A53" w14:textId="23CB9D85">
      <w:pPr>
        <w:tabs>
          <w:tab w:val="left" w:pos="7655"/>
        </w:tabs>
        <w:spacing w:after="0" w:line="240" w:lineRule="auto"/>
        <w:rPr>
          <w:rFonts w:ascii="Cambria" w:hAnsi="Cambria" w:eastAsia="Calibri" w:cs="Times New Roman"/>
          <w:sz w:val="24"/>
          <w:szCs w:val="24"/>
        </w:rPr>
      </w:pPr>
    </w:p>
    <w:p w:rsidR="00692F29" w:rsidP="00C2490E" w:rsidRDefault="00692F29" w14:paraId="5566CB76" w14:textId="63984708">
      <w:pPr>
        <w:tabs>
          <w:tab w:val="left" w:pos="7655"/>
        </w:tabs>
        <w:spacing w:after="0" w:line="240" w:lineRule="auto"/>
        <w:rPr>
          <w:rFonts w:ascii="Cambria" w:hAnsi="Cambria" w:eastAsia="Calibri" w:cs="Times New Roman"/>
          <w:sz w:val="24"/>
          <w:szCs w:val="24"/>
        </w:rPr>
      </w:pPr>
    </w:p>
    <w:p w:rsidR="00692F29" w:rsidP="00C2490E" w:rsidRDefault="00692F29" w14:paraId="63E9DD96" w14:textId="1DE6C1F9">
      <w:pPr>
        <w:tabs>
          <w:tab w:val="left" w:pos="7655"/>
        </w:tabs>
        <w:spacing w:after="0" w:line="240" w:lineRule="auto"/>
        <w:rPr>
          <w:rFonts w:ascii="Cambria" w:hAnsi="Cambria" w:eastAsia="Calibri" w:cs="Times New Roman"/>
          <w:sz w:val="24"/>
          <w:szCs w:val="24"/>
        </w:rPr>
      </w:pPr>
    </w:p>
    <w:p w:rsidR="00692F29" w:rsidP="00C2490E" w:rsidRDefault="00692F29" w14:paraId="38AC3850" w14:textId="41F91A26">
      <w:pPr>
        <w:tabs>
          <w:tab w:val="left" w:pos="7655"/>
        </w:tabs>
        <w:spacing w:after="0" w:line="240" w:lineRule="auto"/>
        <w:rPr>
          <w:rFonts w:ascii="Cambria" w:hAnsi="Cambria" w:eastAsia="Calibri" w:cs="Times New Roman"/>
          <w:sz w:val="24"/>
          <w:szCs w:val="24"/>
        </w:rPr>
      </w:pPr>
    </w:p>
    <w:p w:rsidR="00692F29" w:rsidP="00C2490E" w:rsidRDefault="00692F29" w14:paraId="3781D5F2" w14:textId="77777777">
      <w:pPr>
        <w:tabs>
          <w:tab w:val="left" w:pos="7655"/>
        </w:tabs>
        <w:spacing w:after="0" w:line="240" w:lineRule="auto"/>
        <w:rPr>
          <w:rFonts w:ascii="Cambria" w:hAnsi="Cambria" w:eastAsia="Calibri" w:cs="Times New Roman"/>
          <w:sz w:val="24"/>
          <w:szCs w:val="24"/>
        </w:rPr>
      </w:pPr>
    </w:p>
    <w:p w:rsidR="00D72EFC" w:rsidP="00C2490E" w:rsidRDefault="00D72EFC" w14:paraId="663BD059" w14:textId="77777777">
      <w:pPr>
        <w:tabs>
          <w:tab w:val="left" w:pos="7655"/>
        </w:tabs>
        <w:spacing w:after="0" w:line="240" w:lineRule="auto"/>
        <w:rPr>
          <w:rFonts w:ascii="Cambria" w:hAnsi="Cambria" w:eastAsia="Calibri" w:cs="Times New Roman"/>
          <w:sz w:val="24"/>
          <w:szCs w:val="24"/>
        </w:rPr>
      </w:pPr>
    </w:p>
    <w:p w:rsidR="00D72EFC" w:rsidP="00C2490E" w:rsidRDefault="00D72EFC" w14:paraId="70DF8FBE" w14:textId="3EDAF901">
      <w:pPr>
        <w:tabs>
          <w:tab w:val="left" w:pos="7655"/>
        </w:tabs>
        <w:spacing w:after="0" w:line="240" w:lineRule="auto"/>
        <w:rPr>
          <w:rFonts w:ascii="Cambria" w:hAnsi="Cambria" w:eastAsia="Calibri" w:cs="Times New Roman"/>
          <w:sz w:val="24"/>
          <w:szCs w:val="24"/>
        </w:rPr>
      </w:pPr>
    </w:p>
    <w:p w:rsidR="00D72EFC" w:rsidP="00C2490E" w:rsidRDefault="00D72EFC" w14:paraId="431277EC" w14:textId="77777777">
      <w:pPr>
        <w:tabs>
          <w:tab w:val="left" w:pos="7655"/>
        </w:tabs>
        <w:spacing w:after="0" w:line="240" w:lineRule="auto"/>
        <w:rPr>
          <w:rFonts w:ascii="Cambria" w:hAnsi="Cambria" w:eastAsia="Calibri" w:cs="Times New Roman"/>
          <w:sz w:val="24"/>
          <w:szCs w:val="24"/>
        </w:rPr>
      </w:pPr>
    </w:p>
    <w:p w:rsidRPr="005A3D4B" w:rsidR="0055332D" w:rsidP="00D72EFC" w:rsidRDefault="00D72EFC" w14:paraId="76371953" w14:textId="1FB4CFE9">
      <w:pPr>
        <w:tabs>
          <w:tab w:val="left" w:pos="7655"/>
        </w:tabs>
        <w:spacing w:after="0" w:line="240" w:lineRule="auto"/>
        <w:jc w:val="center"/>
        <w:rPr>
          <w:rFonts w:ascii="Cambria" w:hAnsi="Cambria" w:eastAsia="Calibri" w:cs="Times New Roman"/>
          <w:b/>
          <w:color w:val="000000" w:themeColor="text1"/>
          <w:sz w:val="24"/>
          <w:szCs w:val="24"/>
        </w:rPr>
      </w:pPr>
      <w:r w:rsidRPr="005A3D4B">
        <w:rPr>
          <w:rFonts w:ascii="Cambria" w:hAnsi="Cambria" w:eastAsia="Calibri" w:cs="Times New Roman"/>
          <w:b/>
          <w:color w:val="000000" w:themeColor="text1"/>
          <w:sz w:val="24"/>
          <w:szCs w:val="24"/>
        </w:rPr>
        <w:t>DOKUMENTS IR PARAKSTITS AR DROŠU ELEKTRONISKO PARAKSTU UN SATUR LAIKA ZĪMOGU</w:t>
      </w:r>
    </w:p>
    <w:sectPr w:rsidRPr="005A3D4B" w:rsidR="0055332D" w:rsidSect="00AC1D40">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EC75" w14:textId="77777777" w:rsidR="00A7706E" w:rsidRDefault="00A7706E" w:rsidP="00F41D2C">
      <w:pPr>
        <w:spacing w:after="0" w:line="240" w:lineRule="auto"/>
      </w:pPr>
      <w:r>
        <w:separator/>
      </w:r>
    </w:p>
  </w:endnote>
  <w:endnote w:type="continuationSeparator" w:id="0">
    <w:p w14:paraId="537E9D10" w14:textId="77777777" w:rsidR="00A7706E" w:rsidRDefault="00A7706E" w:rsidP="00F4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id w:val="630832681"/>
      <w:docPartObj>
        <w:docPartGallery w:val="Page Numbers (Bottom of Page)"/>
        <w:docPartUnique/>
      </w:docPartObj>
    </w:sdtPr>
    <w:sdtEndPr>
      <w:rPr>
        <w:noProof/>
      </w:rPr>
    </w:sdtEndPr>
    <w:sdtContent>
      <w:p w14:paraId="3A03BD16" w14:textId="77777777" w:rsidR="00F931C4" w:rsidRPr="00F931C4" w:rsidRDefault="00F931C4">
        <w:pPr>
          <w:pStyle w:val="Footer"/>
          <w:jc w:val="right"/>
          <w:rPr>
            <w:rFonts w:ascii="Cambria" w:hAnsi="Cambria"/>
          </w:rPr>
        </w:pPr>
        <w:r w:rsidRPr="00F931C4">
          <w:rPr>
            <w:rFonts w:ascii="Cambria" w:hAnsi="Cambria"/>
          </w:rPr>
          <w:fldChar w:fldCharType="begin"/>
        </w:r>
        <w:r w:rsidRPr="00F931C4">
          <w:rPr>
            <w:rFonts w:ascii="Cambria" w:hAnsi="Cambria"/>
          </w:rPr>
          <w:instrText xml:space="preserve"> PAGE   \* MERGEFORMAT </w:instrText>
        </w:r>
        <w:r w:rsidRPr="00F931C4">
          <w:rPr>
            <w:rFonts w:ascii="Cambria" w:hAnsi="Cambria"/>
          </w:rPr>
          <w:fldChar w:fldCharType="separate"/>
        </w:r>
        <w:r w:rsidR="008800F5">
          <w:rPr>
            <w:rFonts w:ascii="Cambria" w:hAnsi="Cambria"/>
            <w:noProof/>
          </w:rPr>
          <w:t>2</w:t>
        </w:r>
        <w:r w:rsidRPr="00F931C4">
          <w:rPr>
            <w:rFonts w:ascii="Cambria" w:hAnsi="Cambria"/>
            <w:noProof/>
          </w:rPr>
          <w:fldChar w:fldCharType="end"/>
        </w:r>
      </w:p>
    </w:sdtContent>
  </w:sdt>
  <w:p w14:paraId="3C79C35E" w14:textId="77777777" w:rsidR="00F931C4" w:rsidRPr="00F931C4" w:rsidRDefault="00F931C4">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2661" w14:textId="77777777" w:rsidR="00A7706E" w:rsidRDefault="00A7706E" w:rsidP="00F41D2C">
      <w:pPr>
        <w:spacing w:after="0" w:line="240" w:lineRule="auto"/>
      </w:pPr>
      <w:r>
        <w:separator/>
      </w:r>
    </w:p>
  </w:footnote>
  <w:footnote w:type="continuationSeparator" w:id="0">
    <w:p w14:paraId="7D6AB283" w14:textId="77777777" w:rsidR="00A7706E" w:rsidRDefault="00A7706E" w:rsidP="00F41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844F7"/>
    <w:multiLevelType w:val="hybridMultilevel"/>
    <w:tmpl w:val="C5F03BD6"/>
    <w:lvl w:ilvl="0" w:tplc="B54CB3E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C3"/>
    <w:rsid w:val="00030ED7"/>
    <w:rsid w:val="000453D8"/>
    <w:rsid w:val="000525D8"/>
    <w:rsid w:val="00075A43"/>
    <w:rsid w:val="000B062D"/>
    <w:rsid w:val="000B3784"/>
    <w:rsid w:val="000B59EB"/>
    <w:rsid w:val="000C0E23"/>
    <w:rsid w:val="000C6E4D"/>
    <w:rsid w:val="000D129E"/>
    <w:rsid w:val="000D53A8"/>
    <w:rsid w:val="000E0FFB"/>
    <w:rsid w:val="000E300D"/>
    <w:rsid w:val="000E410A"/>
    <w:rsid w:val="000F5C26"/>
    <w:rsid w:val="00103DF9"/>
    <w:rsid w:val="001158DD"/>
    <w:rsid w:val="00124FA8"/>
    <w:rsid w:val="001251E4"/>
    <w:rsid w:val="00133FFF"/>
    <w:rsid w:val="00137629"/>
    <w:rsid w:val="00143544"/>
    <w:rsid w:val="001512C6"/>
    <w:rsid w:val="0015187E"/>
    <w:rsid w:val="00154164"/>
    <w:rsid w:val="00162443"/>
    <w:rsid w:val="00162714"/>
    <w:rsid w:val="0016318F"/>
    <w:rsid w:val="00175BA3"/>
    <w:rsid w:val="001843C1"/>
    <w:rsid w:val="001B0076"/>
    <w:rsid w:val="001B4C21"/>
    <w:rsid w:val="001C4E05"/>
    <w:rsid w:val="001D3E1C"/>
    <w:rsid w:val="001D4347"/>
    <w:rsid w:val="001E0340"/>
    <w:rsid w:val="001E2BFB"/>
    <w:rsid w:val="001E6391"/>
    <w:rsid w:val="001E6DB6"/>
    <w:rsid w:val="001E75E0"/>
    <w:rsid w:val="001F7D3C"/>
    <w:rsid w:val="002043B2"/>
    <w:rsid w:val="00210E83"/>
    <w:rsid w:val="0021328B"/>
    <w:rsid w:val="00221054"/>
    <w:rsid w:val="00225D1E"/>
    <w:rsid w:val="00232506"/>
    <w:rsid w:val="002409F9"/>
    <w:rsid w:val="00247F4A"/>
    <w:rsid w:val="0025565D"/>
    <w:rsid w:val="0025656D"/>
    <w:rsid w:val="00294EB9"/>
    <w:rsid w:val="0029501C"/>
    <w:rsid w:val="00297732"/>
    <w:rsid w:val="002B1DD1"/>
    <w:rsid w:val="002B2A55"/>
    <w:rsid w:val="002C07CC"/>
    <w:rsid w:val="002C5A07"/>
    <w:rsid w:val="002D02F6"/>
    <w:rsid w:val="002F1522"/>
    <w:rsid w:val="002F3025"/>
    <w:rsid w:val="00300BCA"/>
    <w:rsid w:val="00303A69"/>
    <w:rsid w:val="0030697D"/>
    <w:rsid w:val="00314495"/>
    <w:rsid w:val="00314E7F"/>
    <w:rsid w:val="0031563E"/>
    <w:rsid w:val="003171EA"/>
    <w:rsid w:val="00322ACA"/>
    <w:rsid w:val="0033264F"/>
    <w:rsid w:val="00343569"/>
    <w:rsid w:val="00350870"/>
    <w:rsid w:val="00357639"/>
    <w:rsid w:val="0038679F"/>
    <w:rsid w:val="003929E3"/>
    <w:rsid w:val="00395864"/>
    <w:rsid w:val="00396A1B"/>
    <w:rsid w:val="003B0DFE"/>
    <w:rsid w:val="003B4424"/>
    <w:rsid w:val="003C08F1"/>
    <w:rsid w:val="003D2F93"/>
    <w:rsid w:val="003D380B"/>
    <w:rsid w:val="003F1F44"/>
    <w:rsid w:val="004027D6"/>
    <w:rsid w:val="00404F31"/>
    <w:rsid w:val="004071C3"/>
    <w:rsid w:val="00412466"/>
    <w:rsid w:val="0041781E"/>
    <w:rsid w:val="00432EF8"/>
    <w:rsid w:val="0044362A"/>
    <w:rsid w:val="0045247C"/>
    <w:rsid w:val="004577B4"/>
    <w:rsid w:val="00460213"/>
    <w:rsid w:val="0047471E"/>
    <w:rsid w:val="00487E5C"/>
    <w:rsid w:val="00491068"/>
    <w:rsid w:val="00493764"/>
    <w:rsid w:val="004A6F1C"/>
    <w:rsid w:val="004D41DF"/>
    <w:rsid w:val="004E1B52"/>
    <w:rsid w:val="004E494D"/>
    <w:rsid w:val="004E606B"/>
    <w:rsid w:val="004F1E02"/>
    <w:rsid w:val="004F75BF"/>
    <w:rsid w:val="00510E01"/>
    <w:rsid w:val="00511681"/>
    <w:rsid w:val="00516150"/>
    <w:rsid w:val="00517DB2"/>
    <w:rsid w:val="00521C0D"/>
    <w:rsid w:val="00521D59"/>
    <w:rsid w:val="005320DF"/>
    <w:rsid w:val="0055332D"/>
    <w:rsid w:val="0055650C"/>
    <w:rsid w:val="00561971"/>
    <w:rsid w:val="00563847"/>
    <w:rsid w:val="005A301E"/>
    <w:rsid w:val="005A3D4B"/>
    <w:rsid w:val="005B380E"/>
    <w:rsid w:val="005B3A9F"/>
    <w:rsid w:val="005C08A9"/>
    <w:rsid w:val="005C4FEA"/>
    <w:rsid w:val="005C7FB9"/>
    <w:rsid w:val="005D1E24"/>
    <w:rsid w:val="005E750F"/>
    <w:rsid w:val="005F3EFC"/>
    <w:rsid w:val="005F6735"/>
    <w:rsid w:val="00601633"/>
    <w:rsid w:val="00603257"/>
    <w:rsid w:val="006065FB"/>
    <w:rsid w:val="00612400"/>
    <w:rsid w:val="0061530E"/>
    <w:rsid w:val="006176F6"/>
    <w:rsid w:val="006205A7"/>
    <w:rsid w:val="00631175"/>
    <w:rsid w:val="006340A9"/>
    <w:rsid w:val="00644906"/>
    <w:rsid w:val="0064643F"/>
    <w:rsid w:val="006560C3"/>
    <w:rsid w:val="00657FC8"/>
    <w:rsid w:val="00692CB3"/>
    <w:rsid w:val="00692F29"/>
    <w:rsid w:val="006A0C9A"/>
    <w:rsid w:val="006A65ED"/>
    <w:rsid w:val="006A7E44"/>
    <w:rsid w:val="006B3370"/>
    <w:rsid w:val="006B3D50"/>
    <w:rsid w:val="006C356E"/>
    <w:rsid w:val="006C626B"/>
    <w:rsid w:val="006D2800"/>
    <w:rsid w:val="006D7C45"/>
    <w:rsid w:val="00703ED1"/>
    <w:rsid w:val="00712D32"/>
    <w:rsid w:val="00717A6D"/>
    <w:rsid w:val="0072504D"/>
    <w:rsid w:val="00750D17"/>
    <w:rsid w:val="007562C2"/>
    <w:rsid w:val="00762F28"/>
    <w:rsid w:val="00774F22"/>
    <w:rsid w:val="00777CBD"/>
    <w:rsid w:val="007805E2"/>
    <w:rsid w:val="007839CF"/>
    <w:rsid w:val="00791644"/>
    <w:rsid w:val="007A0372"/>
    <w:rsid w:val="007A2850"/>
    <w:rsid w:val="007A5619"/>
    <w:rsid w:val="007A7286"/>
    <w:rsid w:val="007D0302"/>
    <w:rsid w:val="007F4F13"/>
    <w:rsid w:val="007F778A"/>
    <w:rsid w:val="00806AA0"/>
    <w:rsid w:val="0081499E"/>
    <w:rsid w:val="008358FE"/>
    <w:rsid w:val="0084731F"/>
    <w:rsid w:val="008476E9"/>
    <w:rsid w:val="0085188E"/>
    <w:rsid w:val="00860442"/>
    <w:rsid w:val="00866F19"/>
    <w:rsid w:val="008800F5"/>
    <w:rsid w:val="008832CC"/>
    <w:rsid w:val="00887926"/>
    <w:rsid w:val="008953E3"/>
    <w:rsid w:val="008A0A41"/>
    <w:rsid w:val="008A455C"/>
    <w:rsid w:val="008A47BF"/>
    <w:rsid w:val="008B4D13"/>
    <w:rsid w:val="008B5D61"/>
    <w:rsid w:val="008C34F3"/>
    <w:rsid w:val="008D21D8"/>
    <w:rsid w:val="008E3E9D"/>
    <w:rsid w:val="008F0726"/>
    <w:rsid w:val="008F724D"/>
    <w:rsid w:val="00905FC8"/>
    <w:rsid w:val="00911D5E"/>
    <w:rsid w:val="00915076"/>
    <w:rsid w:val="00927DFB"/>
    <w:rsid w:val="00960E26"/>
    <w:rsid w:val="0096664D"/>
    <w:rsid w:val="0097374C"/>
    <w:rsid w:val="0097609F"/>
    <w:rsid w:val="00985262"/>
    <w:rsid w:val="00990838"/>
    <w:rsid w:val="009940C0"/>
    <w:rsid w:val="0099563B"/>
    <w:rsid w:val="009B4297"/>
    <w:rsid w:val="009C0139"/>
    <w:rsid w:val="009D2CFD"/>
    <w:rsid w:val="009E4265"/>
    <w:rsid w:val="00A02074"/>
    <w:rsid w:val="00A06F3C"/>
    <w:rsid w:val="00A12892"/>
    <w:rsid w:val="00A136A6"/>
    <w:rsid w:val="00A15632"/>
    <w:rsid w:val="00A2118E"/>
    <w:rsid w:val="00A371D2"/>
    <w:rsid w:val="00A460C7"/>
    <w:rsid w:val="00A4653D"/>
    <w:rsid w:val="00A51622"/>
    <w:rsid w:val="00A533F2"/>
    <w:rsid w:val="00A53ACE"/>
    <w:rsid w:val="00A61EBE"/>
    <w:rsid w:val="00A63CFB"/>
    <w:rsid w:val="00A662C5"/>
    <w:rsid w:val="00A7287D"/>
    <w:rsid w:val="00A7706E"/>
    <w:rsid w:val="00A85361"/>
    <w:rsid w:val="00AB52F6"/>
    <w:rsid w:val="00AB6420"/>
    <w:rsid w:val="00AB715B"/>
    <w:rsid w:val="00AC1D40"/>
    <w:rsid w:val="00AC3A38"/>
    <w:rsid w:val="00B0044E"/>
    <w:rsid w:val="00B011C8"/>
    <w:rsid w:val="00B1233E"/>
    <w:rsid w:val="00B144C7"/>
    <w:rsid w:val="00B32AAB"/>
    <w:rsid w:val="00B33A3F"/>
    <w:rsid w:val="00B35421"/>
    <w:rsid w:val="00B45B7F"/>
    <w:rsid w:val="00B569B4"/>
    <w:rsid w:val="00B57867"/>
    <w:rsid w:val="00B65CBF"/>
    <w:rsid w:val="00B72DE0"/>
    <w:rsid w:val="00B75466"/>
    <w:rsid w:val="00B82177"/>
    <w:rsid w:val="00B93D5C"/>
    <w:rsid w:val="00BA1090"/>
    <w:rsid w:val="00BB2A2D"/>
    <w:rsid w:val="00BB4EE0"/>
    <w:rsid w:val="00BB7117"/>
    <w:rsid w:val="00BC1FCC"/>
    <w:rsid w:val="00BF5A88"/>
    <w:rsid w:val="00BF61E9"/>
    <w:rsid w:val="00BF7F5F"/>
    <w:rsid w:val="00C02B50"/>
    <w:rsid w:val="00C12584"/>
    <w:rsid w:val="00C200AE"/>
    <w:rsid w:val="00C20131"/>
    <w:rsid w:val="00C2490E"/>
    <w:rsid w:val="00C41A86"/>
    <w:rsid w:val="00C43344"/>
    <w:rsid w:val="00C43407"/>
    <w:rsid w:val="00C44D10"/>
    <w:rsid w:val="00C44DDA"/>
    <w:rsid w:val="00C478F9"/>
    <w:rsid w:val="00C66718"/>
    <w:rsid w:val="00C80580"/>
    <w:rsid w:val="00C86774"/>
    <w:rsid w:val="00C939D9"/>
    <w:rsid w:val="00C94D2E"/>
    <w:rsid w:val="00CA4542"/>
    <w:rsid w:val="00CB2C09"/>
    <w:rsid w:val="00CB5501"/>
    <w:rsid w:val="00CC2669"/>
    <w:rsid w:val="00CE26BF"/>
    <w:rsid w:val="00CE4038"/>
    <w:rsid w:val="00CF4E44"/>
    <w:rsid w:val="00CF674C"/>
    <w:rsid w:val="00D03474"/>
    <w:rsid w:val="00D11679"/>
    <w:rsid w:val="00D13D50"/>
    <w:rsid w:val="00D158FE"/>
    <w:rsid w:val="00D15A2C"/>
    <w:rsid w:val="00D35B9F"/>
    <w:rsid w:val="00D438BF"/>
    <w:rsid w:val="00D54D61"/>
    <w:rsid w:val="00D574D1"/>
    <w:rsid w:val="00D61CED"/>
    <w:rsid w:val="00D620BE"/>
    <w:rsid w:val="00D6681A"/>
    <w:rsid w:val="00D71704"/>
    <w:rsid w:val="00D72EFC"/>
    <w:rsid w:val="00D75378"/>
    <w:rsid w:val="00DA48FE"/>
    <w:rsid w:val="00DB30E9"/>
    <w:rsid w:val="00DB385A"/>
    <w:rsid w:val="00DC4074"/>
    <w:rsid w:val="00DC47C7"/>
    <w:rsid w:val="00DE439A"/>
    <w:rsid w:val="00DF1F44"/>
    <w:rsid w:val="00E02068"/>
    <w:rsid w:val="00E26149"/>
    <w:rsid w:val="00E36E88"/>
    <w:rsid w:val="00E40A4F"/>
    <w:rsid w:val="00E439B2"/>
    <w:rsid w:val="00E452F4"/>
    <w:rsid w:val="00E52CE2"/>
    <w:rsid w:val="00E57882"/>
    <w:rsid w:val="00E71816"/>
    <w:rsid w:val="00E74E86"/>
    <w:rsid w:val="00E81251"/>
    <w:rsid w:val="00E90D83"/>
    <w:rsid w:val="00EA4093"/>
    <w:rsid w:val="00EA67C6"/>
    <w:rsid w:val="00EB0CD6"/>
    <w:rsid w:val="00EB256A"/>
    <w:rsid w:val="00EC4BCB"/>
    <w:rsid w:val="00EC4CB9"/>
    <w:rsid w:val="00EE25A3"/>
    <w:rsid w:val="00EE3D7D"/>
    <w:rsid w:val="00EE4140"/>
    <w:rsid w:val="00EE72C0"/>
    <w:rsid w:val="00EF3E0D"/>
    <w:rsid w:val="00EF4611"/>
    <w:rsid w:val="00F04EB0"/>
    <w:rsid w:val="00F213A6"/>
    <w:rsid w:val="00F273CF"/>
    <w:rsid w:val="00F32292"/>
    <w:rsid w:val="00F32A2B"/>
    <w:rsid w:val="00F3307C"/>
    <w:rsid w:val="00F3373D"/>
    <w:rsid w:val="00F41815"/>
    <w:rsid w:val="00F41D2C"/>
    <w:rsid w:val="00F556D2"/>
    <w:rsid w:val="00F56FC7"/>
    <w:rsid w:val="00F61193"/>
    <w:rsid w:val="00F63D1E"/>
    <w:rsid w:val="00F81644"/>
    <w:rsid w:val="00F83264"/>
    <w:rsid w:val="00F83FA2"/>
    <w:rsid w:val="00F91F41"/>
    <w:rsid w:val="00F931C4"/>
    <w:rsid w:val="00FB0376"/>
    <w:rsid w:val="00FB05D0"/>
    <w:rsid w:val="00FC4402"/>
    <w:rsid w:val="00FD06B1"/>
    <w:rsid w:val="00FE3EC0"/>
    <w:rsid w:val="00FF4FA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736A"/>
  <w15:chartTrackingRefBased/>
  <w15:docId w15:val="{9B661C7F-8F8E-4BF2-BFC8-027511E6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8E"/>
    <w:rPr>
      <w:color w:val="0563C1" w:themeColor="hyperlink"/>
      <w:u w:val="single"/>
    </w:rPr>
  </w:style>
  <w:style w:type="paragraph" w:styleId="FootnoteText">
    <w:name w:val="footnote text"/>
    <w:basedOn w:val="Normal"/>
    <w:link w:val="FootnoteTextChar"/>
    <w:uiPriority w:val="99"/>
    <w:semiHidden/>
    <w:unhideWhenUsed/>
    <w:rsid w:val="00F41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D2C"/>
    <w:rPr>
      <w:sz w:val="20"/>
      <w:szCs w:val="20"/>
    </w:rPr>
  </w:style>
  <w:style w:type="character" w:styleId="FootnoteReference">
    <w:name w:val="footnote reference"/>
    <w:basedOn w:val="DefaultParagraphFont"/>
    <w:uiPriority w:val="99"/>
    <w:semiHidden/>
    <w:unhideWhenUsed/>
    <w:rsid w:val="00F41D2C"/>
    <w:rPr>
      <w:vertAlign w:val="superscript"/>
    </w:rPr>
  </w:style>
  <w:style w:type="character" w:customStyle="1" w:styleId="UnresolvedMention1">
    <w:name w:val="Unresolved Mention1"/>
    <w:basedOn w:val="DefaultParagraphFont"/>
    <w:uiPriority w:val="99"/>
    <w:semiHidden/>
    <w:unhideWhenUsed/>
    <w:rsid w:val="00F41D2C"/>
    <w:rPr>
      <w:color w:val="605E5C"/>
      <w:shd w:val="clear" w:color="auto" w:fill="E1DFDD"/>
    </w:rPr>
  </w:style>
  <w:style w:type="paragraph" w:styleId="Header">
    <w:name w:val="header"/>
    <w:basedOn w:val="Normal"/>
    <w:link w:val="HeaderChar"/>
    <w:uiPriority w:val="99"/>
    <w:unhideWhenUsed/>
    <w:rsid w:val="00F9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1C4"/>
  </w:style>
  <w:style w:type="paragraph" w:styleId="Footer">
    <w:name w:val="footer"/>
    <w:basedOn w:val="Normal"/>
    <w:link w:val="FooterChar"/>
    <w:uiPriority w:val="99"/>
    <w:unhideWhenUsed/>
    <w:rsid w:val="00F9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1C4"/>
  </w:style>
  <w:style w:type="character" w:styleId="FollowedHyperlink">
    <w:name w:val="FollowedHyperlink"/>
    <w:basedOn w:val="DefaultParagraphFont"/>
    <w:uiPriority w:val="99"/>
    <w:semiHidden/>
    <w:unhideWhenUsed/>
    <w:rsid w:val="00F931C4"/>
    <w:rPr>
      <w:color w:val="954F72" w:themeColor="followedHyperlink"/>
      <w:u w:val="single"/>
    </w:rPr>
  </w:style>
  <w:style w:type="paragraph" w:styleId="BalloonText">
    <w:name w:val="Balloon Text"/>
    <w:basedOn w:val="Normal"/>
    <w:link w:val="BalloonTextChar"/>
    <w:uiPriority w:val="99"/>
    <w:semiHidden/>
    <w:unhideWhenUsed/>
    <w:rsid w:val="001E0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40"/>
    <w:rPr>
      <w:rFonts w:ascii="Segoe UI" w:hAnsi="Segoe UI" w:cs="Segoe UI"/>
      <w:sz w:val="18"/>
      <w:szCs w:val="18"/>
    </w:rPr>
  </w:style>
  <w:style w:type="table" w:styleId="TableGrid">
    <w:name w:val="Table Grid"/>
    <w:basedOn w:val="TableNormal"/>
    <w:uiPriority w:val="39"/>
    <w:rsid w:val="001E0340"/>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5187E"/>
    <w:rPr>
      <w:color w:val="605E5C"/>
      <w:shd w:val="clear" w:color="auto" w:fill="E1DFDD"/>
    </w:rPr>
  </w:style>
  <w:style w:type="paragraph" w:styleId="ListParagraph">
    <w:name w:val="List Paragraph"/>
    <w:basedOn w:val="Normal"/>
    <w:uiPriority w:val="34"/>
    <w:qFormat/>
    <w:rsid w:val="005B380E"/>
    <w:pPr>
      <w:ind w:left="720"/>
      <w:contextualSpacing/>
    </w:pPr>
  </w:style>
  <w:style w:type="paragraph" w:styleId="EndnoteText">
    <w:name w:val="endnote text"/>
    <w:basedOn w:val="Normal"/>
    <w:link w:val="EndnoteTextChar"/>
    <w:uiPriority w:val="99"/>
    <w:semiHidden/>
    <w:unhideWhenUsed/>
    <w:rsid w:val="00C66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718"/>
    <w:rPr>
      <w:sz w:val="20"/>
      <w:szCs w:val="20"/>
    </w:rPr>
  </w:style>
  <w:style w:type="character" w:styleId="EndnoteReference">
    <w:name w:val="endnote reference"/>
    <w:basedOn w:val="DefaultParagraphFont"/>
    <w:uiPriority w:val="99"/>
    <w:semiHidden/>
    <w:unhideWhenUsed/>
    <w:rsid w:val="00C66718"/>
    <w:rPr>
      <w:vertAlign w:val="superscript"/>
    </w:rPr>
  </w:style>
  <w:style w:type="character" w:styleId="CommentReference">
    <w:name w:val="annotation reference"/>
    <w:basedOn w:val="DefaultParagraphFont"/>
    <w:uiPriority w:val="99"/>
    <w:semiHidden/>
    <w:unhideWhenUsed/>
    <w:rsid w:val="00F56FC7"/>
    <w:rPr>
      <w:sz w:val="16"/>
      <w:szCs w:val="16"/>
    </w:rPr>
  </w:style>
  <w:style w:type="paragraph" w:styleId="CommentText">
    <w:name w:val="annotation text"/>
    <w:basedOn w:val="Normal"/>
    <w:link w:val="CommentTextChar"/>
    <w:uiPriority w:val="99"/>
    <w:semiHidden/>
    <w:unhideWhenUsed/>
    <w:rsid w:val="00F56FC7"/>
    <w:pPr>
      <w:spacing w:line="240" w:lineRule="auto"/>
    </w:pPr>
    <w:rPr>
      <w:sz w:val="20"/>
      <w:szCs w:val="20"/>
    </w:rPr>
  </w:style>
  <w:style w:type="character" w:customStyle="1" w:styleId="CommentTextChar">
    <w:name w:val="Comment Text Char"/>
    <w:basedOn w:val="DefaultParagraphFont"/>
    <w:link w:val="CommentText"/>
    <w:uiPriority w:val="99"/>
    <w:semiHidden/>
    <w:rsid w:val="00F56FC7"/>
    <w:rPr>
      <w:sz w:val="20"/>
      <w:szCs w:val="20"/>
    </w:rPr>
  </w:style>
  <w:style w:type="paragraph" w:styleId="CommentSubject">
    <w:name w:val="annotation subject"/>
    <w:basedOn w:val="CommentText"/>
    <w:next w:val="CommentText"/>
    <w:link w:val="CommentSubjectChar"/>
    <w:uiPriority w:val="99"/>
    <w:semiHidden/>
    <w:unhideWhenUsed/>
    <w:rsid w:val="00F56FC7"/>
    <w:rPr>
      <w:b/>
      <w:bCs/>
    </w:rPr>
  </w:style>
  <w:style w:type="character" w:customStyle="1" w:styleId="CommentSubjectChar">
    <w:name w:val="Comment Subject Char"/>
    <w:basedOn w:val="CommentTextChar"/>
    <w:link w:val="CommentSubject"/>
    <w:uiPriority w:val="99"/>
    <w:semiHidden/>
    <w:rsid w:val="00F56FC7"/>
    <w:rPr>
      <w:b/>
      <w:bCs/>
      <w:sz w:val="20"/>
      <w:szCs w:val="20"/>
    </w:rPr>
  </w:style>
  <w:style w:type="character" w:customStyle="1" w:styleId="UnresolvedMention3">
    <w:name w:val="Unresolved Mention3"/>
    <w:basedOn w:val="DefaultParagraphFont"/>
    <w:uiPriority w:val="99"/>
    <w:semiHidden/>
    <w:unhideWhenUsed/>
    <w:rsid w:val="002C5A07"/>
    <w:rPr>
      <w:color w:val="605E5C"/>
      <w:shd w:val="clear" w:color="auto" w:fill="E1DFDD"/>
    </w:rPr>
  </w:style>
  <w:style w:type="character" w:styleId="UnresolvedMention">
    <w:name w:val="Unresolved Mention"/>
    <w:basedOn w:val="DefaultParagraphFont"/>
    <w:uiPriority w:val="99"/>
    <w:semiHidden/>
    <w:unhideWhenUsed/>
    <w:rsid w:val="0097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93594">
      <w:bodyDiv w:val="1"/>
      <w:marLeft w:val="0"/>
      <w:marRight w:val="0"/>
      <w:marTop w:val="0"/>
      <w:marBottom w:val="0"/>
      <w:divBdr>
        <w:top w:val="none" w:sz="0" w:space="0" w:color="auto"/>
        <w:left w:val="none" w:sz="0" w:space="0" w:color="auto"/>
        <w:bottom w:val="none" w:sz="0" w:space="0" w:color="auto"/>
        <w:right w:val="none" w:sz="0" w:space="0" w:color="auto"/>
      </w:divBdr>
    </w:div>
    <w:div w:id="535317931">
      <w:bodyDiv w:val="1"/>
      <w:marLeft w:val="0"/>
      <w:marRight w:val="0"/>
      <w:marTop w:val="0"/>
      <w:marBottom w:val="0"/>
      <w:divBdr>
        <w:top w:val="none" w:sz="0" w:space="0" w:color="auto"/>
        <w:left w:val="none" w:sz="0" w:space="0" w:color="auto"/>
        <w:bottom w:val="none" w:sz="0" w:space="0" w:color="auto"/>
        <w:right w:val="none" w:sz="0" w:space="0" w:color="auto"/>
      </w:divBdr>
    </w:div>
    <w:div w:id="563679895">
      <w:bodyDiv w:val="1"/>
      <w:marLeft w:val="0"/>
      <w:marRight w:val="0"/>
      <w:marTop w:val="0"/>
      <w:marBottom w:val="0"/>
      <w:divBdr>
        <w:top w:val="none" w:sz="0" w:space="0" w:color="auto"/>
        <w:left w:val="none" w:sz="0" w:space="0" w:color="auto"/>
        <w:bottom w:val="none" w:sz="0" w:space="0" w:color="auto"/>
        <w:right w:val="none" w:sz="0" w:space="0" w:color="auto"/>
      </w:divBdr>
    </w:div>
    <w:div w:id="724641849">
      <w:bodyDiv w:val="1"/>
      <w:marLeft w:val="0"/>
      <w:marRight w:val="0"/>
      <w:marTop w:val="0"/>
      <w:marBottom w:val="0"/>
      <w:divBdr>
        <w:top w:val="none" w:sz="0" w:space="0" w:color="auto"/>
        <w:left w:val="none" w:sz="0" w:space="0" w:color="auto"/>
        <w:bottom w:val="none" w:sz="0" w:space="0" w:color="auto"/>
        <w:right w:val="none" w:sz="0" w:space="0" w:color="auto"/>
      </w:divBdr>
    </w:div>
    <w:div w:id="772626384">
      <w:bodyDiv w:val="1"/>
      <w:marLeft w:val="0"/>
      <w:marRight w:val="0"/>
      <w:marTop w:val="0"/>
      <w:marBottom w:val="0"/>
      <w:divBdr>
        <w:top w:val="none" w:sz="0" w:space="0" w:color="auto"/>
        <w:left w:val="none" w:sz="0" w:space="0" w:color="auto"/>
        <w:bottom w:val="none" w:sz="0" w:space="0" w:color="auto"/>
        <w:right w:val="none" w:sz="0" w:space="0" w:color="auto"/>
      </w:divBdr>
    </w:div>
    <w:div w:id="1064648268">
      <w:bodyDiv w:val="1"/>
      <w:marLeft w:val="0"/>
      <w:marRight w:val="0"/>
      <w:marTop w:val="0"/>
      <w:marBottom w:val="0"/>
      <w:divBdr>
        <w:top w:val="none" w:sz="0" w:space="0" w:color="auto"/>
        <w:left w:val="none" w:sz="0" w:space="0" w:color="auto"/>
        <w:bottom w:val="none" w:sz="0" w:space="0" w:color="auto"/>
        <w:right w:val="none" w:sz="0" w:space="0" w:color="auto"/>
      </w:divBdr>
    </w:div>
    <w:div w:id="1421290824">
      <w:bodyDiv w:val="1"/>
      <w:marLeft w:val="0"/>
      <w:marRight w:val="0"/>
      <w:marTop w:val="0"/>
      <w:marBottom w:val="0"/>
      <w:divBdr>
        <w:top w:val="none" w:sz="0" w:space="0" w:color="auto"/>
        <w:left w:val="none" w:sz="0" w:space="0" w:color="auto"/>
        <w:bottom w:val="none" w:sz="0" w:space="0" w:color="auto"/>
        <w:right w:val="none" w:sz="0" w:space="0" w:color="auto"/>
      </w:divBdr>
    </w:div>
    <w:div w:id="1694455598">
      <w:bodyDiv w:val="1"/>
      <w:marLeft w:val="0"/>
      <w:marRight w:val="0"/>
      <w:marTop w:val="0"/>
      <w:marBottom w:val="0"/>
      <w:divBdr>
        <w:top w:val="none" w:sz="0" w:space="0" w:color="auto"/>
        <w:left w:val="none" w:sz="0" w:space="0" w:color="auto"/>
        <w:bottom w:val="none" w:sz="0" w:space="0" w:color="auto"/>
        <w:right w:val="none" w:sz="0" w:space="0" w:color="auto"/>
      </w:divBdr>
    </w:div>
    <w:div w:id="1694837719">
      <w:bodyDiv w:val="1"/>
      <w:marLeft w:val="0"/>
      <w:marRight w:val="0"/>
      <w:marTop w:val="0"/>
      <w:marBottom w:val="0"/>
      <w:divBdr>
        <w:top w:val="none" w:sz="0" w:space="0" w:color="auto"/>
        <w:left w:val="none" w:sz="0" w:space="0" w:color="auto"/>
        <w:bottom w:val="none" w:sz="0" w:space="0" w:color="auto"/>
        <w:right w:val="none" w:sz="0" w:space="0" w:color="auto"/>
      </w:divBdr>
    </w:div>
    <w:div w:id="1987473285">
      <w:bodyDiv w:val="1"/>
      <w:marLeft w:val="0"/>
      <w:marRight w:val="0"/>
      <w:marTop w:val="0"/>
      <w:marBottom w:val="0"/>
      <w:divBdr>
        <w:top w:val="none" w:sz="0" w:space="0" w:color="auto"/>
        <w:left w:val="none" w:sz="0" w:space="0" w:color="auto"/>
        <w:bottom w:val="none" w:sz="0" w:space="0" w:color="auto"/>
        <w:right w:val="none" w:sz="0" w:space="0" w:color="auto"/>
      </w:divBdr>
    </w:div>
    <w:div w:id="2004773265">
      <w:bodyDiv w:val="1"/>
      <w:marLeft w:val="0"/>
      <w:marRight w:val="0"/>
      <w:marTop w:val="0"/>
      <w:marBottom w:val="0"/>
      <w:divBdr>
        <w:top w:val="none" w:sz="0" w:space="0" w:color="auto"/>
        <w:left w:val="none" w:sz="0" w:space="0" w:color="auto"/>
        <w:bottom w:val="none" w:sz="0" w:space="0" w:color="auto"/>
        <w:right w:val="none" w:sz="0" w:space="0" w:color="auto"/>
      </w:divBdr>
    </w:div>
    <w:div w:id="20290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tiksmes.ministrij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391C-D9A3-4066-8238-D1132E72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5552</Words>
  <Characters>3165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Lielpeteris</dc:creator>
  <cp:keywords/>
  <dc:description/>
  <cp:lastModifiedBy>Kriss Zvirbulis</cp:lastModifiedBy>
  <cp:revision>9</cp:revision>
  <cp:lastPrinted>2020-06-29T07:51:00Z</cp:lastPrinted>
  <dcterms:created xsi:type="dcterms:W3CDTF">2021-01-06T12:22:00Z</dcterms:created>
  <dcterms:modified xsi:type="dcterms:W3CDTF">2021-01-08T09:13:00Z</dcterms:modified>
</cp:coreProperties>
</file>