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22-TA-3576: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16. marta noteikumos Nr. 264 "Īpaši aizsargājamo dabas teritoriju vispārējie aizsardzības un izmantošanas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2010. gada 16. marta noteikumos Nr. 264 "Īpaši aizsargājamo dabas teritoriju vispārējie aizsardzības un izmantošanas noteikumi" (Latvijas Vēstnesis, 2010, 50. nr.; 2017, 76. nr.; 2018., 49. nr.; 2020, 115. nr.; 2022, 49.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vērš uzmanību, ka nav pamatoti kokkopja atzinuma nepieciešamību attiecināt uz šī punkta 2. un 3.apakšpunktu, jo meža apsaimniekošanu regulējošie normatīvie akti neparedz kokkopja iesaisti augtspējas novērtēšanā. Tāpat arī sabiedrības sociālo, ekonomisko un vides interešu izvērtēšana nav kokkopja kompetencē. Savukārt īpaši aizsargājamo sugu dzīvotnes ir sertificēta dabas eksperta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papildināt normu ar regulējumu gadījumiem, kad piemēram , koks ir bīstams vai apdraud veselību, drošību, bet ir dzīvotne aizsargājamai sugai.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Aizsargājamo koku atļauts nocirst un aizvākt, ja ir saņemta Dabas aizsardzības pārvaldes rakstiska atļauja,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koks kļuvis bīstams un saskaņā ar kokkopja (arborista) rakstisku atzinumu, kura nepieciešamību nosaka Dabas aizsardzības pārvalde, nav citu iespēju novērst bīstamības situāciju (piemēram, apzāģēt zarus, izveidot atbalstus, izvietot ceļa vai norādes zīmes, barjeras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46.2. koka augtspēja ir pilnībā zudusi un koks nav dzīvotne īpaši aizsargājamai sugai. Koka augtspēju nosaka atbilstoši meža apsaimniekošanu un izmantošanu regulējošiem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46.3. lai nodrošinātu sabiedrības veselības aizsardzības, drošības vai citas sevišķi svarīgas sociāla vai ekonomiska rakstura intereses vai videi primāri svarīgas labvēlīgas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nebūs atruna, ka DAP var prasīt arborista atzinumu attīstītājam, DAPam pašam par šādu atzinumu būs jāmaksā, kas nav atbalstāms. Tas attiecas uz tiem gadījumiem, kad bez arborista DAPs nevar paši pateikt, kā konkrētā darbība ietekmē koku. Attiecībā uz sociālajām/ekonomiskajām interesēm kokkopja atzinumus vajadzīgs gadījumos, kad projekts, piemēram, daļēji šķērso koka teritoriju vai, ja būvprojektā ar nelielām izmaiņām vai papildus izmaksām, ir iespējams saglabāt koku, un tādā gadījumā DAP atteiks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paredz, ka arborista atzinums tiek prasīts tikai nepieciešamības gadījumā, kad DAPam nepietiek kompetences, lai izlemtu konkrēto gadījumu, jo bieži ir strīdus situācijas tieši par augstspēju (kad puse vainaga nokaltusi un tml.), kuru tad tomēr arborists ir kompetentāks izvērtēt. Ja koks ir bīstams, un ir arī dzīvotne, tad DAP izdod atļauju dzīvotnes likvidēšanai vai pārvietošanai.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pašreizējais regulējums nepieļauj šādus izņēmumus, līdz ar ko šis ir kompromiss.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2010. gada 16. marta noteikumos Nr. 264 "Īpaši aizsargājamo dabas teritoriju vispārējie aizsardzības un izmantošanas noteikumi" (Latvijas Vēstnesis, 2010, 50. nr.; 2017, 76. nr.; 2018., 49. nr.; 2020, 115. nr.; 2022, 49. nr.) šādus grozījumus: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- 14.04.2023.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17.02.2023. iebildumus par 46.punkta redakciju tiesiskuma izvērtējumu, skaidrību un sabiedrības līdzdalību, jo anotācija nav pietiekami papildināta. Zemāk norādām uz nepilnībām likuma pilnvarojumā un uz argumentiem tiesiskā izvērtējuma svarīgumam.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Tiesiskuma izvērtējuma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17.02.2023. iebildumiem, vēršam uzmanību, ka tiesību normas, kas paredz īpaši aizsargājamas dabas teritorijas - dabas pieminekļa - aizsargājama koka likvidēšanu, mūsuprāt, </w:t>
            </w:r>
            <w:r w:rsidR="00000000" w:rsidRPr="00000000" w:rsidDel="00000000">
              <w:rPr>
                <w:b w:val="1"/>
                <w:rtl w:val="0"/>
              </w:rPr>
              <w:t xml:space="preserve">ir pretrunā ar likuma pilnvarojumu</w:t>
            </w:r>
            <w:r w:rsidR="00000000" w:rsidRPr="00000000" w:rsidDel="00000000">
              <w:rPr>
                <w:rtl w:val="0"/>
              </w:rPr>
              <w:t xml:space="preserve">. Jo likuma "Par īpaši aizsargājamām teritorijām" (turpmāk - ĪATL) 15.pants noteic, ka aizsargājamām teritorijām var izstrādāt aizsardzības un izmantošanas noteikumus, </w:t>
            </w:r>
            <w:r w:rsidR="00000000" w:rsidRPr="00000000" w:rsidDel="00000000">
              <w:rPr>
                <w:b w:val="1"/>
                <w:rtl w:val="0"/>
              </w:rPr>
              <w:t xml:space="preserve">lai nodrošinātu šo teritoriju aizsardzību un tajās esošo dabas vērtību </w:t>
            </w:r>
            <w:r w:rsidR="00000000" w:rsidRPr="00000000" w:rsidDel="00000000">
              <w:rPr>
                <w:b w:val="1"/>
                <w:u w:val="single"/>
                <w:rtl w:val="0"/>
              </w:rPr>
              <w:t xml:space="preserve">saglabāšanu</w:t>
            </w:r>
            <w:r w:rsidR="00000000" w:rsidRPr="00000000" w:rsidDel="00000000">
              <w:rPr>
                <w:b w:val="1"/>
                <w:rtl w:val="0"/>
              </w:rPr>
              <w:t xml:space="preserve">. </w:t>
            </w:r>
            <w:r w:rsidR="00000000" w:rsidRPr="00000000" w:rsidDel="00000000">
              <w:rPr>
                <w:rtl w:val="0"/>
              </w:rPr>
              <w:t xml:space="preserve"> Vispārējos aizsargājamo teritoriju aizsardzības un izmantošanas noteikumus, kuros reglamentēti tajās pieļaujamo un aizliegto darbību veidi, nosaka Ministru kabinets. No minētā izriet, ka vispārējos aizsargājamo teritoriju aizsardzības un izmantošanas noteikumos, šajās teritorijās </w:t>
            </w:r>
            <w:r w:rsidR="00000000" w:rsidRPr="00000000" w:rsidDel="00000000">
              <w:rPr>
                <w:b w:val="1"/>
                <w:u w:val="single"/>
                <w:rtl w:val="0"/>
              </w:rPr>
              <w:t xml:space="preserve">pieļaujamo un aizliegto darbību veidi nosakāmi ar mērķi - lai nodrošinātu šo teritoriju aizsardzību un tajās esošo dabas vērtību saglabāšanu.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46.punkta normas </w:t>
            </w:r>
            <w:r w:rsidR="00000000" w:rsidRPr="00000000" w:rsidDel="00000000">
              <w:rPr>
                <w:b w:val="1"/>
                <w:u w:val="single"/>
                <w:rtl w:val="0"/>
              </w:rPr>
              <w:t xml:space="preserve">neparedz aizsargāt un saglabāt,</w:t>
            </w:r>
            <w:r w:rsidR="00000000" w:rsidRPr="00000000" w:rsidDel="00000000">
              <w:rPr>
                <w:rtl w:val="0"/>
              </w:rPr>
              <w:t xml:space="preserve"> bet </w:t>
            </w:r>
            <w:r w:rsidR="00000000" w:rsidRPr="00000000" w:rsidDel="00000000">
              <w:rPr>
                <w:b w:val="1"/>
                <w:u w:val="single"/>
                <w:rtl w:val="0"/>
              </w:rPr>
              <w:t xml:space="preserve">paredz likvidēt (nocirst) </w:t>
            </w:r>
            <w:r w:rsidR="00000000" w:rsidRPr="00000000" w:rsidDel="00000000">
              <w:rPr>
                <w:rtl w:val="0"/>
              </w:rPr>
              <w:t xml:space="preserve">dabas pieminekļus (autonomu īpaši aizsargājamu teritoriju) aizsargājamus kokus </w:t>
            </w:r>
            <w:r w:rsidR="00000000" w:rsidRPr="00000000" w:rsidDel="00000000">
              <w:rPr>
                <w:b w:val="1"/>
                <w:u w:val="single"/>
                <w:rtl w:val="0"/>
              </w:rPr>
              <w:t xml:space="preserve">ar citu mērķi. </w:t>
            </w:r>
            <w:r w:rsidR="00000000" w:rsidRPr="00000000" w:rsidDel="00000000">
              <w:rPr>
                <w:rtl w:val="0"/>
              </w:rPr>
              <w:t xml:space="preserve">Papildus tas nonāk pretrunā arī ar ĪATL 40.pantā ietverto jēgu, ka aizsargājamās teritorijas statusu </w:t>
            </w:r>
            <w:r w:rsidR="00000000" w:rsidRPr="00000000" w:rsidDel="00000000">
              <w:rPr>
                <w:b w:val="1"/>
                <w:u w:val="single"/>
                <w:rtl w:val="0"/>
              </w:rPr>
              <w:t xml:space="preserve">var likvidēt tikai tad, ja zudusi aizsargājamās teritorijas vērtība.</w:t>
            </w:r>
            <w:r w:rsidR="00000000" w:rsidRPr="00000000" w:rsidDel="00000000">
              <w:rPr>
                <w:rtl w:val="0"/>
              </w:rPr>
              <w:t xml:space="preserve"> Tāpēc uzskatam, ka šāda norma nav ne šo, ne citu individuālo aizsardzības un izmantošanas noteikumu tvērumā.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11.pants noteic,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Ja Satversme, likums vai starptautisko tiesību norma ir pilnvarojusi Ministru kabinetu, tad Ministru kabinets savukārt ar noteikumiem var pilnvarot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jāņem vērā, ka administratīvo aktu, kas dod atļauju nocirst (novākt) aizsargājamu koku, par nelabvēlīgu varētu uzskatīt trešās personas, kuras uzskatīs, ka viņu tiesības ar to tiek ierobežotas vai aizskartas (APL 28.panta pirmā daļa), proti, labvēlīgā vide, kultūra, kultūrvēsture, zinātniskā darbība tiek pasliktināta, iznīcināta, samazināta, netiek saglabāta, traucēta utt.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pamatota nepieciešamība noteikt gadījumus kad  un kārtību kā likvidē īpaši aizsargājamu dabas teritoriju - dabas pieminekli - aizsargājamu koku, tad, mūsuprāt, tā ir jāietver likumā, jo, ja likumā paredzētu pilnvarojumu to noteikt Ministru kabinetam, ņemot vērā īpaši aizsargāto dabas teritoriju daudzumu un to noteikumus, veidotos nevajadzīga kazuistika. Pēc 2013.gada datiem pavisam Latvijā ir 683 ar likumiem vai Ministru kabineta noteikumiem apstiprinātas īpaši aizsargājamas dabas teritorijas, kas katra atbilst kādai no astoņām aizsargājamo teritoriju kategorijām (nacionālais parks, biosfēras rezervāts, dabas parks, aizsargājamo ainavu apvidus, dabas liegums, dabas rezervāts, dabas piemineklis, jūras teritorija), kas savstarpēji atšķiras ar teritorijas izveidošanas mērķiem, teritorijas platību un dažādu aizsardzības pakāpi - atļautajām un aizliegtajām darbībām (avots:Silavas prezentācija). Likumos.lv caur meklētāju atrodami 83 individuālie aizsardzības un izmantošanas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aizsargājamu teritoriju likvidēšanu nosaka ĪATL 40.pants, kurš noteic, ka aizsargājamās teritorijas statusu var likvidēt tikai tad, ja zudusi aizsargājamās teritorijas vērtība. Atzinumu par aizsargājamās teritorijas statusa likvidēšanas pamatotību dod Vides aizsardzības un reģionālās attīstības ministrija tikai pēc tam, kad saņemts ekspertu slēdziens. Lēmumu par aizsargājamās teritorijas statusa likvidēšanu, pamatojoties uz šo atzinumu, pieņem valsts institūcija, kura pieņēmusi lēmumu par attiecīgās aizsargājamās teritorijas izveidošanu (valsts - MK vai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Saprotot, ka nevar salīdzināt mazas aizsargājama koka teritorijas ar lielas dabas parka teritorijas likvidēšanu dēļ to mēroga, un pirmajā gadījumā likumā nosakot atbilstošu pilnvarojumu varētu būt cits lēmumpieņēmēju līmenis vai risinājums, taču princips likumā noteikts skaidri - likvidē tikai tad, ja zudusi aizsargājamā vērtība un lēmums pieņemams balstoties uz objektīviem ekspertu slēdzieniem.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iepriekšējos atzinumos norādīts, ka piedāvātā 46.3. apakšpunkta normas iedarbība ir ļoti plaša un piemērojama ne tikai ceļu un būvju infrastruktūras projektu realizācijai (arī attiecībā uz jebkurām citām darbībām (projektiem), kas tiks veiktas ar mērķi - sabiedrības veselības aizsardzības, drošības vai citas sevišķi svarīgas, arī sociāla vai ekonomiska rakstura, intereses vai videi primāri svarīgas labvēlīgas izmaiņas) un attiecas uz visas Latvijas īpaši aizsargājamām teritorijām, kurām nav individuālo aizsardzības  un izmantošanas noteikumu  (izņemot mikroliegumus, kuriem ir Sugu un biotopu likuma regulējums),  t.sk. Natura 2000, tāpēc vajadzīgs plašāks vērtējums. Tostarp izpildes iespējamības vērtēšanai anotācijā nav skaidrots, saskaņā ar kādu kārtību Dabas aizsardzības pārvalde (turpmāk - DAP) izsniegtu šādu atļauju (APL un vēl kādu citu (?) vai tikai APL) - kā DAP vērtēs (svērs) sabiedrības tiesības dzīvot labvēlīgā vidē (kas šajā gadījumā ir prioritāras) un sabiedrības veselības aizsardzības, drošības vai citas sevišķi svarīgas, arī sociāla vai ekonomiska rakstura, intereses vai videi primāri svarīgas labvēlīgas izmaiņas (šobrīd sanāk, ka šo visu vērtēt ir ekskluzīvā DAP kompetencē, pamatojoties tikai uz arborista atzinumu). Vēršam uzmanību, ka saskatāma izvērtējuma kompetence ir arī, piem., Kultūras ministrijai (vērtē kultūrvēsturisko vērtību), Izglītības un zinātnes ministrijai (vērtē zinātnisko vērtību), Labklājības ministrijai un Ekonomikas ministrijai (vērtē estētisko vērtību labbūtības un tūrisma jomā), jo aizsargājamiem kokiem kā dabas veidojumiem ir ne tikai ekoloģiska vērtība, bet arī zinātniska, kultūrvēsturiska, estētiska vērtība, kā arī to atbildīgo kompetence, kas pārstāv (aizstāv) normā minētās sevišķi svarīgās intereses. Šādu īpašu izvērtēšanas kārtību neidentificējām.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Noteikta apjoma darbību, kuras paredzēts veikt Natura 2000 teritorijās (kurās atrodas arī īpaši aizsargājamas dabas teritorijas - dabas pieminekļi - aizsargājami koki), ietekmes vērtēšanā saskatāma arī Eiropas Komisijas kompetence (ĪATL 43.pants).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sekmīgai un savlaicīgai </w:t>
            </w:r>
            <w:r w:rsidR="00000000" w:rsidRPr="00000000" w:rsidDel="00000000">
              <w:rPr>
                <w:b w:val="1"/>
                <w:rtl w:val="0"/>
              </w:rPr>
              <w:t xml:space="preserve">projektu</w:t>
            </w:r>
            <w:r w:rsidR="00000000" w:rsidRPr="00000000" w:rsidDel="00000000">
              <w:rPr>
                <w:rtl w:val="0"/>
              </w:rPr>
              <w:t xml:space="preserve"> norisei var traucēt ne tikai aizsargājami koki, bet arī citi īpaši aizsargājamo teritoriju objekti (arī dabas pieminekļi - akmeņi, alejas, dendroloģiskie stādījumi varbūt vēl kāds). Var sanākt, ka saskaroties ar problēmu atkal tiks sniegti līdzīgi priekšlikumi, bet jau attiecībā uz tiem un atkal būs jānodrošina vērtējumi un smagnējā regulējuma izmaiņas MK noteikumu līmenī. Tāpēc lietderīgāk būtu to vērtēt un risināt sistēmiski.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sekmīgai un savlaicīgai īstenošanai regulējums šādām situācijām jau ietverts Rail Baltica projekta īstenošanas likuma 3. (kultūras pieminekļi aizsargājami koki) un 4.pantā (aizsargājami koki).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augstāk minēto, lūdzam papildināt Ministru kabineta sēdes protokollēmuma projektu ar uzdevumu Vides aizsardzības un reģionālās attīstības ministrijai izstrādāt un ministram iesniegt izskatīšanai Ministru kabineta sēdē nepieciešamos grozījumus likumā "Par īpaši aizsargājamām teritorijām", paredzot, kādos gadījumos (t.sk. kad aizsargājamā vērtība nav zudusi) un kādā kārtībā ir atļaujama īpaši aizsargājamas dabas teritorijas – dabas pieminekļa – aizsargājama koka (sistēmiski pieejot iespējams vēl citu aizsargājamu objektu) iznīcināšana (likvidēšana), lai nodrošinātu sabiedrības veselības aizsardzības, drošības vai citas sevišķi svarīgas, arī sociāla vai ekonomiska rakstura, intereses vai videi primāri svarīgas labvēlīgas izmaiņas. (</w:t>
            </w:r>
            <w:r w:rsidR="00000000" w:rsidRPr="00000000" w:rsidDel="00000000">
              <w:rPr>
                <w:b w:val="1"/>
                <w:i w:val="1"/>
                <w:rtl w:val="0"/>
              </w:rPr>
              <w:t xml:space="preserve">papildu iebildums</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Skaidrība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1.Projektā ietvertā 46. punkta redakcija par nepieciešamību saņemt arborista atzinumu, kura nepieciešamību nosaka DAP un tad vēl nepieciešama pašas DAP rakstiska atļauja, ir neskaidra. No iepriekš minētā, nav saprotams, vai arborista atzinums būs vienmēr nepieciešams, vai tomēr būs kaut kādi zināmi izņēmuma gadījumi. Skaidrībai nepieciešams skaidrot atļaujas izsniegšanas procedūru, kas saistīta ar atzinuma saņemšanu, kā arī skaidrot, kāpēc vajadzīgs kokkopja (arborista) atzinums (kādu tieši vērtējumu atzinumā ietver), kādos gadījumos tas tiks prasīts, kāds ir administratīvais slogs (atbilstības izmaksas (arborista pakalpojumi)).  Pavērtēt, vai 46.3.apakšpunkta gadījumā ar arborista ekspertīzi pietiktu, ja vērtējamas citas sevišķi svarīgas intereses u.c.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skaidrs termina "koks kļuvis bīstams" tvērums un normā netiek precizēts "kam bīstams". Strīdu gadījumā iesaistītajiem katram var būt sava izpratne, kas ir bīstams, jo arī normatīvajos aktos citos gadījumos par bīstamu koku atzīst pēc dažādām pazīmēm. Strīds par jēdziena "bīstams koks" tvērumu citā kontekstā apskatīts arī Latvijas Republikas Senāta Administratīvo lietu departamenta 30.04.2020. lietā Nr.A420278416, SKA-232/2020, kas liecina par skaidrības nepieciešamību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Bīstamība ir sociāls un tiesisks jēdziens, kas saistīts ar kāda objekta vai darbības vērtējumu no personas, īpašuma vai interešu apdraudējuma viedokļa. Normatīvajos aktos ir noteikta parastu koku bīstamības pazīmes (robežas) un tās, atkarībā no apdraudētajiem objektiem, ir dažādas (ceļiniekiem vienas, pašvaldībām citas un viņi vērtēs pēc savējiem normatīviem un prasīs atļauju balstoties uz tiem). Būtu identificējams arī, kam bīstams - dzīvotnei, sugai, infrastruktūras darbībai, cilvēka veselībai, dzīvībai (cilvēka, dzīvnieka) vai īpašumam. Jābūt skaidrībai pēc kādām pazīmēm noteiks īpaši aizsargājama koka bīstamību.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skaidrs termina "koka augtspēja ir pilnībā zudusi" tvērums un nav saprotams un skaidrots, kāpēc šāds koks vairs nav īpaši aizsargājams, jo </w:t>
            </w:r>
            <w:r w:rsidR="00000000" w:rsidRPr="00000000" w:rsidDel="00000000">
              <w:rPr>
                <w:b w:val="1"/>
                <w:u w:val="single"/>
                <w:rtl w:val="0"/>
              </w:rPr>
              <w:t xml:space="preserve">veciem kokiem ir īpaša dabas vērtība</w:t>
            </w:r>
            <w:r w:rsidR="00000000" w:rsidRPr="00000000" w:rsidDel="00000000">
              <w:rPr>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anotācijas aprakstā nebija identificējams tiesību akts un tā norma, kas noteic koku augtspējas kritērijus un konkrēti pazīmes pēc kurām skaidri var pārliecināties, ka koka augtspēja ir pilnīgi zudusi. Iespējams koks vairs neaugs augstumā vai platumā vai stumbra resnumā, bet tas var savā pilnbriedā, novecošanas vai pat sadalīšanās stadijā vēl saglabāt savu zinātnisko, kultūrvēsturisko, estētisko vai ekoloģisko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Daudzi aizsargājami koki (svētozoli utt.) ir kultūras pieminekļi vai ir vietējās kopienas loloti un ir kultūrvēsturiska vērtība (t.sk. nemateriālā kultūras mantojuma neatņemama sastāvdaļa), kas jāņem vērā dodot atļauju aizsargājama koka nociršanai. Svētos kokus (kura apkārtne skaitās arī svētvieta) </w:t>
            </w:r>
            <w:r w:rsidR="00000000" w:rsidRPr="00000000" w:rsidDel="00000000">
              <w:rPr>
                <w:u w:val="single"/>
                <w:rtl w:val="0"/>
              </w:rPr>
              <w:t xml:space="preserve">saglabā savā augšanas vietā arī tad, kad tie vairs neaug, noveco, nolūzt utt.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Sabiedrības līdzdalība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nav nodrošināta pat minimālā līmenī. Šobrīd Satversmes tiesa izskata lietu, kur pieteicēji sūdzas, ka tieši koku ciršanas regulējuma izstrādē nav bijušas pietiekamas līdzdalības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atzinusi Satversmes tiesa, Latvijas Republikas Satversmes 115. pants, pirmkārt, publiskās varas institūcijām uzliek par pienākumu izveidot un nodrošināt efektīvu vides aizsardzības sistēmu; otrkārt, privātpersonai piešķir tiesības normatīvajos aktos noteiktā kārtībā iegūt vides informāciju un līdzdarboties ar vides izmantošanu saistītu lēmumu pieņemšanas procesā; treškārt, tiesībām dzīvot labvēlīgā vidē piešķir pamattiesību rangu.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tiesības dzīvot labvēlīgā vidē kā pamattiesības ietver arī indivīda tiesības uz to, lai ikviena publiska persona lēmumu, kas saistīts ar vides izmantošanu, pieņemtu un īstenotu efektīvas vides aizsardzības (pārvaldības) sistēmas ietvaros. Efektīvas vides aizsardzības sistēmas pazīme ir arī tā, ka vides aizsardzības mērķi tiek sasniegti un uzdevumi tiek pildīti, līdzdarbojoties valstij, pašvaldībām un privātpersonām. Efektīva vides aizsardzības sistēma ir nepieciešama, jo vide, kuru veido dažādi vides elementi un to savstarpējā mijiedarbība, ir sabiedrības eksistences pamats, no kā atkarīga sabiedrības un ikviena tās locekļa izdzīvošana un labklājība ilgtermiņā.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visu iepriekš minēto, lūdzam sadarbībā ar VARAM izvērtēt iepriekšējā 17.02.2023. atzinumā norādītos iebildumus un šajā atzinumā norādīto papildu iebildumu par Ministru kabineta sēdes protokollēmuma projekta papildināšanu un papildu argumentus pie 17.02.2023. iebildumiem, precizēt anotāciju un projektu atbilstoši likuma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https://www.la.lv/dabas-fonds-par-gada-dzivotni-pasludina-dizkoku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 Satversmes tiesas 2007. gada 21. decembra sprieduma lietā Nr. 2007-12-03 13. punktu; Sk. arī Satversmes tiesas 2003. gada 14. februāra sprieduma lietā Nr. 2002-14-04 secinājumu daļas 1. punktu un Satversmes tiesas 2007. gada 8. februāra sprieduma lietā Nr. 2006-09-03 11.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 Latvijas Republikas Satversmes komentāri. VIII nodaļa. Cilvēka pamattiesības. Autoru kolektīvs prof. R. Baloža zinātniskā vadībā. Rīga: Latvijas Vēstnesis, 2011, 728. lpp. ar atsauci uz Satversmes tiesas 2009. gada 6. jūlija sprieduma lietā Nr. 2008-38-03 9.1.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Izvērtēta noteikumu projekta atbilstība likumam “Par īpaši aizsargājamām dabas teritorijām” (turpmāk - likums). Norādām, ka nav pretrunu ar likuma 16. un 17.pantā doto deleģējumu Ministru kabinetam noteikt ne tikai īpaši aizsargājamo dabas teritoriju aizsardzības, bet arī izmantošanas noteikumus, reglamentējot   pieļaujamo un aizliegto darbību veidus (piemēram, koku ciršanas nosacījumus, vai tieši otrādi, neierobežojot saimniecisko darbību īpaši aizsargājamās dabas teritorijas daļā). Noteikumu projekta 46.punktā paredzētie gadījumi iekļaujas pieļaujamo darbību veidos. Līdz ar to Ministru kabinetam ir tiesības noteikt arī dižkoku izmantošanas (tas ir, nociršanas)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iespējami mazinātu to gadījumu skaitu, kad Dabas aizsardzības pārvalde (turpmāk – Pārvalde) izdod atļaujas aizsargājamo koku nociršanai, 46.punkts tiek papildināts ar iespēju Pārvaldei izdot atļauju arī aizsargājamo koku pārstādīšanai (situācijās, kad tas ir pamatoti no koka saglabāšanas viedokļa), un atbilst arī likuma 15.panta pirmajā daļā ietvertajam mērķim - nodrošināt šo teritoriju aizsardzību un tajās esošo dabas vērtību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īpaši aizsargājamās dabas teritorijas var iedalīt divās nosacītajās grupās - tās, kuras identificē (robežas nosaka ar Ministru kabineta apstiprinātām shēmām, piemēram, dabas liegumiem, aizsargājamām alejas u.c., ievērojot likuma III nodaļā noteikto izveidošanas kārtību (piemēram, pašvaldības un zemes īpašnieku informēšanu u.c.)) un tās, kura automātiski kļūst par īpaši aizsargājamām dabas teritorijām, līdz ko sasniedz noteiktos Ministru kabineta apstiprinātos parametrus (dižkoki un dižakmeņi), bez to izveidošanas likuma III nodaļā satvarā. Aizsargājamā koka kā īpaši aizsargājamās dabas teritorijas izveidošana (likvidēšana) nav speciāli reglamentēta attiecīgi arī likuma 40.pants par īpaši aizsargājamo dabas teritoriju likvidēšanu sasaistīts ar to izveidošanu atbilstoši likuma III nodaļai, un nav attiecināms uz dižkokiem un dižakmeņiem. Lai nodrošinātu likuma normas labāku skaidrību, veicot nākamos plānotos grozījumus likumā, tiks izvērtēta arī likuma 40.panta precizēšana vai papildināšana.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trešo pušu tiesībām, norādāms, ka var piekrist, ka administratīvais akts, kas ir labvēlīgs administratīvā akta prasītājam (iesniedzējam), var nebūt  labvēlīgs attiecībā pret trešajām personām. Tajā pat laikā attiecībā uz iespējamo trešo personu tiesību aizskārumu (ierobežojot viņu tiesības dzīvot labvēlīgā vidē)  nav viennozīmīgi izsecināms, ka, Pārvaldei izdodot administratīvo aktu, tiktu aizskartas tiesības dzīvot labvēlīgā vidē. Trešajām personām būtu jāpierāda tiesiskā paļāvība un subjektīvās tiesības prasīt absolūtas dabas vides nemainību pretstatā valsts nozīmes objektu realizācijai. Pie tam, neskatoties uz to, ka Latvijas Republikas Satversmes 115.pants nosaka, ka valsts aizsargā ikviena tiesības dzīvot labvēlīgā vidē, tomēr, kā atzinusi Satversmes tiesa[1], gan atsevišķu privātpersonu, gan visas sabiedrības ekonomiskās intereses bieži vien prasa pārveidot apkārtējo vidi. Latvijas Republikas Satversmes 115.pants a apriori neparedz pastāvošās vides saglabāšanu un neliedz īstenot ar ekonomiskajām interesēm saistītus projektus, kas ietver arī cilvēku dzīvei piemērotu apstākļu un sabiedrības labklājības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Administratīvās apgabaltiesas 2014.gada 26.marta lēmums  lietā Nr.A420492413 AA43-2207-14/12.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2023.gada sākumu dabas datu pārvaldības sistēmā “Ozols” ir reģistrēti vairāk kā 14 000 aizsargājamo koku  uzskatām, ka nav lietderīgi tērēt administratīvos un finanšu resursus izvērtējot, kā katra atsevišķa aizsargājamā koka nociršana nākotnē varētu ietekmēt vides kvalitāti kopumā. Pie tam, kokiem turpinot augt, arī citi koki laika gaitā kļūst  par šiem aizsargājamiem kokiem (dižkokiem), attiecīgi aizsargājamo koku skaits nav statisks, bet mainīgs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aizsargājamo koku lielo skaitu, uzskatām, ka atsevišķu aizsargājamo koku zudums nav uzskatāms par būtisku zaudējumu pretstatā valsts vai reģionāla mēroga projektu realizācijai, tajā skaitā nacionālo vai drošības interešu dēļ. Sabiedrībai vienlīdz ir tiesības uz aizsargājamo koku saglabāšanu, tāpat kā uz atbilstošas kvalitātes autoceļu tīkla un citu infrastruktūras objektu pieejamību  (piem., valsta autoceļu pārbūves gadījumā, t.sk., lai novirzītu tranzīta transporta plūsmu no blīvi apdzīvotajām vietām) Pārvaldei kā kompetentai valsts pārvaldes iestāde dabas aizsardzības jomā ir ekskluzīvas tiesības izvērtēt kopējo sabiedrības ieguvumu un zaudējumu, un atbilstoši situācijai izdot gan pozitīvu lēmumu, gan negatīvu lēmumu, gan ar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Aizsargājamā koka kā īpaši aizsargājamās dabas teritorijas izveidošana (likvidēšana) nav speciāli reglamentēta, proti, koks par aizsargājamu kļūst sasniedzot noteiktu vecumu vai augstumu (ejot bojā – kā aizsargājama teritorija beidz pastāvēt).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aizsargājama koka statuss pārklājas ar citu nozaru regulējumu vai noteiktajiem ierobežojumiem, katrā konkrētā gadījumā individuāli izvērtējami visi spēkā esošie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vērtēšana Natura 2000 teritorijās ir reglamentēta ar ietekmes uz vidi novērtējuma procedūru atbilstoši likumam “Par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citiem dabas pieminekļiem, piemēram aizsargājamām alejām un aizsargājamiem dendroloģiskajiem stādījumiem, kuru saglabāšanas prasības arī potenciāli varētu sadurties ar   nozīmīgu projektu īstenošanu, norādām, ka to skaits ir salīdzinoši neliels (63 alejas un 83 dendroloģiskie stādījumi), un aizņem nelielas platības, to robežas kartogrāfiski ir noteiktas ar Ministru kabineta noteikumiem un tiek mainītas salīdzinoši reti. Arī apzināto aizsargājamo akmeņu skaits ir salīdzinoši neliels un līdzšinējās pieredzē nav bijuši gadījumi, kad tie traucētu realizēt kādu nozīmīgu projektu. Līdz ar to uzskatām, ka attiecībā uz minētajiem dabas pieminekļiem atsevišķu regulējumu noteikt nav nepieciešams. Līdz šim lielākās interešu sadursmes? ir identificētas tieši ar aizsargājamiem kokiem.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plānotā darbība ir paredzēta, piemēram, aizsargājamā koka 10metru aizsardzības zonā, bet neskar pašu koku, un Pārvalde izsniedzot atļauju viennozīmīgi nevar pateikt plānotās darbības ietekmi uz aizsargājamo koku, tā nosaka nepieciešamību pēc arborista atzinuma, taču gadījumos, kad ir pilnīgi skaidrs, ka aizsargājamo koku ir paredzēts nocirst, arborista atzinums netiks prasīts.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Sabiedrībai  līdzdalība tika nodrošināta projekta sākotnējai redakcijai, projekts (izmaiņas 46.punktā) kopš tā laika (vismaz trīs mēnešus)  ir bijis publiski pieejams TAP portālā, un jebkuram sabiedrības pārstāvim ir bijusi iespēja izteikt savu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Aizsargājamā koka nociršana gadījumā, kad koks ir bīstams, ir jau spēkā esoša Noteikumu Nr. 264 norma (46.punkts). Termina “bīstams” lietojums Noteikumu Nr. 264 izpratnē jau ir skaidrots 16.19.apakšpunktā ka tie ir “koki, kas apdraud cilvēku dzīvību un veselību, tuvumā esošās ēkas vai infrastruktūras objektus”".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- 17.02.2023.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2010. gada 16. marta noteikumi Nr. 264 "Īpaši aizsargājamo dabas teritoriju vispārējie aizsardzības un izmantošanas noteikumi" (turpmāk - MK not. Nr.264) 46.punkts noteic, ka aizsargājamā koka nociršana (novākšana) pieļaujama tikai gadījumos, ja tas kļuvis bīstams un nav citu iespēju novērst bīstamības situāciju (piemēram, apzāģēt zarus, izveidot atbalstus), un saņemta Dabas aizsardzības pārvaldes rakstiska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papildināt minēto regulējumu un izteikt 46.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Aizsargājamo koku atļauts nocirst (novākt), </w:t>
            </w:r>
            <w:r w:rsidR="00000000" w:rsidRPr="00000000" w:rsidDel="00000000">
              <w:rPr>
                <w:i w:val="1"/>
                <w:rtl w:val="0"/>
              </w:rPr>
              <w:t xml:space="preserve">ja ir saņemts kokkopja (arborista) pozitīvs rakstisks atzinums, kura nepieciešamību nosaka Dabas aizsardzības pārvalde</w:t>
            </w:r>
            <w:r w:rsidR="00000000" w:rsidRPr="00000000" w:rsidDel="00000000">
              <w:rPr>
                <w:rtl w:val="0"/>
              </w:rPr>
              <w:t xml:space="preserve">, un ir saņemta Dabas aizsardzības pārvaldes rakstiska atļauja,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 koks kļuvis bīstams un nav citu iespēju novērst bīstamības situāciju (piemēram, apzāģēt zarus, izveidot atbalstus, izvietot ceļa vai norādes zīmes, barjeras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46.2. koka augtspēja ir pilnībā zudusi un koks nav dzīvotne īpaši aizsargājamai sugai. Koka augtspēju nosaka atbilstoši meža apsaimniekošanu un izmantošanu regulējošiem normatīvajiem aktiem;</w:t>
            </w:r>
            <w:r w:rsidR="00000000" w:rsidRPr="00000000" w:rsidDel="00000000">
              <w:rPr>
                <w:i w:val="1"/>
                <w:rtl w:val="0"/>
              </w:rPr>
              <w:t xml:space="preserve">46.3. lai nodrošinātu sabiedrības veselības aizsardzības, drošības vai citas sevišķi svarīgas, arī sociāla vai ekonomiska rakstura, intereses vai videi primāri svarīgas labvēlīgas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pieminekļi - aizsargājamie koki – vietējo un citzemju sugu dižkoki (pēc apkārtmēra vai augstuma) ir atsevišķi, savrupi dabas veidojumi, kam ir zinātniska, kultūrvēsturiska, estētiska vai ekoloģiska vērtība. Lai nodrošinātu aizsargājamo koku saglabāšanu un to apskates iespēju, aizsargāta tiek arī teritorija zem koku vainagiem, kā arī 10 metru rādiusā ap tiem, skaitot no koka vainaga projekcijas.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Spēkā esošo MK not. Nr. 264 un šī projekta anotācijā nav atrodams vispusīgs minēto normu nepieciešamības pamatojums (t.sk. tiesiskais) un regulējuma ietekmes izvērējums. Šajā anotācijā pēc projekta papildināšanas ar jauno redakciju ietverts fragmentārs šī regulējuma nepieciešamības pamatojums un ietekmes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Projektā ietvertā 46. punkta redakcija par nepieciešamību saņemt arborista atzinumu, kura nepieciešamību nosaka Dabas aizsardzības pārvalde un tad vēl nepieciešama pašas Dabas aizsardzības pārvaldes rakstiska atļauja, ir neskaidra. No iepriekš minētā, nav saprotams, vai arborista atzinums būs vienmēr nepieciešams, vai tomēr būs kaut kādi zināmi izņēmuma gadījumi. Skatoties no labas pārvaldības principa aspekta, Dabas aizsardzības pārvalde varētu pati skaņot ieceri ar arboristu un tad gala rezultātā pieņemt lēmumu.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skaidrs termina "koks kļuvis bīstams" tvērums un normā netiek precizēts "kam bīstams". Strīdu gadījumā iesaistītajiem katram var būt sava izpratne, kas ir bīstams, jo arī normatīvajos aktos citos gadījumos par bīstamu koku atzīst pēc dažādām pazīmēm. Strīds par jēdziena "bīstams koks" tvērumu citā kontekstā apskatīts arī Latvijas Republikas Senāta Administratīvo lietu departamenta 30.04.2020. lietā Nr.A420278416, SKA-232/2020, kas liecina par skaidrības nepieciešamību [1].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skaidrs termina "koka augtspēja ir pilnībā zudusi" tvērums un nav skaidrots, kāpēc šāds koks vairs nav īpaši aizsargājams.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anotācijas aprakstā nebija identificējams tiesību akts un tā norma, kas noteic koku augtspējas kritērijus un konkrēti pazīmes pēc kurām skaidri var pārliecināties, ka koka augtspēja ir pilnībā zudusi. Iespējams koks vairs neaugs augstumā vai platumā vai stumbra resnumā, bet tas var savā pilnbriedā, novecošanas vai pat sadalīšanās stadijā vēl saglabāt savu zinātnisko, kultūrvēsturisko, estētisko vai ekoloģisko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Daudzi aizsargājami koki (svētozoli utt.) ir kultūras pieminekļi vai ir vietējās kopienas loloti un ir kultūrvēsturiska vērtība (t.sk. nemateriālā kultūras mantojuma neatņemama sastāvdaļa), kas jāņem vērā dodot atļauju aizsargājama koka nociršanai. Svētos kokus (kura apkārtne skaitās arī svētvieta) saglabā savā augšanas vietā arī tad, kad tie vairs neaug, noveco, nolūzt utt.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iepriekš minēto, lūdzam vērtēt norādītos aspektus, skaidrības nolūkā precizēt projekta 46.panta redakciju un būtiski papildināt anotāciju, kā arī nodrošināt sabiedrības līdzdalību, jo šis regulējums ietverts saskaņošanas laikā kā priekšlikums projektā, kuram netiek nodrošināta sabiedrības līdzdalība.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ECLI:LV:AT:2020:0430.A420278416.12.S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papildināta sniedzot noteikumu 46. punkta skaidrojumu un attiecināmību arī uz citu stratēģiskas nozīmes infrastruktūras objektu būvniecību, papildus norādot, ka katrā gadījumā ir jāvērtē sabiedrības ieguvums. Jāņem vērā, ka Dabas aizsardzības pārvalde var neizsniegt atļauju dižkoka nociršanai, ja nav gūta pārliecība par sabiedrības ieguvumu no šādas atļaujas izsniegšanas.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īpaši aizsargājamām dabas teritorijām" 21. pants noteic, ka </w:t>
            </w:r>
            <w:r w:rsidR="00000000" w:rsidRPr="00000000" w:rsidDel="00000000">
              <w:rPr>
                <w:b w:val="1"/>
                <w:rtl w:val="0"/>
              </w:rPr>
              <w:t xml:space="preserve">veicot tautsaimniecības un teritoriālo plānošanu</w:t>
            </w:r>
            <w:r w:rsidR="00000000" w:rsidRPr="00000000" w:rsidDel="00000000">
              <w:rPr>
                <w:rtl w:val="0"/>
              </w:rPr>
              <w:t xml:space="preserve">, zemes ierīcību un meža apsaimniekošanu, un </w:t>
            </w:r>
            <w:r w:rsidR="00000000" w:rsidRPr="00000000" w:rsidDel="00000000">
              <w:rPr>
                <w:b w:val="1"/>
                <w:rtl w:val="0"/>
              </w:rPr>
              <w:t xml:space="preserve">visu veidu projektēšanas darbus</w:t>
            </w:r>
            <w:r w:rsidR="00000000" w:rsidRPr="00000000" w:rsidDel="00000000">
              <w:rPr>
                <w:rtl w:val="0"/>
              </w:rPr>
              <w:t xml:space="preserve">, </w:t>
            </w:r>
            <w:r w:rsidR="00000000" w:rsidRPr="00000000" w:rsidDel="00000000">
              <w:rPr>
                <w:b w:val="1"/>
                <w:u w:val="single"/>
                <w:rtl w:val="0"/>
              </w:rPr>
              <w:t xml:space="preserve">jāievēro</w:t>
            </w:r>
            <w:r w:rsidR="00000000" w:rsidRPr="00000000" w:rsidDel="00000000">
              <w:rPr>
                <w:rtl w:val="0"/>
              </w:rPr>
              <w:t xml:space="preserve"> </w:t>
            </w:r>
            <w:r w:rsidR="00000000" w:rsidRPr="00000000" w:rsidDel="00000000">
              <w:rPr>
                <w:b w:val="1"/>
                <w:rtl w:val="0"/>
              </w:rPr>
              <w:t xml:space="preserve">aizsargājamās teritorijas izvietojums, tās aizsardzības un izmantošanas noteikumi.</w:t>
            </w:r>
            <w:r w:rsidR="00000000" w:rsidRPr="00000000" w:rsidDel="00000000">
              <w:rPr>
                <w:rtl w:val="0"/>
              </w:rPr>
              <w:t xml:space="preserve"> Lūdzam situācijas izvērtējumā informatīvi skaidrot, kā šī likuma norma tika ņemta vērā Rail Baltica projekta plānošanā. Tādējādi apliecinot, ka ietekme uz īpaši aizsargājamās teritorijām - t.sk. dabas pieminekļiem - aizsargājamiem kokiem, dendroloģiskajiem stādījumiem un alejām un iespējams tajos mītošajiem nacionāla un Eiropas mēroga aizsargājamiem savvaļas putniem, floru un faunu ir minimizēta (un ietekme kompensēta) vai pat novērsta.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apakšsadaļa "Pašreizējā situācija" ar skaidrojumu, kā likuma "Par īpaši aizsargājamām dabas teritorijām" 21. pantā noteiktais tika ņemts vērā Rail Baltica projekta plānošanā.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skar arī </w:t>
            </w:r>
            <w:r w:rsidR="00000000" w:rsidRPr="00000000" w:rsidDel="00000000">
              <w:rPr>
                <w:b w:val="1"/>
                <w:rtl w:val="0"/>
              </w:rPr>
              <w:t xml:space="preserve">zemes lietotājus</w:t>
            </w:r>
            <w:r w:rsidR="00000000" w:rsidRPr="00000000" w:rsidDel="00000000">
              <w:rPr>
                <w:rtl w:val="0"/>
              </w:rPr>
              <w:t xml:space="preserve">, kuriem likuma "Par īpaši aizsargājamām dabas teritorijām" 24.pants noteic īpašus pienākumus aizsargājamo teritoriju saglabāšanā. Lūdzam papildināt šo sadaļu ar šo sabiedrības mērķgrupu.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izsakot 2.1. sadaļu "Sabiedrības grupas, kuras tiesiskais regulējums ietekmē, vai varētu ietekmēt" noteikto mērķgrupu "Fiziskās personas"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"Zemju īpašnieki, kuru nekustamajos īpašumos atrodas aizsargājamais koks un zemju lietotāji, kuriem likuma "Par īpaši aizsargājamām dabas teritorijām" 24. pants noteic īpašus pienākumus aizsargājamo teritoriju saglabāšanā, kā arī sabiedrība kopumā."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16. marta noteikumos Nr. 264 "Īpaši aizsargājamo dabas teritoriju vispārējie aizsardzības un izmantošanas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- 29.12.2022.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viens grozījums, tāpēc aicinām precizēt noteikumu projekta un Ministru kabineta sēdes protokollēmuma nosaukumu - lietot vārdu "grozījums".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16. marta noteikumos Nr. 264 "Īpaši aizsargājamo dabas teritoriju vispārējie aizsardzības un izmantošanas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16. marta noteikumos Nr. 264 "Īpaši aizsargājamo dabas teritoriju vispārējie aizsardzības un izmantošanas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grozījumos ietvert grozījumu noteikumu 46.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Aizsargājamā koka nociršana (novākšana) pieļaujama tikai gadījumos, ja tas kļuvis bīstams un nav citu iespēju novērst bīstamības situāciju (piemēram, apzāģēt zarus, izveidot atbalstus), un saņemta Dabas aizsardzības pārvaldes rakstiska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īpaši aizsargājamo dabas teritoriju individuālos aizsardzības un izmantošanas noteikumus šāds regulējums jau tiek ietverts. Tomēr, ņemot vērā, ka uz aizsargājamiem kokiem (dižkokiem) lielākoties ir attiecināmi Ministru kabineta 2010. gada 16. marta noteikumi Nr. 264 “Īpaši aizsargājamo dabas teritoriju vispārējie aizsardzības un izmantošanas noteikumi”, grozījumi noteikumu 46.punktā ir ļoti nepieciešami, lai sabalansētu dabas aizsardzības, sociālās un ekonomiskās intereses, jo tieši dižkokus visvairāk skar valsts un pašvaldību tautsaimniecības un ekonomiskās attīstības ieceres, bet šobrīd vienīgā iespēja koka nociršanai ir tā bīstamība un pat nav dotas iespējas sabalansēti izvērtēt konkrētā dižkoka saglabāšanas būtiskumu ar citām sabiedrībai būtiskām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Aizsargājamo koku atļauts nocirst (novākt), ja ir saņemts kokkopja (arborista) pozitīvs rakstisks atzinums, kura nepieciešamību nosaka Dabas aizsardzības pārvalde, un ir saņemta Dabas aizsardzības pārvaldes rakstiska atļauja, šādos gadījumos: 46.1. koks kļuvis bīstams un nav citu iespēju novērst bīstamības situāciju (piemēram, apzāģēt zarus, izveidot atbalstus, izvietot ceļa vai norādes zīmes, barjeras u.c.); 46.2. koka augtspēja ir pilnībā zudusi un koks nav dzīvotne īpaši aizsargājamai sugai. Koka augtspēju nosaka atbilstoši meža apsaimniekošanu un izmantošanu regulējošiem normatīvajiem aktiem; 46.3. lai nodrošinātu sabiedrības veselības aizsardzības, drošības vai citas sevišķi svarīgas, arī sociāla vai ekonomiska rakstura, intereses vai videi primāri svarīgas labvēlīgas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ietverts grozījums noteikumu 46.punktā.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16. marta noteikumos Nr. 264 "Īpaši aizsargājamo dabas teritoriju vispārējie aizsardzības un izmantošanas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- 25.05.2023.)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sadaļas "Problēmas un risinājumi" "Risinājuma apraksts" 1.rindkopā norādīto informāciju, jo </w:t>
            </w:r>
            <w:r w:rsidR="00000000" w:rsidRPr="00000000" w:rsidDel="00000000">
              <w:rPr>
                <w:i w:val="1"/>
                <w:rtl w:val="0"/>
              </w:rPr>
              <w:t xml:space="preserve">Rail Baltica</w:t>
            </w:r>
            <w:r w:rsidR="00000000" w:rsidRPr="00000000" w:rsidDel="00000000">
              <w:rPr>
                <w:rtl w:val="0"/>
              </w:rPr>
              <w:t xml:space="preserve"> projekta īstenošanas likums neparedz aizsargājamo koku pārstādīšanu, kā arī atbilstoši 2.rindkopā norādītajai informācijai par reģionāla rakstura interesēm, lūdzam attiecīgi precizēt arī šeit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rindkopā: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paredzēts svītrot MK noteikumu Nr. 264 56. punktu, lai novērstu to, ka aizsargājamo koku nociršanu (novākšanu) Rail Baltica projekta ietvaros regulē gan likums, gan Ministru kabineta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2.rindkopā: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Regulējuma precizējums nepieciešams, lai sabalansētu dabas aizsardzības, sociālās un ekonomiskās intereses (tajā skaitā valsts </w:t>
            </w:r>
            <w:r w:rsidR="00000000" w:rsidRPr="00000000" w:rsidDel="00000000">
              <w:rPr>
                <w:b w:val="1"/>
                <w:rtl w:val="0"/>
              </w:rPr>
              <w:t xml:space="preserve">un reģionālas</w:t>
            </w:r>
            <w:r w:rsidR="00000000" w:rsidRPr="00000000" w:rsidDel="00000000">
              <w:rPr>
                <w:rtl w:val="0"/>
              </w:rPr>
              <w:t xml:space="preserve"> nozīmes infrastruktūras objektu būvniecību), jo...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6.sadaļu, jo noteikumu projektā paredzētais grozījums 46.punktā nav tehnisks - tas paredz atļaut nocirst (novākt) aizsargājamos kokus vēl citos gadījumos, nekā paredz pašreiz spēkā esošais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1.3. sadaļa, vēršot uzmanību, ka 46. punkta piemērošanā ir jāņem vērā un rūpīgi jāizvērtē sabiedrības intereses un sabiedrības ieguvums no plānotās darbības, ņemot vērā šī punkta plašo piemērojamību arī attiecībā uz citu stratēģiski nozīmīgu infrastruktūras objektu būvniecību.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22-TA-3576</w:t>
    </w:r>
    <w:r>
      <w:br/>
    </w:r>
    <w:r w:rsidR="00000000" w:rsidRPr="00000000" w:rsidDel="00000000">
      <w:rPr>
        <w:rtl w:val="0"/>
      </w:rPr>
      <w:t xml:space="preserve">15.06.2023. 10.57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22-TA-3576</w:t>
    </w:r>
    <w:r>
      <w:br/>
    </w:r>
    <w:r w:rsidR="00000000" w:rsidRPr="00000000" w:rsidDel="00000000">
      <w:rPr>
        <w:rtl w:val="0"/>
      </w:rPr>
      <w:t xml:space="preserve">15.06.2023. 10.57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Izziņa_22-TA-3576.docx</dc:title>
</cp:coreProperties>
</file>

<file path=docProps/custom.xml><?xml version="1.0" encoding="utf-8"?>
<Properties xmlns="http://schemas.openxmlformats.org/officeDocument/2006/custom-properties" xmlns:vt="http://schemas.openxmlformats.org/officeDocument/2006/docPropsVTypes"/>
</file>