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3E22F4" w:rsidRDefault="00AB4314">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2019"/>
        <w:gridCol w:w="4677"/>
        <w:gridCol w:w="1418"/>
        <w:gridCol w:w="5703"/>
      </w:tblGrid>
      <w:tr w:rsidR="003E22F4" w:rsidTr="009F712D">
        <w:tc>
          <w:tcPr>
            <w:tcW w:w="750" w:type="dxa"/>
            <w:shd w:val="clear" w:color="auto" w:fill="FFFFFF"/>
            <w:noWrap/>
            <w:tcMar>
              <w:top w:w="75" w:type="dxa"/>
              <w:left w:w="75" w:type="dxa"/>
              <w:bottom w:w="75" w:type="dxa"/>
              <w:right w:w="75" w:type="dxa"/>
            </w:tcMar>
            <w:vAlign w:val="center"/>
          </w:tcPr>
          <w:p w:rsidR="003E22F4" w:rsidRDefault="00AB4314">
            <w:pPr>
              <w:jc w:val="center"/>
            </w:pPr>
            <w:r>
              <w:rPr>
                <w:b/>
              </w:rPr>
              <w:t>Nr.p.k.</w:t>
            </w:r>
          </w:p>
        </w:tc>
        <w:tc>
          <w:tcPr>
            <w:tcW w:w="2019" w:type="dxa"/>
            <w:shd w:val="clear" w:color="auto" w:fill="FFFFFF"/>
            <w:noWrap/>
            <w:tcMar>
              <w:top w:w="75" w:type="dxa"/>
              <w:left w:w="75" w:type="dxa"/>
              <w:bottom w:w="75" w:type="dxa"/>
              <w:right w:w="75" w:type="dxa"/>
            </w:tcMar>
            <w:vAlign w:val="center"/>
          </w:tcPr>
          <w:p w:rsidR="003E22F4" w:rsidRDefault="00AB4314">
            <w:pPr>
              <w:jc w:val="center"/>
            </w:pPr>
            <w:r>
              <w:rPr>
                <w:b/>
              </w:rPr>
              <w:t>Iebilduma / priekšlikuma iesniedzējs</w:t>
            </w:r>
          </w:p>
        </w:tc>
        <w:tc>
          <w:tcPr>
            <w:tcW w:w="4677" w:type="dxa"/>
            <w:shd w:val="clear" w:color="auto" w:fill="FFFFFF"/>
            <w:noWrap/>
            <w:tcMar>
              <w:top w:w="75" w:type="dxa"/>
              <w:left w:w="75" w:type="dxa"/>
              <w:bottom w:w="75" w:type="dxa"/>
              <w:right w:w="75" w:type="dxa"/>
            </w:tcMar>
            <w:vAlign w:val="center"/>
          </w:tcPr>
          <w:p w:rsidR="003E22F4" w:rsidRDefault="00AB4314">
            <w:pPr>
              <w:jc w:val="center"/>
            </w:pPr>
            <w:r>
              <w:rPr>
                <w:b/>
              </w:rPr>
              <w:t>Iesniegtā iebilduma / priekšlikuma būtība</w:t>
            </w:r>
          </w:p>
        </w:tc>
        <w:tc>
          <w:tcPr>
            <w:tcW w:w="1418" w:type="dxa"/>
            <w:shd w:val="clear" w:color="auto" w:fill="FFFFFF"/>
            <w:noWrap/>
            <w:tcMar>
              <w:top w:w="75" w:type="dxa"/>
              <w:left w:w="75" w:type="dxa"/>
              <w:bottom w:w="75" w:type="dxa"/>
              <w:right w:w="75" w:type="dxa"/>
            </w:tcMar>
            <w:vAlign w:val="center"/>
          </w:tcPr>
          <w:p w:rsidR="003E22F4" w:rsidRDefault="00AB4314">
            <w:pPr>
              <w:jc w:val="center"/>
            </w:pPr>
            <w:r>
              <w:rPr>
                <w:b/>
              </w:rPr>
              <w:t>Ņemts vērā / nav ņemts vērā</w:t>
            </w:r>
          </w:p>
        </w:tc>
        <w:tc>
          <w:tcPr>
            <w:tcW w:w="5703" w:type="dxa"/>
            <w:shd w:val="clear" w:color="auto" w:fill="FFFFFF"/>
            <w:noWrap/>
            <w:tcMar>
              <w:top w:w="75" w:type="dxa"/>
              <w:left w:w="75" w:type="dxa"/>
              <w:bottom w:w="75" w:type="dxa"/>
              <w:right w:w="75" w:type="dxa"/>
            </w:tcMar>
            <w:vAlign w:val="center"/>
          </w:tcPr>
          <w:p w:rsidR="003E22F4" w:rsidRDefault="00AB4314">
            <w:pPr>
              <w:jc w:val="center"/>
            </w:pPr>
            <w:r>
              <w:rPr>
                <w:b/>
              </w:rPr>
              <w:t>Pamatojums, ja iebildums / priekšlikums nav ņemts vērā</w:t>
            </w:r>
          </w:p>
        </w:tc>
      </w:tr>
      <w:tr w:rsidR="003E22F4" w:rsidTr="009F712D">
        <w:tc>
          <w:tcPr>
            <w:tcW w:w="750" w:type="dxa"/>
            <w:shd w:val="clear" w:color="auto" w:fill="FFFFFF"/>
            <w:noWrap/>
            <w:tcMar>
              <w:top w:w="75" w:type="dxa"/>
              <w:left w:w="75" w:type="dxa"/>
              <w:bottom w:w="75" w:type="dxa"/>
              <w:right w:w="75" w:type="dxa"/>
            </w:tcMar>
            <w:vAlign w:val="center"/>
          </w:tcPr>
          <w:p w:rsidR="003E22F4" w:rsidRDefault="00AB4314">
            <w:pPr>
              <w:jc w:val="center"/>
            </w:pPr>
            <w:r>
              <w:t>1.</w:t>
            </w:r>
          </w:p>
        </w:tc>
        <w:tc>
          <w:tcPr>
            <w:tcW w:w="2019" w:type="dxa"/>
            <w:shd w:val="clear" w:color="auto" w:fill="FFFFFF"/>
            <w:noWrap/>
            <w:tcMar>
              <w:top w:w="75" w:type="dxa"/>
              <w:left w:w="75" w:type="dxa"/>
              <w:bottom w:w="75" w:type="dxa"/>
              <w:right w:w="75" w:type="dxa"/>
            </w:tcMar>
            <w:vAlign w:val="center"/>
          </w:tcPr>
          <w:p w:rsidR="003E22F4" w:rsidRDefault="00AB4314">
            <w:pPr>
              <w:jc w:val="left"/>
            </w:pPr>
            <w:r>
              <w:t>Fiziska persona</w:t>
            </w:r>
          </w:p>
        </w:tc>
        <w:tc>
          <w:tcPr>
            <w:tcW w:w="4677" w:type="dxa"/>
            <w:shd w:val="clear" w:color="auto" w:fill="FFFFFF"/>
            <w:noWrap/>
            <w:tcMar>
              <w:top w:w="75" w:type="dxa"/>
              <w:left w:w="75" w:type="dxa"/>
              <w:bottom w:w="75" w:type="dxa"/>
              <w:right w:w="75" w:type="dxa"/>
            </w:tcMar>
            <w:vAlign w:val="center"/>
          </w:tcPr>
          <w:p w:rsidR="003E22F4" w:rsidRDefault="00AB4314">
            <w:pPr>
              <w:jc w:val="left"/>
            </w:pPr>
            <w:r>
              <w:t>Saskaņā ar MK noteikumu Nr.747 13.pantu 4.-6.klašu skolēnu un 7.- 9.klašu skolēnu vērtēšanai tiek izmantoti vienādi vērtēšanas kritēriji.</w:t>
            </w:r>
            <w:r>
              <w:br/>
            </w:r>
            <w:r>
              <w:t>“13. Summatīvo vērtējumu šo noteikumu 12.4.1. apakšpunktā minētajā gadījumā izsaka:</w:t>
            </w:r>
            <w:r>
              <w:br/>
            </w:r>
            <w:r>
              <w:t>13.1. 1.–3. klasē – apguves līmeņo</w:t>
            </w:r>
            <w:r>
              <w:t>s (9. pielikums);</w:t>
            </w:r>
            <w:r>
              <w:br/>
            </w:r>
            <w:r>
              <w:t>13.2. 4.–9. klasē – 10 ballu skalā (10. pielikums).”</w:t>
            </w:r>
            <w:r>
              <w:br/>
            </w:r>
            <w:r>
              <w:br/>
            </w:r>
            <w:r>
              <w:t>Uzskatu, ka vērtēšanas kritēriji 10 ballu skalā jāpiemēro, ņemot vērā izglītojamā vecumu. Vadoties pēc spēkā esošajiem noteikumiem, 4. klases skolēnam tiek piemēroti tādi paši kritērij</w:t>
            </w:r>
            <w:r>
              <w:t xml:space="preserve">i kā 9. klases skolēnam. Jāatzīmē, ka tādas kompetences kā “prot pamatot un loģiski argumentēt domas, saskatīt un izskaidrot likumsakarības” un “spēj </w:t>
            </w:r>
            <w:r>
              <w:lastRenderedPageBreak/>
              <w:t>atsevišķas zināšanas un prasmes sintezēt vienotā ainā, samērojot ar realitāti” ne vienmēr ir pat pieauguši</w:t>
            </w:r>
            <w:r>
              <w:t>em cilvēkiem, bet spēkā esošie noteikumi šādu kompetenču esamība ir priekšnoteikums 9. vai 10. vērtējuma saņemšanai gan četrklasniekam, gan devītklasniekam.</w:t>
            </w:r>
            <w:r>
              <w:br/>
            </w:r>
            <w:r>
              <w:t>Tāpat esošā vērtēšanas sistēma neņem vērā mājasdarbu izpildes vai neizpildes faktu. Vērtējumu par s</w:t>
            </w:r>
            <w:r>
              <w:t>emestri veic, pamatojoties uz vērtējumiem par pārbaudes darbiem, kas notiek 3 vai 4 reizes semestrī, un semestra atzīme ir vidējais aritmētiskais vērtējums kontroldarbos.Taču to, cik veiksmīgi skolēns uzrakstījis kontroldarbu, ietekmē arī satraukums, atšķi</w:t>
            </w:r>
            <w:r>
              <w:t>rīgais darba izpildes temps, uzmanības koncentrācijas problēmas un citi personīgie faktori.</w:t>
            </w:r>
            <w:r>
              <w:br/>
            </w:r>
            <w:r>
              <w:t>Atsevišķi pastāv jautājums par bērnu ar īpašām vajadzībām, kuri mācās iekļaujoši vispārizglītojošās skolās, novērtēšanu. Bērns ar disleksiju uzdevuma izlasīšanai ve</w:t>
            </w:r>
            <w:r>
              <w:t xml:space="preserve">lta ievērojami vairāk laika, un bieži vien nespēj uzrakstīt izvērstu atbildi. Saskaņā ar </w:t>
            </w:r>
            <w:r>
              <w:lastRenderedPageBreak/>
              <w:t>Ministru kabineta noteikumiem 556 šādam bērnam pienākas papildus 30% laika darba veikšanai. Taču realitātē to nav iespējams nodrošināt, jo mācību telpa jāatbrīvo nākam</w:t>
            </w:r>
            <w:r>
              <w:t>ajai stundai un skolotājam jāiet uz nākamo mācību stundu. Izeja varētu būt adaptēto pārbaudes darbu variantu izmantošana, un par to izstrādi atbildība jāuzņemas Izglītības ministrijai. Pagaidām šādi materiāli vispārizglītojošām skolām nav pieejami.</w:t>
            </w:r>
            <w:r>
              <w:br/>
            </w:r>
            <w:r>
              <w:t>Acīmred</w:t>
            </w:r>
            <w:r>
              <w:t>zot vērtējumam par mājasdarbu veikšanu vai nepildīšanu audzēkņiem arī jāpiedalās kopvērtējuma veidošanā. Iemesls ir vienkāršs – ir bērni, kuri ne vienmēr savas zināšanas spēj nodemonstrēt publiski klasē. Ja bērns uztraucas, nespēj koncentrēties, tad apstāk</w:t>
            </w:r>
            <w:r>
              <w:t>ļos, kad skolotājam klasē ir trīsdesmit cilvēku un skolotājs nevar veltīt konkrētam bērnam paaugstinātu uzmanību un palīdzēt viņam ar atbildes formulējumu, tad faktiski bērnam ir traucēta iespēja demonstrēt savas zināšanas tieši klasē. Īpaši tas attiecas u</w:t>
            </w:r>
            <w:r>
              <w:t xml:space="preserve">z bērniem ar speciālām vajadzībām, kuri mācās iekļaujoši vispārizglītojošās </w:t>
            </w:r>
            <w:r>
              <w:lastRenderedPageBreak/>
              <w:t>skolās.</w:t>
            </w:r>
            <w:r>
              <w:br/>
            </w:r>
            <w:r>
              <w:t>Būtu taisnīgi izmantot svērtu vērtējumu, kur vērtējuma daļa par mājasdarbiem varētu būt līdz 25% no kopvērtējuma.</w:t>
            </w:r>
            <w:r>
              <w:br/>
            </w:r>
            <w:r>
              <w:br/>
            </w:r>
            <w:r>
              <w:t>Ņemot vērā iepriekš minēto,</w:t>
            </w:r>
            <w:r>
              <w:br/>
            </w:r>
            <w:r>
              <w:rPr>
                <w:b/>
              </w:rPr>
              <w:t>Ierosinu veikt precizējumus u</w:t>
            </w:r>
            <w:r>
              <w:rPr>
                <w:b/>
              </w:rPr>
              <w:t>n papildinājumus vērtēšanas kritērijos:</w:t>
            </w:r>
            <w:r>
              <w:br/>
            </w:r>
            <w:r>
              <w:br/>
            </w:r>
            <w:r>
              <w:rPr>
                <w:b/>
              </w:rPr>
              <w:t>1) Izteikt noteikumu 13.2.punktu šādā redakcijā:</w:t>
            </w:r>
            <w:r>
              <w:br/>
            </w:r>
            <w:r>
              <w:t>“13.2. 4.–9. klasē – 10 ballu skalā (7.-9. klasē -10. pielikums, 4.-6.klasē - 10¹.pielikums)”</w:t>
            </w:r>
            <w:r>
              <w:br/>
            </w:r>
            <w:r>
              <w:br/>
            </w:r>
            <w:r>
              <w:rPr>
                <w:b/>
              </w:rPr>
              <w:t>2) Vērtēšanas kritērijus 7.-9.klašu skolēniemizklāstīt šādā redakcijā (</w:t>
            </w:r>
            <w:r>
              <w:rPr>
                <w:b/>
              </w:rPr>
              <w:t>10. pielikums).</w:t>
            </w:r>
            <w:r>
              <w:br/>
            </w:r>
            <w:r>
              <w:br/>
            </w:r>
            <w:r>
              <w:t>Skolēna mācību sasniegumu vērtēšana 10 ballu skalā 7.-9.klasē</w:t>
            </w:r>
            <w:r>
              <w:br/>
            </w:r>
            <w:r>
              <w:br/>
            </w:r>
            <w:r>
              <w:t>1. Mācību sasniegumu vērtējumu 10 ballu skalā veido šādi kritēriji:</w:t>
            </w:r>
            <w:r>
              <w:br/>
            </w:r>
            <w:r>
              <w:t>1.1. iegūto zināšanu apjoms un kvalitāte;</w:t>
            </w:r>
            <w:r>
              <w:br/>
            </w:r>
            <w:r>
              <w:t>1.2. apgūtās pamatprasmes mācību jomā un caurviju prasmes;</w:t>
            </w:r>
            <w:r>
              <w:br/>
            </w:r>
            <w:r>
              <w:lastRenderedPageBreak/>
              <w:t>1.3. at</w:t>
            </w:r>
            <w:r>
              <w:t>tīstītie ieradumi un attieksmes, kas apliecina vērtības un tikumus;</w:t>
            </w:r>
            <w:r>
              <w:br/>
            </w:r>
            <w:r>
              <w:t>1.4. mācību sasniegumu attīstības dinamika.</w:t>
            </w:r>
            <w:r>
              <w:br/>
            </w:r>
            <w:r>
              <w:t>2. Skolēna mācību sasniegumus mācību priekšmetā izsaka 10 ballu skalā (10 – izcili, 9 – teicami, 8 – ļoti labi, 7 –</w:t>
            </w:r>
            <w:r>
              <w:br/>
            </w:r>
            <w:r>
              <w:t xml:space="preserve">labi, 6 – gandrīz labi, 5 – </w:t>
            </w:r>
            <w:r>
              <w:t>viduvēji, 4 – gandrīz viduvēji, 3 – vāji, 2 – ļoti vāji, 1 – ļoti, ļoti vāji). Nosakot vērtējumu 10</w:t>
            </w:r>
            <w:r>
              <w:br/>
            </w:r>
            <w:r>
              <w:t>ballu skalā, kritēriji tiek izvērtēti kopumā.</w:t>
            </w:r>
            <w:r>
              <w:br/>
            </w:r>
            <w:r>
              <w:t>3. Skolēns iegūst vērtējumu 9 un 10 balles, ja:</w:t>
            </w:r>
            <w:r>
              <w:br/>
            </w:r>
            <w:r>
              <w:t>3.1. ir apguvis zināšanas, izpratni un pamatprasmes mācību jom</w:t>
            </w:r>
            <w:r>
              <w:t>ās, caurviju prasmes un spēj mācību saturu</w:t>
            </w:r>
            <w:r>
              <w:br/>
            </w:r>
            <w:r>
              <w:t>patstāvīgi izmantot jaunu zināšanu veidošanai; saskata likumsakarības un problēmas, prot risināt atbilstošas problēmas, pamatot un loģiski argumentēt domu</w:t>
            </w:r>
            <w:r>
              <w:br/>
            </w:r>
            <w:r>
              <w:t>3.2. prot izmantot zināšanas un prasmes, patstavīgi veic t</w:t>
            </w:r>
            <w:r>
              <w:t>ipveida un kombinētus mācību uzdevumus;</w:t>
            </w:r>
            <w:r>
              <w:br/>
            </w:r>
            <w:r>
              <w:t>3.3. spēj atsevišķas zināšanas un prasmes sintezēt vienotā ainā, samērojot ar realitāti;</w:t>
            </w:r>
            <w:r>
              <w:br/>
            </w:r>
            <w:r>
              <w:lastRenderedPageBreak/>
              <w:t>3.4. spēj patstāvīgi izteikt savu viedokli, definēt vērtējuma kritērijus, paredzēt sekas;</w:t>
            </w:r>
            <w:r>
              <w:br/>
            </w:r>
            <w:r>
              <w:t>3.5. veicina sadarbību saziņā un mācī</w:t>
            </w:r>
            <w:r>
              <w:t>bu problēmu risināšanā;</w:t>
            </w:r>
            <w:r>
              <w:br/>
            </w:r>
            <w:r>
              <w:t>3.6. uzdoto veic apzīnīgi</w:t>
            </w:r>
            <w:r>
              <w:br/>
            </w:r>
            <w:r>
              <w:br/>
            </w:r>
            <w:r>
              <w:t>4. Skolēns iegūst vērtējumu 6, 7 un 8 balles, ja:</w:t>
            </w:r>
            <w:r>
              <w:br/>
            </w:r>
            <w:r>
              <w:t>4.1. spēj ar izpratni reproducēt mācību saturu (pilnā apjomā vai tuvu tam), atšķir būtisko no mazsvarīgā;</w:t>
            </w:r>
            <w:r>
              <w:br/>
            </w:r>
            <w:r>
              <w:t>4.2. prot izmantot zināšanas un prasmes, pēc para</w:t>
            </w:r>
            <w:r>
              <w:t>uga, analoģijas vai pazīstamā situācijā veic tipveida un</w:t>
            </w:r>
            <w:r>
              <w:br/>
            </w:r>
            <w:r>
              <w:t>kombinētus mācību uzdevumus bez kļūdām;</w:t>
            </w:r>
            <w:r>
              <w:br/>
            </w:r>
            <w:r>
              <w:t>4.3. uzdoto veic apzinīgi, parāda spējas, kā arī attīstītas gribas īpašības;</w:t>
            </w:r>
            <w:r>
              <w:br/>
            </w:r>
            <w:r>
              <w:t xml:space="preserve">4.4. mācību satura pamatjautājumos pauž personisko attieksmi vairāk konstatācijas </w:t>
            </w:r>
            <w:r>
              <w:t>nekā analīzes līmenī;</w:t>
            </w:r>
            <w:r>
              <w:br/>
            </w:r>
            <w:r>
              <w:t>4.5. ir apguvis sadarbības un saziņas prasmi;</w:t>
            </w:r>
            <w:r>
              <w:br/>
            </w:r>
            <w:r>
              <w:t>4.6. mācību sasniegumi attīstās veiksmīgi.</w:t>
            </w:r>
            <w:r>
              <w:br/>
            </w:r>
            <w:r>
              <w:t>5. Skolēns iegūst vērtējumu 4 un 5 balles, ja:</w:t>
            </w:r>
            <w:r>
              <w:br/>
            </w:r>
            <w:r>
              <w:lastRenderedPageBreak/>
              <w:t>5.1. ir iepazinis norādīto mācību saturu, prot atšķirt būtisko no mazsvarīgā, zina un var definēt jēdzienus, galvenos</w:t>
            </w:r>
            <w:r>
              <w:br/>
            </w:r>
            <w:r>
              <w:t>likumus un likumsakarības, pēc parauga, analoģijas vai pazīstamā situācijā risina lielāko daļu (vismaz 60 %) tipveida uzdevumu;</w:t>
            </w:r>
            <w:r>
              <w:br/>
            </w:r>
            <w:r>
              <w:t>5.2. mācīb</w:t>
            </w:r>
            <w:r>
              <w:t>u saturu izklāsta pietiekami skaidri un saprotami;</w:t>
            </w:r>
            <w:r>
              <w:br/>
            </w:r>
            <w:r>
              <w:t>5.3. mācībās izmanto tradicionālas izziņas metodes, izpildot pedagoga norādījumus;</w:t>
            </w:r>
            <w:r>
              <w:br/>
            </w:r>
            <w:r>
              <w:t>5.4. var izteikt personisko attieksmi, izmantojot iegaumēto mācību saturu;</w:t>
            </w:r>
            <w:r>
              <w:br/>
            </w:r>
            <w:r>
              <w:t>5.5. maz attīstītas sadarbības un saziņas prasm</w:t>
            </w:r>
            <w:r>
              <w:t>es;</w:t>
            </w:r>
            <w:r>
              <w:br/>
            </w:r>
            <w:r>
              <w:t>5.6. mācību sasniegumi attīstās.</w:t>
            </w:r>
            <w:r>
              <w:br/>
            </w:r>
            <w:r>
              <w:t>5.7. uzdoto veic apzīnīgi</w:t>
            </w:r>
            <w:r>
              <w:br/>
            </w:r>
            <w:r>
              <w:t>6. Skolēns iegūst vērtējumu 1, 2 un 3 balles, ja:</w:t>
            </w:r>
            <w:r>
              <w:br/>
            </w:r>
            <w:r>
              <w:t>6.1. pazīst un spēj vienīgi uztvert mācību saturu, bet nespēj iegaumēt un reproducēt pietiekamu apgūstamā satura</w:t>
            </w:r>
            <w:r>
              <w:br/>
            </w:r>
            <w:r>
              <w:t>apjomu (vismaz 50 %), veic pri</w:t>
            </w:r>
            <w:r>
              <w:t>mitīvus uzdevumus tikai pēc parauga labi pazīstamā situācijā, bez kļūdām veic tikai</w:t>
            </w:r>
            <w:r>
              <w:br/>
            </w:r>
            <w:r>
              <w:t>daļu uzdevumu;</w:t>
            </w:r>
            <w:r>
              <w:br/>
            </w:r>
            <w:r>
              <w:lastRenderedPageBreak/>
              <w:t>6.2. mācību saturu izklāsta, bet citiem nesaprotami, reti atšķir būtisko no mazsvarīgā;</w:t>
            </w:r>
            <w:r>
              <w:br/>
            </w:r>
            <w:r>
              <w:t>6.3. personīgo attieksmi spēj paust epizodiski vai arī nav sava viedo</w:t>
            </w:r>
            <w:r>
              <w:t>kļa;</w:t>
            </w:r>
            <w:r>
              <w:br/>
            </w:r>
            <w:r>
              <w:t>6.4. nav attīstīta sadarbības prasme;</w:t>
            </w:r>
            <w:r>
              <w:br/>
            </w:r>
            <w:r>
              <w:t>6.5. mācību sasniegumu attīstība ir nepietiekama.</w:t>
            </w:r>
            <w:r>
              <w:br/>
            </w:r>
            <w:r>
              <w:t>6.6. trūkst apziņas uzdota veikšanā</w:t>
            </w:r>
            <w:r>
              <w:br/>
            </w:r>
            <w:r>
              <w:t>7. Skolēna mācību sasniegumu vērtējumu mācību priekšmetā 10 ballu skalā atbilstoši šiem noteikumiem,</w:t>
            </w:r>
            <w:r>
              <w:br/>
            </w:r>
            <w:r>
              <w:t>skolēnam plānotajiem sasni</w:t>
            </w:r>
            <w:r>
              <w:t>edzamajiem rezultātiem mācību jomā, kā arī mācību priekšmeta programmai konkrētā</w:t>
            </w:r>
            <w:r>
              <w:br/>
            </w:r>
            <w:r>
              <w:t>klasē detalizētāk nosaka mācību priekšmeta pedagogs.</w:t>
            </w:r>
            <w:r>
              <w:br/>
            </w:r>
            <w:r>
              <w:t>8. Skolēna mācību sasniegumu vērtējumu mācību priekšmetā tiek ņemta vērā skolēna apziņa mājasdarbu pildīšanā. Mācību priek</w:t>
            </w:r>
            <w:r>
              <w:t>šmeta pedagogs, vērtējot skolēna mācību sasniegumu, var izmantot vienu no diviem paņēmieniem:</w:t>
            </w:r>
            <w:r>
              <w:br/>
            </w:r>
            <w:r>
              <w:t xml:space="preserve">8.1. Izmanto vidējo svērto vērtību. Mājas darbu izpildi un izpildes kvalitāti pedagogs vērtē 10 (desmit) ballu skalā. Vidējais vērtējums par izpildītajiem </w:t>
            </w:r>
            <w:r>
              <w:lastRenderedPageBreak/>
              <w:t>mājas d</w:t>
            </w:r>
            <w:r>
              <w:t>arbiem veido 25% no kopējās atzīmes.</w:t>
            </w:r>
            <w:r>
              <w:br/>
            </w:r>
            <w:r>
              <w:t>8.2. Pedagogs 10 ballu skalā vērtē tikai mājas darbu izpildes disciplīnu, bet nevērtē to izpildes kvalitāti. Vidējais vērtējums par izpildītajiem mājas darbiem veido 15% no kopējās atzīmes.</w:t>
            </w:r>
            <w:r>
              <w:br/>
            </w:r>
            <w:r>
              <w:t>8.3. Skolēnus ar speciālām va</w:t>
            </w:r>
            <w:r>
              <w:t>jadzībām, tai skaitā skolēnus, kuri mācās iekļaujoši vispārējās izglītības iestādēs, novērtē, ņemot vērā skolēna spējas un attīstību, un piemēro piemērotāko vērtēšanas veidu (rakstisks vai mutisks). Vērtēšanai izmanto materiālus (pārbaudes darbu paraugus),</w:t>
            </w:r>
            <w:r>
              <w:t xml:space="preserve"> kas pielāgoti attiecīgajai speciālās izglītības programmai.</w:t>
            </w:r>
            <w:r>
              <w:br/>
            </w:r>
            <w:r>
              <w:br/>
            </w:r>
            <w:r>
              <w:rPr>
                <w:b/>
              </w:rPr>
              <w:t>3) Vērtēšanas kritērijus 4.-6.klašu skolēniem izklāstīt šādā redakcijā (10¹. pielikums).</w:t>
            </w:r>
            <w:r>
              <w:br/>
            </w:r>
            <w:r>
              <w:br/>
            </w:r>
            <w:r>
              <w:t>Skolēna mācību sasniegumu vērtēšana 10 ballu skalā 4.-6.klasē</w:t>
            </w:r>
            <w:r>
              <w:br/>
            </w:r>
            <w:r>
              <w:br/>
            </w:r>
            <w:r>
              <w:t>1. Mācību sasniegumu vērtējumu 10 ballu s</w:t>
            </w:r>
            <w:r>
              <w:t>kalā veido šādi kritēriji:</w:t>
            </w:r>
            <w:r>
              <w:br/>
            </w:r>
            <w:r>
              <w:t xml:space="preserve">1.1. iegūto zināšanu apjoms un </w:t>
            </w:r>
            <w:r>
              <w:lastRenderedPageBreak/>
              <w:t>kvalitāte;</w:t>
            </w:r>
            <w:r>
              <w:br/>
            </w:r>
            <w:r>
              <w:t>1.2. apgūtās pamatprasmes mācību jomā un caurviju prasmes;</w:t>
            </w:r>
            <w:r>
              <w:br/>
            </w:r>
            <w:r>
              <w:t>1.3. attīstītie ieradumi un attieksmes, kas apliecina vērtības un tikumus;</w:t>
            </w:r>
            <w:r>
              <w:br/>
            </w:r>
            <w:r>
              <w:t>1.4. mācību sasniegumu attīstības dinamika.</w:t>
            </w:r>
            <w:r>
              <w:br/>
            </w:r>
            <w:r>
              <w:t>2. Skolēn</w:t>
            </w:r>
            <w:r>
              <w:t>a mācību sasniegumus mācību priekšmetā izsaka 10 ballu skalā (10 – izcili, 9 – teicami, 8 – ļoti labi, 7 –</w:t>
            </w:r>
            <w:r>
              <w:br/>
            </w:r>
            <w:r>
              <w:t>labi, 6 – gandrīz labi, 5 – viduvēji, 4 – gandrīz viduvēji, 3 – vāji, 2 – ļoti vāji, 1 – ļoti, ļoti vāji). Nosakot vērtējumu 10</w:t>
            </w:r>
            <w:r>
              <w:br/>
            </w:r>
            <w:r>
              <w:t>ballu skalā, kritērij</w:t>
            </w:r>
            <w:r>
              <w:t>i tiek izvērtēti kopumā.</w:t>
            </w:r>
            <w:r>
              <w:br/>
            </w:r>
            <w:r>
              <w:t>3. Skolēns iegūst vērtējumu 9 un 10 balles, ja:</w:t>
            </w:r>
            <w:r>
              <w:br/>
            </w:r>
            <w:r>
              <w:t>3.1. ir apguvis zināšanas, izpratni un pamatprasmes mācību jomās, spēj mācību saturu patstāvīgi izmantot jaunu zināšanu veidošanai, saskata likumsakarības un problēmas;</w:t>
            </w:r>
            <w:r>
              <w:br/>
            </w:r>
            <w:r>
              <w:t>3.2. prot izma</w:t>
            </w:r>
            <w:r>
              <w:t>ntot zināšanas un prasmes, patstavīgi veic tipveida un kombinētus mācību uzdevumus;</w:t>
            </w:r>
            <w:r>
              <w:br/>
            </w:r>
            <w:r>
              <w:t>3.3. attīstās spēja atsevišķas zināšanas un prasmes sintezēt vienotā ainā, samērojot ar realitāti;</w:t>
            </w:r>
            <w:r>
              <w:br/>
            </w:r>
            <w:r>
              <w:lastRenderedPageBreak/>
              <w:t>3.4. attīstās spēja patstāvīgi izteikt savu viedokli, definēt vērtējuma k</w:t>
            </w:r>
            <w:r>
              <w:t>ritērijus, paredzēt sekas;</w:t>
            </w:r>
            <w:r>
              <w:br/>
            </w:r>
            <w:r>
              <w:t>3.5. ir apguvis sadarbības un saziņas prasmi;</w:t>
            </w:r>
            <w:r>
              <w:br/>
            </w:r>
            <w:r>
              <w:t>3.6. uzdoto veic apzīnīgi</w:t>
            </w:r>
            <w:r>
              <w:br/>
            </w:r>
            <w:r>
              <w:t>4. Skolēns iegūst vērtējumu 6, 7 un 8 balles, ja:</w:t>
            </w:r>
            <w:r>
              <w:br/>
            </w:r>
            <w:r>
              <w:t>4.1. spēj ar izpratni reproducēt mācību saturu (pilnā apjomā vai tuvu tam), atšķir būtisko no mazsvarīgā;</w:t>
            </w:r>
            <w:r>
              <w:br/>
            </w:r>
            <w:r>
              <w:t>4</w:t>
            </w:r>
            <w:r>
              <w:t>.2. prot izmantot zināšanas un prasmes, pēc parauga, analoģijas vai pazīstamā situācijā veic tipveida un</w:t>
            </w:r>
            <w:r>
              <w:br/>
            </w:r>
            <w:r>
              <w:t>kombinētus mācību uzdevumus bez kļūdām;</w:t>
            </w:r>
            <w:r>
              <w:br/>
            </w:r>
            <w:r>
              <w:t>4.3. uzdoto veic apzinīgi, parāda spējas, kā arī attīstītas gribas īpašības;</w:t>
            </w:r>
            <w:r>
              <w:br/>
            </w:r>
            <w:r>
              <w:t>4.4. mācību satura pamatjautājumos</w:t>
            </w:r>
            <w:r>
              <w:t xml:space="preserve"> pauž personisko attieksmi vairāk konstatācijas nekā analīzes līmenī;</w:t>
            </w:r>
            <w:r>
              <w:br/>
            </w:r>
            <w:r>
              <w:t>4.5. attīstās sadarbības un saziņas prasme;</w:t>
            </w:r>
            <w:r>
              <w:br/>
            </w:r>
            <w:r>
              <w:t>4.6. mācību sasniegumi attīstās veiksmīgi.</w:t>
            </w:r>
            <w:r>
              <w:br/>
            </w:r>
            <w:r>
              <w:t>5. Skolēns iegūst vērtējumu 4 un 5 balles, ja:</w:t>
            </w:r>
            <w:r>
              <w:br/>
            </w:r>
            <w:r>
              <w:t xml:space="preserve">5.1. ir iepazinis norādīto mācību saturu, </w:t>
            </w:r>
            <w:r>
              <w:lastRenderedPageBreak/>
              <w:t>prot atšķirt būtisko no mazsvarīgā, zina un var definēt jēdzienus, galvenos</w:t>
            </w:r>
            <w:r>
              <w:br/>
            </w:r>
            <w:r>
              <w:t>likumus un likumsakarības, pēc parauga, analoģijas vai pazīstamā situācijā risina lielāko daļu (vismaz 60 %) tipveida uzdevumu;</w:t>
            </w:r>
            <w:r>
              <w:br/>
            </w:r>
            <w:r>
              <w:t>5.2. mācīb</w:t>
            </w:r>
            <w:r>
              <w:t>u saturu izklāsta (dažreiz ar pedagoga palīdzību) pietiekami skaidri un saprotami;</w:t>
            </w:r>
            <w:r>
              <w:br/>
            </w:r>
            <w:r>
              <w:t>5.3. mācībās izmanto tradicionālas izziņas metodes, izpildot pedagoga norādījumus;</w:t>
            </w:r>
            <w:r>
              <w:br/>
            </w:r>
            <w:r>
              <w:t>5.4. var izteikt personisko attieksmi, izmantojot iegaumēto mācību saturu;</w:t>
            </w:r>
            <w:r>
              <w:br/>
            </w:r>
            <w:r>
              <w:t>5.5. maz attīst</w:t>
            </w:r>
            <w:r>
              <w:t>ītas sadarbības un saziņas prasmes;</w:t>
            </w:r>
            <w:r>
              <w:br/>
            </w:r>
            <w:r>
              <w:t>5.6. mācību sasniegumi attīstās.</w:t>
            </w:r>
            <w:r>
              <w:br/>
            </w:r>
            <w:r>
              <w:t>5.7. uzdoto veic apzīnīgi</w:t>
            </w:r>
            <w:r>
              <w:br/>
            </w:r>
            <w:r>
              <w:t>6. Skolēns iegūst vērtējumu 1, 2 un 3 balles, ja:</w:t>
            </w:r>
            <w:r>
              <w:br/>
            </w:r>
            <w:r>
              <w:t>6.1. pazīst un spēj vienīgi uztvert mācību saturu, bet nespēj iegaumēt un reproducēt pietiekamu apgūstamā satur</w:t>
            </w:r>
            <w:r>
              <w:t>a</w:t>
            </w:r>
            <w:r>
              <w:br/>
            </w:r>
            <w:r>
              <w:t>apjomu (vismaz 50 %), veic primitīvus uzdevumus tikai pēc parauga labi pazīstamā situācijā, bez kļūdām veic tikai</w:t>
            </w:r>
            <w:r>
              <w:br/>
            </w:r>
            <w:r>
              <w:t xml:space="preserve">daļu uzdevumu vai ar pedagoga </w:t>
            </w:r>
            <w:r>
              <w:lastRenderedPageBreak/>
              <w:t>palīdzību;</w:t>
            </w:r>
            <w:r>
              <w:br/>
            </w:r>
            <w:r>
              <w:t>6.2. mācību saturu izklāsta, bet citiem nesaprotami, reti atšķir būtisko no mazsvarīgā;</w:t>
            </w:r>
            <w:r>
              <w:br/>
            </w:r>
            <w:r>
              <w:t>6.3. person</w:t>
            </w:r>
            <w:r>
              <w:t>īgo attieksmi spēj paust epizodiski vai arī nav sava viedokļa;</w:t>
            </w:r>
            <w:r>
              <w:br/>
            </w:r>
            <w:r>
              <w:t>6.4. nav attīstīta sadarbības prasme;</w:t>
            </w:r>
            <w:r>
              <w:br/>
            </w:r>
            <w:r>
              <w:t>6.5. mācību sasniegumu attīstība ir nepietiekama.</w:t>
            </w:r>
            <w:r>
              <w:br/>
            </w:r>
            <w:r>
              <w:t>6.6. trūkst apziņas uzdota veikšanā</w:t>
            </w:r>
            <w:r>
              <w:br/>
            </w:r>
            <w:r>
              <w:t>7. Skolēna mācību sasniegumu vērtējumu mācību priekšmetā 10 ballu ska</w:t>
            </w:r>
            <w:r>
              <w:t>lā atbilstoši šiem noteikumiem,</w:t>
            </w:r>
            <w:r>
              <w:br/>
            </w:r>
            <w:r>
              <w:t>skolēnam plānotajiem sasniedzamajiem rezultātiem mācību jomā, kā arī mācību priekšmeta programmai konkrētā</w:t>
            </w:r>
            <w:r>
              <w:br/>
            </w:r>
            <w:r>
              <w:t>klasē detalizētāk nosaka mācību priekšmeta pedagogs.</w:t>
            </w:r>
            <w:r>
              <w:br/>
            </w:r>
            <w:r>
              <w:t>8. Skolēna mācību sasniegumu vērtējumu mācību priekšmetā tiek ņe</w:t>
            </w:r>
            <w:r>
              <w:t>mta vērā skolēna apziņa mājasdarbu pildīšanā. Mācību priekšmeta pedagogs, vērtējot skolēna mācību sasniegumu, var izmantot vienu no diviem paņēmieniem:</w:t>
            </w:r>
            <w:r>
              <w:br/>
            </w:r>
            <w:r>
              <w:t>8.1. Izmanto vidējo svērto vērtību. Mājas darbu izpildi un izpildes kvalitāti pedagogs vērtē 10 (desmit)</w:t>
            </w:r>
            <w:r>
              <w:t xml:space="preserve"> ballu skalā. </w:t>
            </w:r>
            <w:r>
              <w:lastRenderedPageBreak/>
              <w:t>Vidējais vērtējums par izpildītajiem mājas darbiem veido 25% no kopējās atzīmes.</w:t>
            </w:r>
            <w:r>
              <w:br/>
            </w:r>
            <w:r>
              <w:t>8.2. Pedagogs 10 ballu skalā vērtē tikai mājas darbu izpildes disciplīnu, bet nevērtē to izpildes kvalitāti. Vidējais vērtējums par izpildītajiem mājas darbiem v</w:t>
            </w:r>
            <w:r>
              <w:t>eido 15% no kopējās atzīmes.</w:t>
            </w:r>
            <w:r>
              <w:br/>
            </w:r>
            <w:r>
              <w:t>8.3. Skolēnus ar speciālām vajadzībām, tai skaitā skolēnus, kuri mācās iekļaujoši vispārējās izglītības iestādēs, novērtē, ņemot vērā skolēna spējas un attīstību, un piemēro piemērotāko vērtēšanas veidu (rakstisks vai mutisks).</w:t>
            </w:r>
            <w:r>
              <w:t xml:space="preserve"> Vērtēšanai izmanto materiālus (pārbaudes darbu paraugus), kas pielāgoti attiecīgajai speciālās izglītības programmai.</w:t>
            </w:r>
            <w:r>
              <w:br/>
            </w:r>
          </w:p>
        </w:tc>
        <w:tc>
          <w:tcPr>
            <w:tcW w:w="1418" w:type="dxa"/>
            <w:shd w:val="clear" w:color="auto" w:fill="FFFFFF"/>
            <w:noWrap/>
            <w:tcMar>
              <w:top w:w="75" w:type="dxa"/>
              <w:left w:w="75" w:type="dxa"/>
              <w:bottom w:w="75" w:type="dxa"/>
              <w:right w:w="75" w:type="dxa"/>
            </w:tcMar>
            <w:vAlign w:val="center"/>
          </w:tcPr>
          <w:p w:rsidR="003E22F4" w:rsidRPr="009F712D" w:rsidRDefault="009F712D">
            <w:pPr>
              <w:jc w:val="left"/>
              <w:rPr>
                <w:b/>
              </w:rPr>
            </w:pPr>
            <w:r w:rsidRPr="009F712D">
              <w:rPr>
                <w:b/>
              </w:rPr>
              <w:lastRenderedPageBreak/>
              <w:t>Nav ņemts vērā</w:t>
            </w:r>
          </w:p>
        </w:tc>
        <w:tc>
          <w:tcPr>
            <w:tcW w:w="5703" w:type="dxa"/>
            <w:shd w:val="clear" w:color="auto" w:fill="FFFFFF"/>
            <w:noWrap/>
            <w:tcMar>
              <w:top w:w="75" w:type="dxa"/>
              <w:left w:w="75" w:type="dxa"/>
              <w:bottom w:w="75" w:type="dxa"/>
              <w:right w:w="75" w:type="dxa"/>
            </w:tcMar>
            <w:vAlign w:val="center"/>
          </w:tcPr>
          <w:p w:rsidR="009158C2" w:rsidRDefault="009F712D" w:rsidP="009158C2">
            <w:pPr>
              <w:pStyle w:val="Heading3"/>
              <w:shd w:val="clear" w:color="auto" w:fill="FFFFFF"/>
              <w:jc w:val="left"/>
              <w:rPr>
                <w:rFonts w:ascii="Times New Roman" w:hAnsi="Times New Roman" w:cs="Times New Roman"/>
                <w:b w:val="0"/>
                <w:i w:val="0"/>
                <w:color w:val="auto"/>
                <w:sz w:val="28"/>
                <w:szCs w:val="28"/>
                <w:shd w:val="clear" w:color="auto" w:fill="FFFFFF"/>
              </w:rPr>
            </w:pPr>
            <w:r w:rsidRPr="009F712D">
              <w:rPr>
                <w:rFonts w:ascii="Times New Roman" w:hAnsi="Times New Roman" w:cs="Times New Roman"/>
                <w:b w:val="0"/>
                <w:i w:val="0"/>
                <w:color w:val="auto"/>
                <w:sz w:val="28"/>
                <w:szCs w:val="28"/>
              </w:rPr>
              <w:t xml:space="preserve">Ministru kabinets 2023.gada 22.augustā ir pieņēmis noteikumus Nr.476 </w:t>
            </w:r>
            <w:r w:rsidR="009158C2">
              <w:rPr>
                <w:rFonts w:ascii="Times New Roman" w:hAnsi="Times New Roman" w:cs="Times New Roman"/>
                <w:b w:val="0"/>
                <w:i w:val="0"/>
                <w:color w:val="auto"/>
                <w:sz w:val="28"/>
                <w:szCs w:val="28"/>
              </w:rPr>
              <w:t>“</w:t>
            </w:r>
            <w:r w:rsidRPr="009F712D">
              <w:rPr>
                <w:rFonts w:ascii="Times New Roman" w:hAnsi="Times New Roman" w:cs="Times New Roman"/>
                <w:b w:val="0"/>
                <w:i w:val="0"/>
                <w:color w:val="auto"/>
                <w:sz w:val="28"/>
                <w:szCs w:val="28"/>
              </w:rPr>
              <w:t xml:space="preserve">Grozījumi Ministru kabineta 2018. gada 27. novembra noteikumos Nr. 747 </w:t>
            </w:r>
            <w:r w:rsidR="009158C2">
              <w:rPr>
                <w:rFonts w:ascii="Times New Roman" w:hAnsi="Times New Roman" w:cs="Times New Roman"/>
                <w:b w:val="0"/>
                <w:i w:val="0"/>
                <w:color w:val="auto"/>
                <w:sz w:val="28"/>
                <w:szCs w:val="28"/>
              </w:rPr>
              <w:t>“</w:t>
            </w:r>
            <w:r w:rsidRPr="009F712D">
              <w:rPr>
                <w:rFonts w:ascii="Times New Roman" w:hAnsi="Times New Roman" w:cs="Times New Roman"/>
                <w:b w:val="0"/>
                <w:i w:val="0"/>
                <w:color w:val="auto"/>
                <w:sz w:val="28"/>
                <w:szCs w:val="28"/>
              </w:rPr>
              <w:t>Noteikumi par valsts pamatizglītības standartu un pama</w:t>
            </w:r>
            <w:r w:rsidR="009158C2">
              <w:rPr>
                <w:rFonts w:ascii="Times New Roman" w:hAnsi="Times New Roman" w:cs="Times New Roman"/>
                <w:b w:val="0"/>
                <w:i w:val="0"/>
                <w:color w:val="auto"/>
                <w:sz w:val="28"/>
                <w:szCs w:val="28"/>
              </w:rPr>
              <w:t>tizglītības programmu paraugiem</w:t>
            </w:r>
            <w:r w:rsidR="009158C2" w:rsidRPr="00494A32">
              <w:rPr>
                <w:rFonts w:ascii="Times New Roman" w:hAnsi="Times New Roman" w:cs="Times New Roman"/>
                <w:b w:val="0"/>
                <w:i w:val="0"/>
                <w:color w:val="auto"/>
                <w:sz w:val="28"/>
                <w:szCs w:val="28"/>
              </w:rPr>
              <w:t>””</w:t>
            </w:r>
            <w:r w:rsidR="00494A32">
              <w:rPr>
                <w:rFonts w:ascii="Times New Roman" w:hAnsi="Times New Roman" w:cs="Times New Roman"/>
                <w:b w:val="0"/>
                <w:i w:val="0"/>
                <w:color w:val="auto"/>
                <w:sz w:val="28"/>
                <w:szCs w:val="28"/>
              </w:rPr>
              <w:t xml:space="preserve"> (turpmāk – Noteikumi Nr.476)</w:t>
            </w:r>
            <w:r w:rsidR="004839B5" w:rsidRPr="00494A32">
              <w:rPr>
                <w:rFonts w:ascii="Times New Roman" w:hAnsi="Times New Roman" w:cs="Times New Roman"/>
                <w:b w:val="0"/>
                <w:i w:val="0"/>
                <w:color w:val="auto"/>
                <w:sz w:val="28"/>
                <w:szCs w:val="28"/>
              </w:rPr>
              <w:t xml:space="preserve">, </w:t>
            </w:r>
            <w:r w:rsidR="004839B5" w:rsidRPr="00494A32">
              <w:rPr>
                <w:rFonts w:ascii="Times New Roman" w:hAnsi="Times New Roman" w:cs="Times New Roman"/>
                <w:b w:val="0"/>
                <w:i w:val="0"/>
                <w:color w:val="auto"/>
                <w:sz w:val="28"/>
                <w:szCs w:val="28"/>
                <w:shd w:val="clear" w:color="auto" w:fill="FFFFFF"/>
              </w:rPr>
              <w:t> kas paredz izmaiņas skolēnu mācību sasniegumu vērtēšanas pamatprincipos un iegūtās izglītības</w:t>
            </w:r>
            <w:r w:rsidR="004839B5" w:rsidRPr="00494A32">
              <w:rPr>
                <w:rFonts w:ascii="Times New Roman" w:hAnsi="Times New Roman" w:cs="Times New Roman"/>
                <w:b w:val="0"/>
                <w:i w:val="0"/>
                <w:color w:val="auto"/>
                <w:sz w:val="28"/>
                <w:szCs w:val="28"/>
                <w:shd w:val="clear" w:color="auto" w:fill="FFFFFF"/>
              </w:rPr>
              <w:t xml:space="preserve"> vērtēšanas kārtībā no 2024. gada 1. septembra</w:t>
            </w:r>
            <w:r w:rsidR="004839B5" w:rsidRPr="00494A32">
              <w:rPr>
                <w:rFonts w:ascii="Times New Roman" w:hAnsi="Times New Roman" w:cs="Times New Roman"/>
                <w:b w:val="0"/>
                <w:i w:val="0"/>
                <w:color w:val="auto"/>
                <w:sz w:val="28"/>
                <w:szCs w:val="28"/>
                <w:shd w:val="clear" w:color="auto" w:fill="FFFFFF"/>
              </w:rPr>
              <w:t>.</w:t>
            </w:r>
          </w:p>
          <w:p w:rsidR="00494A32" w:rsidRPr="00494A32" w:rsidRDefault="00494A32" w:rsidP="00494A32">
            <w:pPr>
              <w:jc w:val="left"/>
              <w:rPr>
                <w:color w:val="auto"/>
                <w:szCs w:val="28"/>
              </w:rPr>
            </w:pPr>
            <w:r>
              <w:rPr>
                <w:color w:val="auto"/>
                <w:szCs w:val="28"/>
                <w:shd w:val="clear" w:color="auto" w:fill="FFFFFF"/>
              </w:rPr>
              <w:t>Noteikumi Nr.476</w:t>
            </w:r>
            <w:r w:rsidRPr="00494A32">
              <w:rPr>
                <w:color w:val="auto"/>
                <w:szCs w:val="28"/>
                <w:shd w:val="clear" w:color="auto" w:fill="FFFFFF"/>
              </w:rPr>
              <w:t xml:space="preserve"> pilnveido mā</w:t>
            </w:r>
            <w:r>
              <w:rPr>
                <w:color w:val="auto"/>
                <w:szCs w:val="28"/>
                <w:shd w:val="clear" w:color="auto" w:fill="FFFFFF"/>
              </w:rPr>
              <w:t>cību snieguma vērtēšanu pamat</w:t>
            </w:r>
            <w:r w:rsidRPr="00494A32">
              <w:rPr>
                <w:color w:val="auto"/>
                <w:szCs w:val="28"/>
                <w:shd w:val="clear" w:color="auto" w:fill="FFFFFF"/>
              </w:rPr>
              <w:t xml:space="preserve">izglītības pakāpē, tai skaitā mācību sasniegumu vērtēšanu 10 ballu skalā, nosakot 10 ballu vērtējuma skalas snieguma līmeņu atbilstību aprakstus un apguves procentus. Atbilstoši pilnveidotā izglītības satura mērķim – attīstīt skolēna  prasmi kompleksi lietot zināšanas un paust attieksmes, risinot problēmas mainīgās reālās dzīves situācijās, tiek pilnveidoti skolēna snieguma vērtēšanas kritēriji </w:t>
            </w:r>
            <w:r w:rsidRPr="00494A32">
              <w:rPr>
                <w:color w:val="auto"/>
                <w:szCs w:val="28"/>
                <w:shd w:val="clear" w:color="auto" w:fill="FFFFFF"/>
              </w:rPr>
              <w:lastRenderedPageBreak/>
              <w:t>- izziņas darbības līmenis, atbalsta nepieciešamība, lietošana tipveidā vai nepazīstamā situācijā.</w:t>
            </w:r>
            <w:r w:rsidR="000C3230">
              <w:rPr>
                <w:color w:val="auto"/>
                <w:szCs w:val="28"/>
                <w:shd w:val="clear" w:color="auto" w:fill="FFFFFF"/>
              </w:rPr>
              <w:t xml:space="preserve"> Atbilstoši Noteikumos Nr.476 apstiprinātajai 10 ballu skalai</w:t>
            </w:r>
            <w:r w:rsidRPr="00494A32">
              <w:rPr>
                <w:color w:val="auto"/>
                <w:szCs w:val="28"/>
                <w:shd w:val="clear" w:color="auto" w:fill="FFFFFF"/>
              </w:rPr>
              <w:t xml:space="preserve"> ir iespējams noteikt </w:t>
            </w:r>
            <w:r w:rsidR="000C3230">
              <w:rPr>
                <w:color w:val="auto"/>
                <w:szCs w:val="28"/>
                <w:shd w:val="clear" w:color="auto" w:fill="FFFFFF"/>
              </w:rPr>
              <w:t>4. – 9. klašu skolēnu</w:t>
            </w:r>
            <w:bookmarkStart w:id="0" w:name="_GoBack"/>
            <w:bookmarkEnd w:id="0"/>
            <w:r w:rsidRPr="00494A32">
              <w:rPr>
                <w:color w:val="auto"/>
                <w:szCs w:val="28"/>
                <w:shd w:val="clear" w:color="auto" w:fill="FFFFFF"/>
              </w:rPr>
              <w:t xml:space="preserve"> sniegumu detalizētāk.  Lai varētu konsekventi izšķirties par konkrētu balli, piemēram, septiņi vai astoņi, lielāko balli  piešķir situācijās, kurās skolēns demonstrē sniegumu, kas atbilst visiem kritērijiem un mazāku balli, ja neatbilst vismaz vienam kritērijam.  </w:t>
            </w:r>
            <w:r w:rsidRPr="00494A32">
              <w:rPr>
                <w:color w:val="auto"/>
                <w:szCs w:val="28"/>
              </w:rPr>
              <w:br/>
            </w:r>
            <w:r w:rsidRPr="00494A32">
              <w:rPr>
                <w:color w:val="auto"/>
                <w:szCs w:val="28"/>
                <w:shd w:val="clear" w:color="auto" w:fill="FFFFFF"/>
              </w:rPr>
              <w:t>Īstenojot summatīvās vērtēšanas sistēmas pilnveidi, vērtējums atspoguļo tikai skolēna zināšanu un prasmju sniegumu. Vienlaikus izglītības iestādei tiek saglabātas tiesības izstrādāt kārtību, kā tā vērtē skolēnu ieradumus un attieksmes, piemēram, centīgumu mācību procesā vai spēju sniegt atbalstu citiem skolēniem mācību procesā. Kā viens no risinājumiem šādas attieksmes vērtēšanai ir iespēja novērot skolēnu demonstrētos ieradumus ilgtermiņā un iekļaujot par to informāciju, piemēram, skolas obligātajā dokumentācijā (piemēram, liecībā).</w:t>
            </w:r>
          </w:p>
          <w:p w:rsidR="003E22F4" w:rsidRDefault="003E22F4">
            <w:pPr>
              <w:jc w:val="left"/>
            </w:pPr>
          </w:p>
        </w:tc>
      </w:tr>
    </w:tbl>
    <w:p w:rsidR="00AB4314" w:rsidRDefault="00AB4314"/>
    <w:sectPr w:rsidR="00AB4314">
      <w:headerReference w:type="default" r:id="rId6"/>
      <w:footerReference w:type="default" r:id="rId7"/>
      <w:headerReference w:type="first" r:id="rId8"/>
      <w:footerReference w:type="first" r:id="rId9"/>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4314" w:rsidRDefault="00AB4314">
      <w:r>
        <w:separator/>
      </w:r>
    </w:p>
  </w:endnote>
  <w:endnote w:type="continuationSeparator" w:id="0">
    <w:p w:rsidR="00AB4314" w:rsidRDefault="00AB4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2F4" w:rsidRDefault="00AB4314">
    <w:pPr>
      <w:jc w:val="right"/>
    </w:pPr>
    <w:r>
      <w:rPr>
        <w:sz w:val="24"/>
        <w:szCs w:val="24"/>
      </w:rPr>
      <w:fldChar w:fldCharType="begin"/>
    </w:r>
    <w:r>
      <w:rPr>
        <w:sz w:val="24"/>
        <w:szCs w:val="24"/>
      </w:rPr>
      <w:instrText>PAGE</w:instrText>
    </w:r>
    <w:r w:rsidR="009F712D">
      <w:rPr>
        <w:sz w:val="24"/>
        <w:szCs w:val="24"/>
      </w:rPr>
      <w:fldChar w:fldCharType="separate"/>
    </w:r>
    <w:r w:rsidR="009A2606">
      <w:rPr>
        <w:noProof/>
        <w:sz w:val="24"/>
        <w:szCs w:val="24"/>
      </w:rPr>
      <w:t>2</w:t>
    </w:r>
    <w:r>
      <w:rPr>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AB4314">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4314" w:rsidRDefault="00AB4314">
      <w:r>
        <w:separator/>
      </w:r>
    </w:p>
  </w:footnote>
  <w:footnote w:type="continuationSeparator" w:id="0">
    <w:p w:rsidR="00AB4314" w:rsidRDefault="00AB43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2F4" w:rsidRDefault="00AB4314">
    <w:pPr>
      <w:pStyle w:val="Header"/>
      <w:contextualSpacing w:val="0"/>
    </w:pPr>
    <w:r>
      <w:t>Viedokļu pārskats 24-TA-283</w:t>
    </w:r>
    <w:r>
      <w:br/>
    </w:r>
    <w:r>
      <w:t>Izdrukāts 22.02.2024. 12.02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2F4" w:rsidRDefault="00AB4314">
    <w:pPr>
      <w:pStyle w:val="Header"/>
      <w:contextualSpacing w:val="0"/>
    </w:pPr>
    <w:r>
      <w:t>Viedokļu pārskats 24-TA-283</w:t>
    </w:r>
    <w:r>
      <w:br/>
    </w:r>
    <w:r>
      <w:t>Izdrukāts 22.02.2024. 12.02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2F4"/>
    <w:rsid w:val="000C3230"/>
    <w:rsid w:val="003E22F4"/>
    <w:rsid w:val="004839B5"/>
    <w:rsid w:val="00494A32"/>
    <w:rsid w:val="00515AF2"/>
    <w:rsid w:val="00587BCB"/>
    <w:rsid w:val="005966A2"/>
    <w:rsid w:val="009158C2"/>
    <w:rsid w:val="009A2606"/>
    <w:rsid w:val="009F712D"/>
    <w:rsid w:val="00AB4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4331CD-FD81-44DD-A85A-07088A237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after="120"/>
      <w:contextualSpacing/>
      <w:outlineLvl w:val="0"/>
    </w:pPr>
    <w:rPr>
      <w:rFonts w:ascii="Palatino" w:eastAsia="Palatino" w:hAnsi="Palatino" w:cs="Palatino"/>
      <w:sz w:val="36"/>
    </w:rPr>
  </w:style>
  <w:style w:type="paragraph" w:styleId="Heading2">
    <w:name w:val="heading 2"/>
    <w:basedOn w:val="Normal"/>
    <w:next w:val="Normal"/>
    <w:pPr>
      <w:spacing w:before="120" w:after="160"/>
      <w:contextualSpacing/>
      <w:outlineLvl w:val="1"/>
    </w:pPr>
    <w:rPr>
      <w:rFonts w:ascii="Arial" w:eastAsia="Arial" w:hAnsi="Arial" w:cs="Arial"/>
      <w:b/>
      <w:sz w:val="26"/>
    </w:rPr>
  </w:style>
  <w:style w:type="paragraph" w:styleId="Heading3">
    <w:name w:val="heading 3"/>
    <w:basedOn w:val="Normal"/>
    <w:next w:val="Normal"/>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pPr>
      <w:spacing w:before="120" w:after="120"/>
      <w:contextualSpacing/>
      <w:outlineLvl w:val="3"/>
    </w:pPr>
    <w:rPr>
      <w:rFonts w:ascii="Palatino" w:eastAsia="Palatino" w:hAnsi="Palatino" w:cs="Palatino"/>
      <w:b/>
      <w:sz w:val="24"/>
    </w:rPr>
  </w:style>
  <w:style w:type="paragraph" w:styleId="Heading5">
    <w:name w:val="heading 5"/>
    <w:basedOn w:val="Normal"/>
    <w:next w:val="Normal"/>
    <w:pPr>
      <w:spacing w:before="120" w:after="120"/>
      <w:contextualSpacing/>
      <w:outlineLvl w:val="4"/>
    </w:pPr>
    <w:rPr>
      <w:rFonts w:ascii="Arial" w:eastAsia="Arial" w:hAnsi="Arial" w:cs="Arial"/>
      <w:b/>
      <w:sz w:val="22"/>
    </w:rPr>
  </w:style>
  <w:style w:type="paragraph" w:styleId="Heading6">
    <w:name w:val="heading 6"/>
    <w:basedOn w:val="Normal"/>
    <w:next w:val="Normal"/>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Palatino" w:eastAsia="Palatino" w:hAnsi="Palatino" w:cs="Palatino"/>
      <w:sz w:val="60"/>
    </w:rPr>
  </w:style>
  <w:style w:type="paragraph" w:styleId="Subtitle">
    <w:name w:val="Subtitle"/>
    <w:basedOn w:val="Normal"/>
    <w:next w:val="Normal"/>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6673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2068</Words>
  <Characters>11790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viedoklu_parskats_24-TA-283.docx</vt:lpstr>
    </vt:vector>
  </TitlesOfParts>
  <Company/>
  <LinksUpToDate>false</LinksUpToDate>
  <CharactersWithSpaces>13831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viedoklu_parskats_24-TA-283.docx</dc:title>
  <dc:creator>Normunds Rečs</dc:creator>
  <cp:lastModifiedBy>Normunds Rečs</cp:lastModifiedBy>
  <cp:revision>2</cp:revision>
  <dcterms:created xsi:type="dcterms:W3CDTF">2024-02-22T14:25:00Z</dcterms:created>
  <dcterms:modified xsi:type="dcterms:W3CDTF">2024-02-22T14:25:00Z</dcterms:modified>
</cp:coreProperties>
</file>