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A850E" w14:textId="41F6F0F3" w:rsidR="007B53CA" w:rsidRPr="007B53CA" w:rsidRDefault="007B53CA" w:rsidP="007B53CA">
      <w:pPr>
        <w:rPr>
          <w:rFonts w:ascii="Times New Roman" w:eastAsia="Times New Roman" w:hAnsi="Times New Roman" w:cs="Times New Roman"/>
          <w:lang w:val="en-LV" w:eastAsia="en-GB"/>
        </w:rPr>
      </w:pPr>
      <w:r w:rsidRPr="007B53CA">
        <w:rPr>
          <w:rFonts w:ascii="Calibri" w:eastAsia="Times New Roman" w:hAnsi="Calibri" w:cs="Calibri"/>
          <w:b/>
          <w:bCs/>
          <w:color w:val="000000"/>
          <w:sz w:val="22"/>
          <w:szCs w:val="22"/>
          <w:lang w:val="en-LV" w:eastAsia="en-GB"/>
        </w:rPr>
        <w:t>No:</w:t>
      </w:r>
      <w:r w:rsidRPr="007B53CA">
        <w:rPr>
          <w:rFonts w:ascii="Calibri" w:eastAsia="Times New Roman" w:hAnsi="Calibri" w:cs="Calibri"/>
          <w:color w:val="000000"/>
          <w:sz w:val="22"/>
          <w:szCs w:val="22"/>
          <w:lang w:val="en-LV" w:eastAsia="en-GB"/>
        </w:rPr>
        <w:t> Ilze Māliņa &lt;Ilze.Malina@TM.GOV.LV&gt;</w:t>
      </w:r>
      <w:r w:rsidRPr="007B53CA">
        <w:rPr>
          <w:rFonts w:ascii="Calibri" w:eastAsia="Times New Roman" w:hAnsi="Calibri" w:cs="Calibri"/>
          <w:color w:val="000000"/>
          <w:sz w:val="22"/>
          <w:szCs w:val="22"/>
          <w:lang w:val="en-LV" w:eastAsia="en-GB"/>
        </w:rPr>
        <w:br/>
      </w:r>
      <w:r w:rsidRPr="007B53CA">
        <w:rPr>
          <w:rFonts w:ascii="Calibri" w:eastAsia="Times New Roman" w:hAnsi="Calibri" w:cs="Calibri"/>
          <w:b/>
          <w:bCs/>
          <w:color w:val="000000"/>
          <w:sz w:val="22"/>
          <w:szCs w:val="22"/>
          <w:lang w:val="en-LV" w:eastAsia="en-GB"/>
        </w:rPr>
        <w:t>Nosūtīts:</w:t>
      </w:r>
      <w:r w:rsidRPr="007B53CA">
        <w:rPr>
          <w:rFonts w:ascii="Calibri" w:eastAsia="Times New Roman" w:hAnsi="Calibri" w:cs="Calibri"/>
          <w:color w:val="000000"/>
          <w:sz w:val="22"/>
          <w:szCs w:val="22"/>
          <w:lang w:val="en-LV" w:eastAsia="en-GB"/>
        </w:rPr>
        <w:t> ceturtdiena, 2022. gada 8. septembris 17:22</w:t>
      </w:r>
      <w:r w:rsidRPr="007B53CA">
        <w:rPr>
          <w:rFonts w:ascii="Calibri" w:eastAsia="Times New Roman" w:hAnsi="Calibri" w:cs="Calibri"/>
          <w:color w:val="000000"/>
          <w:sz w:val="22"/>
          <w:szCs w:val="22"/>
          <w:lang w:val="en-LV" w:eastAsia="en-GB"/>
        </w:rPr>
        <w:br/>
      </w:r>
      <w:r w:rsidRPr="007B53CA">
        <w:rPr>
          <w:rFonts w:ascii="Calibri" w:eastAsia="Times New Roman" w:hAnsi="Calibri" w:cs="Calibri"/>
          <w:b/>
          <w:bCs/>
          <w:color w:val="000000"/>
          <w:sz w:val="22"/>
          <w:szCs w:val="22"/>
          <w:lang w:val="en-LV" w:eastAsia="en-GB"/>
        </w:rPr>
        <w:t>Kam:</w:t>
      </w:r>
      <w:r w:rsidRPr="007B53CA">
        <w:rPr>
          <w:rFonts w:ascii="Calibri" w:eastAsia="Times New Roman" w:hAnsi="Calibri" w:cs="Calibri"/>
          <w:color w:val="000000"/>
          <w:sz w:val="22"/>
          <w:szCs w:val="22"/>
          <w:lang w:val="en-LV" w:eastAsia="en-GB"/>
        </w:rPr>
        <w:t> Inese Albova &lt;inese.albova@fm.gov.lv&gt;</w:t>
      </w:r>
      <w:r w:rsidRPr="007B53CA">
        <w:rPr>
          <w:rFonts w:ascii="Calibri" w:eastAsia="Times New Roman" w:hAnsi="Calibri" w:cs="Calibri"/>
          <w:color w:val="000000"/>
          <w:sz w:val="22"/>
          <w:szCs w:val="22"/>
          <w:lang w:val="en-LV" w:eastAsia="en-GB"/>
        </w:rPr>
        <w:br/>
      </w:r>
      <w:r w:rsidRPr="007B53CA">
        <w:rPr>
          <w:rFonts w:ascii="Calibri" w:eastAsia="Times New Roman" w:hAnsi="Calibri" w:cs="Calibri"/>
          <w:b/>
          <w:bCs/>
          <w:color w:val="000000"/>
          <w:sz w:val="22"/>
          <w:szCs w:val="22"/>
          <w:lang w:val="en-LV" w:eastAsia="en-GB"/>
        </w:rPr>
        <w:t>Kopija:</w:t>
      </w:r>
      <w:r w:rsidRPr="007B53CA">
        <w:rPr>
          <w:rFonts w:ascii="Calibri" w:eastAsia="Times New Roman" w:hAnsi="Calibri" w:cs="Calibri"/>
          <w:color w:val="000000"/>
          <w:sz w:val="22"/>
          <w:szCs w:val="22"/>
          <w:lang w:val="en-LV" w:eastAsia="en-GB"/>
        </w:rPr>
        <w:t> Sandra Vīgante &lt;Sandra.Vigante@TM.GOV.LV&gt;; Liene Ozola &lt;Liene.Ozola@tm.gov.lv&gt;; Santa Skutele &lt;Santa.Skutele@tm.gov.lv&gt;</w:t>
      </w:r>
      <w:r w:rsidRPr="007B53CA">
        <w:rPr>
          <w:rFonts w:ascii="Calibri" w:eastAsia="Times New Roman" w:hAnsi="Calibri" w:cs="Calibri"/>
          <w:color w:val="000000"/>
          <w:sz w:val="22"/>
          <w:szCs w:val="22"/>
          <w:lang w:val="en-LV" w:eastAsia="en-GB"/>
        </w:rPr>
        <w:br/>
      </w:r>
      <w:r w:rsidRPr="007B53CA">
        <w:rPr>
          <w:rFonts w:ascii="Calibri" w:eastAsia="Times New Roman" w:hAnsi="Calibri" w:cs="Calibri"/>
          <w:b/>
          <w:bCs/>
          <w:color w:val="000000"/>
          <w:sz w:val="22"/>
          <w:szCs w:val="22"/>
          <w:lang w:val="en-LV" w:eastAsia="en-GB"/>
        </w:rPr>
        <w:t>Tēma:</w:t>
      </w:r>
      <w:r w:rsidRPr="007B53CA">
        <w:rPr>
          <w:rFonts w:ascii="Calibri" w:eastAsia="Times New Roman" w:hAnsi="Calibri" w:cs="Calibri"/>
          <w:color w:val="000000"/>
          <w:sz w:val="22"/>
          <w:szCs w:val="22"/>
          <w:lang w:val="en-LV" w:eastAsia="en-GB"/>
        </w:rPr>
        <w:t> Atb.: Par likumprojekta "Grozījumi Sauszemes transportlīdzekļu īpašnieku civiltiesiskās atbildības obligātās apdrošināšanas likumā" (VSS-617) elektronisku saskaņošanu</w:t>
      </w:r>
    </w:p>
    <w:p w14:paraId="3E8F7095" w14:textId="77777777" w:rsidR="007B53CA" w:rsidRPr="007B53CA" w:rsidRDefault="007B53CA" w:rsidP="007B53CA">
      <w:pPr>
        <w:textAlignment w:val="baseline"/>
        <w:rPr>
          <w:rFonts w:ascii="Segoe UI" w:eastAsia="Times New Roman" w:hAnsi="Segoe UI" w:cs="Segoe UI"/>
          <w:color w:val="000000"/>
          <w:sz w:val="21"/>
          <w:szCs w:val="21"/>
          <w:lang w:val="en-LV" w:eastAsia="en-GB"/>
        </w:rPr>
      </w:pPr>
      <w:r w:rsidRPr="007B53CA">
        <w:rPr>
          <w:rFonts w:ascii="Segoe UI" w:eastAsia="Times New Roman" w:hAnsi="Segoe UI" w:cs="Segoe UI"/>
          <w:color w:val="000000"/>
          <w:sz w:val="21"/>
          <w:szCs w:val="21"/>
          <w:lang w:val="en-LV" w:eastAsia="en-GB"/>
        </w:rPr>
        <w:t> </w:t>
      </w:r>
    </w:p>
    <w:p w14:paraId="1FDEDFC5" w14:textId="77777777" w:rsidR="007B53CA" w:rsidRPr="007B53CA" w:rsidRDefault="007B53CA" w:rsidP="007B53CA">
      <w:pPr>
        <w:ind w:firstLine="720"/>
        <w:jc w:val="both"/>
        <w:textAlignment w:val="baseline"/>
        <w:rPr>
          <w:rFonts w:ascii="Calibri" w:eastAsia="Times New Roman" w:hAnsi="Calibri" w:cs="Calibri"/>
          <w:color w:val="000000"/>
          <w:sz w:val="22"/>
          <w:szCs w:val="22"/>
          <w:lang w:eastAsia="en-GB"/>
        </w:rPr>
      </w:pPr>
      <w:r w:rsidRPr="007B53CA">
        <w:rPr>
          <w:rFonts w:ascii="Calibri" w:eastAsia="Times New Roman" w:hAnsi="Calibri" w:cs="Calibri"/>
          <w:color w:val="000000"/>
          <w:sz w:val="22"/>
          <w:szCs w:val="22"/>
          <w:lang w:eastAsia="en-GB"/>
        </w:rPr>
        <w:t>Tieslietu ministrija saskaņā ar Finanšu ministrijas 2022. gada 29. augusta elektronisko sūtījumu ir izskatījusi precizēto likumprojektu "Grozījumi Sauszemes transportlīdzekļu īpašnieku civiltiesiskās atbildības obligātās apdrošināšanas likumā" (turpmāk – projekts) un atbalsta projekta virzību, izsakot šādus iebildumus:</w:t>
      </w:r>
    </w:p>
    <w:p w14:paraId="443B41A9" w14:textId="77777777" w:rsidR="007B53CA" w:rsidRPr="007B53CA" w:rsidRDefault="007B53CA" w:rsidP="007B53CA">
      <w:pPr>
        <w:ind w:firstLine="720"/>
        <w:jc w:val="both"/>
        <w:textAlignment w:val="baseline"/>
        <w:rPr>
          <w:rFonts w:ascii="Calibri" w:eastAsia="Times New Roman" w:hAnsi="Calibri" w:cs="Calibri"/>
          <w:color w:val="000000"/>
          <w:sz w:val="22"/>
          <w:szCs w:val="22"/>
          <w:lang w:eastAsia="en-GB"/>
        </w:rPr>
      </w:pPr>
      <w:r w:rsidRPr="007B53CA">
        <w:rPr>
          <w:rFonts w:ascii="Calibri" w:eastAsia="Times New Roman" w:hAnsi="Calibri" w:cs="Calibri"/>
          <w:color w:val="000000"/>
          <w:sz w:val="22"/>
          <w:szCs w:val="22"/>
          <w:lang w:eastAsia="en-GB"/>
        </w:rPr>
        <w:t>1. Projekta 8. pantā paredzētais Sauszemes transportlīdzekļu īpašnieku civiltiesiskās atbildības obligātās apdrošināšanas likuma (turpmāk – likums) 44. panta otrās daļas 6. un 7. punkts noteic, ka Transportlīdzekļu apdrošinātāju birojam tiek deleģēts valsts pārvaldes uzdevums – izdot administratīvos aktus tehnisko ekspertu sertificēšanas jomā un administratīvos aktus par </w:t>
      </w:r>
      <w:r w:rsidRPr="007B53CA">
        <w:rPr>
          <w:rFonts w:ascii="Calibri" w:eastAsia="Times New Roman" w:hAnsi="Calibri" w:cs="Calibri"/>
          <w:color w:val="000000"/>
          <w:sz w:val="22"/>
          <w:szCs w:val="22"/>
          <w:bdr w:val="none" w:sz="0" w:space="0" w:color="auto" w:frame="1"/>
          <w:lang w:eastAsia="en-GB"/>
        </w:rPr>
        <w:t>Transportlīdzekļu apdrošinātāju biroja biedru uzņemšanu vai izslēgšanu.</w:t>
      </w:r>
    </w:p>
    <w:p w14:paraId="3052D9F8" w14:textId="77777777" w:rsidR="007B53CA" w:rsidRPr="007B53CA" w:rsidRDefault="007B53CA" w:rsidP="007B53CA">
      <w:pPr>
        <w:ind w:firstLine="553"/>
        <w:textAlignment w:val="baseline"/>
        <w:rPr>
          <w:rFonts w:ascii="Calibri" w:eastAsia="Times New Roman" w:hAnsi="Calibri" w:cs="Calibri"/>
          <w:color w:val="000000"/>
          <w:sz w:val="22"/>
          <w:szCs w:val="22"/>
          <w:lang w:eastAsia="en-GB"/>
        </w:rPr>
      </w:pPr>
      <w:r w:rsidRPr="007B53CA">
        <w:rPr>
          <w:rFonts w:ascii="Calibri" w:eastAsia="Times New Roman" w:hAnsi="Calibri" w:cs="Calibri"/>
          <w:color w:val="000000"/>
          <w:sz w:val="22"/>
          <w:szCs w:val="22"/>
          <w:bdr w:val="none" w:sz="0" w:space="0" w:color="auto" w:frame="1"/>
          <w:lang w:eastAsia="en-GB"/>
        </w:rPr>
        <w:t>Savukārt p</w:t>
      </w:r>
      <w:r w:rsidRPr="007B53CA">
        <w:rPr>
          <w:rFonts w:ascii="Calibri" w:eastAsia="Times New Roman" w:hAnsi="Calibri" w:cs="Calibri"/>
          <w:color w:val="000000"/>
          <w:sz w:val="22"/>
          <w:szCs w:val="22"/>
          <w:lang w:eastAsia="en-GB"/>
        </w:rPr>
        <w:t>rojekta 8. pantā paredzētajā likuma 44. panta 2.</w:t>
      </w:r>
      <w:r w:rsidRPr="007B53CA">
        <w:rPr>
          <w:rFonts w:ascii="Calibri" w:eastAsia="Times New Roman" w:hAnsi="Calibri" w:cs="Calibri"/>
          <w:color w:val="000000"/>
          <w:sz w:val="22"/>
          <w:szCs w:val="22"/>
          <w:vertAlign w:val="superscript"/>
          <w:lang w:eastAsia="en-GB"/>
        </w:rPr>
        <w:t>1</w:t>
      </w:r>
      <w:r w:rsidRPr="007B53CA">
        <w:rPr>
          <w:rFonts w:ascii="Calibri" w:eastAsia="Times New Roman" w:hAnsi="Calibri" w:cs="Calibri"/>
          <w:color w:val="000000"/>
          <w:sz w:val="22"/>
          <w:szCs w:val="22"/>
          <w:lang w:eastAsia="en-GB"/>
        </w:rPr>
        <w:t> un 2.</w:t>
      </w:r>
      <w:r w:rsidRPr="007B53CA">
        <w:rPr>
          <w:rFonts w:ascii="Calibri" w:eastAsia="Times New Roman" w:hAnsi="Calibri" w:cs="Calibri"/>
          <w:color w:val="000000"/>
          <w:sz w:val="22"/>
          <w:szCs w:val="22"/>
          <w:vertAlign w:val="superscript"/>
          <w:lang w:eastAsia="en-GB"/>
        </w:rPr>
        <w:t>2</w:t>
      </w:r>
      <w:r w:rsidRPr="007B53CA">
        <w:rPr>
          <w:rFonts w:ascii="Calibri" w:eastAsia="Times New Roman" w:hAnsi="Calibri" w:cs="Calibri"/>
          <w:color w:val="000000"/>
          <w:sz w:val="22"/>
          <w:szCs w:val="22"/>
          <w:lang w:eastAsia="en-GB"/>
        </w:rPr>
        <w:t> daļā ir noteikta atšķirīga iepriekš minēto administratīvo aktu apstrīdēšanas kārtība, bet nav skaidrs, kādēļ visus iepriekš minētos administratīvos aktus nevar apstrīdēt Finanšu ministrijā.</w:t>
      </w:r>
    </w:p>
    <w:p w14:paraId="7580D64F" w14:textId="77777777" w:rsidR="007B53CA" w:rsidRPr="007B53CA" w:rsidRDefault="007B53CA" w:rsidP="007B53CA">
      <w:pPr>
        <w:ind w:firstLine="553"/>
        <w:textAlignment w:val="baseline"/>
        <w:rPr>
          <w:rFonts w:ascii="Calibri" w:eastAsia="Times New Roman" w:hAnsi="Calibri" w:cs="Calibri"/>
          <w:color w:val="000000"/>
          <w:sz w:val="22"/>
          <w:szCs w:val="22"/>
          <w:lang w:eastAsia="en-GB"/>
        </w:rPr>
      </w:pPr>
      <w:r w:rsidRPr="007B53CA">
        <w:rPr>
          <w:rFonts w:ascii="Calibri" w:eastAsia="Times New Roman" w:hAnsi="Calibri" w:cs="Calibri"/>
          <w:color w:val="000000"/>
          <w:sz w:val="22"/>
          <w:szCs w:val="22"/>
          <w:lang w:eastAsia="en-GB"/>
        </w:rPr>
        <w:t>Ievērojot minēto, lūdzam precizēt </w:t>
      </w:r>
      <w:r w:rsidRPr="007B53CA">
        <w:rPr>
          <w:rFonts w:ascii="Calibri" w:eastAsia="Times New Roman" w:hAnsi="Calibri" w:cs="Calibri"/>
          <w:color w:val="000000"/>
          <w:sz w:val="22"/>
          <w:szCs w:val="22"/>
          <w:bdr w:val="none" w:sz="0" w:space="0" w:color="auto" w:frame="1"/>
          <w:lang w:eastAsia="en-GB"/>
        </w:rPr>
        <w:t>p</w:t>
      </w:r>
      <w:r w:rsidRPr="007B53CA">
        <w:rPr>
          <w:rFonts w:ascii="Calibri" w:eastAsia="Times New Roman" w:hAnsi="Calibri" w:cs="Calibri"/>
          <w:color w:val="000000"/>
          <w:sz w:val="22"/>
          <w:szCs w:val="22"/>
          <w:lang w:eastAsia="en-GB"/>
        </w:rPr>
        <w:t>rojekta 8. pantā paredzētajā likuma 44. panta 2</w:t>
      </w:r>
      <w:r w:rsidRPr="007B53CA">
        <w:rPr>
          <w:rFonts w:ascii="Calibri" w:eastAsia="Times New Roman" w:hAnsi="Calibri" w:cs="Calibri"/>
          <w:color w:val="000000"/>
          <w:sz w:val="22"/>
          <w:szCs w:val="22"/>
          <w:vertAlign w:val="superscript"/>
          <w:lang w:eastAsia="en-GB"/>
        </w:rPr>
        <w:t>1</w:t>
      </w:r>
      <w:r w:rsidRPr="007B53CA">
        <w:rPr>
          <w:rFonts w:ascii="Calibri" w:eastAsia="Times New Roman" w:hAnsi="Calibri" w:cs="Calibri"/>
          <w:color w:val="000000"/>
          <w:sz w:val="22"/>
          <w:szCs w:val="22"/>
          <w:lang w:eastAsia="en-GB"/>
        </w:rPr>
        <w:t> daļā ietverto regulējumu vai papildināt projekta sākotnējās </w:t>
      </w:r>
      <w:r w:rsidRPr="007B53CA">
        <w:rPr>
          <w:rFonts w:ascii="Calibri" w:eastAsia="Times New Roman" w:hAnsi="Calibri" w:cs="Calibri"/>
          <w:i/>
          <w:iCs/>
          <w:color w:val="000000"/>
          <w:sz w:val="22"/>
          <w:szCs w:val="22"/>
          <w:lang w:eastAsia="en-GB"/>
        </w:rPr>
        <w:t>(</w:t>
      </w:r>
      <w:proofErr w:type="spellStart"/>
      <w:r w:rsidRPr="007B53CA">
        <w:rPr>
          <w:rFonts w:ascii="Calibri" w:eastAsia="Times New Roman" w:hAnsi="Calibri" w:cs="Calibri"/>
          <w:i/>
          <w:iCs/>
          <w:color w:val="000000"/>
          <w:sz w:val="22"/>
          <w:szCs w:val="22"/>
          <w:lang w:eastAsia="en-GB"/>
        </w:rPr>
        <w:t>ex-ante</w:t>
      </w:r>
      <w:proofErr w:type="spellEnd"/>
      <w:r w:rsidRPr="007B53CA">
        <w:rPr>
          <w:rFonts w:ascii="Calibri" w:eastAsia="Times New Roman" w:hAnsi="Calibri" w:cs="Calibri"/>
          <w:i/>
          <w:iCs/>
          <w:color w:val="000000"/>
          <w:sz w:val="22"/>
          <w:szCs w:val="22"/>
          <w:lang w:eastAsia="en-GB"/>
        </w:rPr>
        <w:t>)</w:t>
      </w:r>
      <w:r w:rsidRPr="007B53CA">
        <w:rPr>
          <w:rFonts w:ascii="Calibri" w:eastAsia="Times New Roman" w:hAnsi="Calibri" w:cs="Calibri"/>
          <w:color w:val="000000"/>
          <w:sz w:val="22"/>
          <w:szCs w:val="22"/>
          <w:lang w:eastAsia="en-GB"/>
        </w:rPr>
        <w:t> ietekmes novērtējuma ziņojuma (turpmāk – anotācija) I sadaļas 2. punkta 8. apakšpunktu ar izvērstu skaidrojumu.</w:t>
      </w:r>
    </w:p>
    <w:p w14:paraId="6AAA7F05" w14:textId="77777777" w:rsidR="007B53CA" w:rsidRPr="007B53CA" w:rsidRDefault="007B53CA" w:rsidP="007B53CA">
      <w:pPr>
        <w:ind w:firstLine="553"/>
        <w:textAlignment w:val="baseline"/>
        <w:rPr>
          <w:rFonts w:ascii="Calibri" w:eastAsia="Times New Roman" w:hAnsi="Calibri" w:cs="Calibri"/>
          <w:color w:val="000000"/>
          <w:sz w:val="22"/>
          <w:szCs w:val="22"/>
          <w:lang w:eastAsia="en-GB"/>
        </w:rPr>
      </w:pPr>
      <w:r w:rsidRPr="007B53CA">
        <w:rPr>
          <w:rFonts w:ascii="Calibri" w:eastAsia="Times New Roman" w:hAnsi="Calibri" w:cs="Calibri"/>
          <w:color w:val="000000"/>
          <w:sz w:val="22"/>
          <w:szCs w:val="22"/>
          <w:lang w:eastAsia="en-GB"/>
        </w:rPr>
        <w:t>2. Izziņas pat atzinumos sniegtajiem iebildumiem II sadaļas 26. punktā pie iebilduma par sodāmības datu dzēšanu norādīts, ka minētais iebildums ir ņemts vērā, attiecīgi ir tikusi precizēta anotācija. Iepazīstoties ar projektu un anotāciju, konstatēts, ka anotācijā par sodāmības datu glabāšanu paskaidrojošais teksts, proti, "dati par personas sodāmību tiks uzglabāti līdz brīdim, kad attiecīgā persona izbeidz pildīt valdes locekļa pienākumus", ir tāds pats kā iebilduma izteikšanas brīdī, līdz ar to secināms, ka iebildums pēc būtības nav ņemts vērā. Ņemot vērā minēto, atkārtoti norādām, ka n</w:t>
      </w:r>
      <w:r w:rsidRPr="007B53CA">
        <w:rPr>
          <w:rFonts w:ascii="Calibri" w:eastAsia="Times New Roman" w:hAnsi="Calibri" w:cs="Calibri"/>
          <w:color w:val="000000"/>
          <w:sz w:val="22"/>
          <w:szCs w:val="22"/>
          <w:bdr w:val="none" w:sz="0" w:space="0" w:color="auto" w:frame="1"/>
          <w:lang w:eastAsia="en-GB"/>
        </w:rPr>
        <w:t>o minētā skaidrojuma nav saprotama datu dzēšanas kārtība, proti, tieši kurā brīdī tiks dzēsti dati par sodāmību (piemēram, dati par personas sodāmību tiks uzglabāti līdz brīdim, kad attiecīgā persona izbeidz pildīt valdes locekļa pienākumus, bet ne ilgāk kā 7 dienu laikā pēc attiecīgās personas valdes locekļa amata pienākumu pārtraukšanas). Vienlaikus lūdzam skaidrot, kādi tieši sodāmības dati tiks glabāti par attiecīgo personu, ja, vadoties no projekta 11. pantā paredzētā likuma grozījumu regulējuma </w:t>
      </w:r>
      <w:bookmarkStart w:id="0" w:name="x__Hlk113364390"/>
      <w:r w:rsidRPr="007B53CA">
        <w:rPr>
          <w:rFonts w:ascii="Calibri" w:eastAsia="Times New Roman" w:hAnsi="Calibri" w:cs="Calibri"/>
          <w:color w:val="000000"/>
          <w:sz w:val="22"/>
          <w:szCs w:val="22"/>
          <w:bdr w:val="none" w:sz="0" w:space="0" w:color="auto" w:frame="1"/>
          <w:lang w:eastAsia="en-GB"/>
        </w:rPr>
        <w:t>Transportlīdzekļu apdrošinātāju biroja valdes loceklis </w:t>
      </w:r>
      <w:bookmarkEnd w:id="0"/>
      <w:r w:rsidRPr="007B53CA">
        <w:rPr>
          <w:rFonts w:ascii="Calibri" w:eastAsia="Times New Roman" w:hAnsi="Calibri" w:cs="Calibri"/>
          <w:color w:val="000000"/>
          <w:sz w:val="22"/>
          <w:szCs w:val="22"/>
          <w:bdr w:val="none" w:sz="0" w:space="0" w:color="auto" w:frame="1"/>
          <w:lang w:eastAsia="en-GB"/>
        </w:rPr>
        <w:t>nevar būt persona, ja tā ir sodīta "par tīša nozieguma izdarīšanu pret valsti, īpašumu vai pārvaldības kārtību vai par tīša nozieguma izdarīšanu tautsaimniecībā vai valsts institūciju dienestā, vai par tāda nozieguma izdarīšanu, kas saistīts ar terorismu, un sodāmība par to nav noņemta vai dzēsta", savukārt anotācijā norādīts, ka no Sodu reģistra tiks iegūti tikai tādi dati, lai pārliecinātos, vai persona nav sodīta par projektā minētajiem noziedzīgajiem nodarījumiem. No minētā saprotams, ka par noteikto personu, ja tā pretendē uz </w:t>
      </w:r>
      <w:bookmarkStart w:id="1" w:name="x__Hlk113364677"/>
      <w:r w:rsidRPr="007B53CA">
        <w:rPr>
          <w:rFonts w:ascii="Calibri" w:eastAsia="Times New Roman" w:hAnsi="Calibri" w:cs="Calibri"/>
          <w:color w:val="000000"/>
          <w:sz w:val="22"/>
          <w:szCs w:val="22"/>
          <w:bdr w:val="none" w:sz="0" w:space="0" w:color="auto" w:frame="1"/>
          <w:lang w:eastAsia="en-GB"/>
        </w:rPr>
        <w:t>Transportlīdzekļu apdrošinātāju biroja valdes locekļa amatu</w:t>
      </w:r>
      <w:bookmarkEnd w:id="1"/>
      <w:r w:rsidRPr="007B53CA">
        <w:rPr>
          <w:rFonts w:ascii="Calibri" w:eastAsia="Times New Roman" w:hAnsi="Calibri" w:cs="Calibri"/>
          <w:color w:val="000000"/>
          <w:sz w:val="22"/>
          <w:szCs w:val="22"/>
          <w:bdr w:val="none" w:sz="0" w:space="0" w:color="auto" w:frame="1"/>
          <w:lang w:eastAsia="en-GB"/>
        </w:rPr>
        <w:t>, no Sodu reģistra var iegūt tikai tādus sodāmības datus, kas atklātu, vai persona ir sodīta par projektā noteiktiem noziedzīgiem nodarījumiem, un, ja gadījumā persona ir sodīta par attiecīgu noziedzīgu nodarījumu izdarīšanu, konkrētā persona nemaz nevar ieņemt Transportlīdzekļu apdrošinātāju biroja valdes locekļa amatu. Ievērojot minēto, lūdzam noteikt termiņu sodāmības datu glabāšanai par </w:t>
      </w:r>
      <w:bookmarkStart w:id="2" w:name="x__Hlk113364755"/>
      <w:r w:rsidRPr="007B53CA">
        <w:rPr>
          <w:rFonts w:ascii="Calibri" w:eastAsia="Times New Roman" w:hAnsi="Calibri" w:cs="Calibri"/>
          <w:color w:val="000000"/>
          <w:sz w:val="22"/>
          <w:szCs w:val="22"/>
          <w:bdr w:val="none" w:sz="0" w:space="0" w:color="auto" w:frame="1"/>
          <w:lang w:eastAsia="en-GB"/>
        </w:rPr>
        <w:t>Transportlīdzekļu apdrošinātāju biroja </w:t>
      </w:r>
      <w:r w:rsidRPr="007B53CA">
        <w:rPr>
          <w:rFonts w:ascii="Calibri" w:eastAsia="Times New Roman" w:hAnsi="Calibri" w:cs="Calibri"/>
          <w:color w:val="000000"/>
          <w:sz w:val="22"/>
          <w:szCs w:val="22"/>
          <w:u w:val="single"/>
          <w:bdr w:val="none" w:sz="0" w:space="0" w:color="auto" w:frame="1"/>
          <w:lang w:eastAsia="en-GB"/>
        </w:rPr>
        <w:t>valdes locekļa </w:t>
      </w:r>
      <w:bookmarkEnd w:id="2"/>
      <w:r w:rsidRPr="007B53CA">
        <w:rPr>
          <w:rFonts w:ascii="Calibri" w:eastAsia="Times New Roman" w:hAnsi="Calibri" w:cs="Calibri"/>
          <w:color w:val="000000"/>
          <w:sz w:val="22"/>
          <w:szCs w:val="22"/>
          <w:u w:val="single"/>
          <w:bdr w:val="none" w:sz="0" w:space="0" w:color="auto" w:frame="1"/>
          <w:lang w:eastAsia="en-GB"/>
        </w:rPr>
        <w:t>amata pretendentu</w:t>
      </w:r>
      <w:r w:rsidRPr="007B53CA">
        <w:rPr>
          <w:rFonts w:ascii="Calibri" w:eastAsia="Times New Roman" w:hAnsi="Calibri" w:cs="Calibri"/>
          <w:color w:val="000000"/>
          <w:sz w:val="22"/>
          <w:szCs w:val="22"/>
          <w:bdr w:val="none" w:sz="0" w:space="0" w:color="auto" w:frame="1"/>
          <w:lang w:eastAsia="en-GB"/>
        </w:rPr>
        <w:t>, kā arī skaidrot kādi tieši sodāmības dati tiks glabāti par Transportlīdzekļu apdrošinātāju biroja </w:t>
      </w:r>
      <w:r w:rsidRPr="007B53CA">
        <w:rPr>
          <w:rFonts w:ascii="Calibri" w:eastAsia="Times New Roman" w:hAnsi="Calibri" w:cs="Calibri"/>
          <w:color w:val="000000"/>
          <w:sz w:val="22"/>
          <w:szCs w:val="22"/>
          <w:u w:val="single"/>
          <w:bdr w:val="none" w:sz="0" w:space="0" w:color="auto" w:frame="1"/>
          <w:lang w:eastAsia="en-GB"/>
        </w:rPr>
        <w:t>valdes locekli</w:t>
      </w:r>
      <w:r w:rsidRPr="007B53CA">
        <w:rPr>
          <w:rFonts w:ascii="Calibri" w:eastAsia="Times New Roman" w:hAnsi="Calibri" w:cs="Calibri"/>
          <w:color w:val="000000"/>
          <w:sz w:val="22"/>
          <w:szCs w:val="22"/>
          <w:bdr w:val="none" w:sz="0" w:space="0" w:color="auto" w:frame="1"/>
          <w:lang w:eastAsia="en-GB"/>
        </w:rPr>
        <w:t>.</w:t>
      </w:r>
    </w:p>
    <w:p w14:paraId="29D7D96E" w14:textId="77777777" w:rsidR="007B53CA" w:rsidRPr="007B53CA" w:rsidRDefault="007B53CA" w:rsidP="007B53CA">
      <w:pPr>
        <w:ind w:firstLine="553"/>
        <w:textAlignment w:val="baseline"/>
        <w:rPr>
          <w:rFonts w:ascii="Calibri" w:eastAsia="Times New Roman" w:hAnsi="Calibri" w:cs="Calibri"/>
          <w:color w:val="000000"/>
          <w:sz w:val="22"/>
          <w:szCs w:val="22"/>
          <w:lang w:eastAsia="en-GB"/>
        </w:rPr>
      </w:pPr>
      <w:r w:rsidRPr="007B53CA">
        <w:rPr>
          <w:rFonts w:ascii="Calibri" w:eastAsia="Times New Roman" w:hAnsi="Calibri" w:cs="Calibri"/>
          <w:color w:val="000000"/>
          <w:sz w:val="22"/>
          <w:szCs w:val="22"/>
          <w:bdr w:val="none" w:sz="0" w:space="0" w:color="auto" w:frame="1"/>
          <w:lang w:eastAsia="en-GB"/>
        </w:rPr>
        <w:t>Vienlaikus norādām, ka atbilstoši </w:t>
      </w:r>
      <w:r w:rsidRPr="007B53CA">
        <w:rPr>
          <w:rFonts w:ascii="Calibri" w:eastAsia="Times New Roman" w:hAnsi="Calibri" w:cs="Calibri"/>
          <w:color w:val="000000"/>
          <w:sz w:val="22"/>
          <w:szCs w:val="22"/>
          <w:lang w:eastAsia="en-GB"/>
        </w:rPr>
        <w:t>Eiropas Parlamenta un Padomes 2016. gada 27. aprīļa regulas (ES) 2016/679 par fizisku personu datu aizsardzību attiecībā uz personas datu apstrādi un šādu datu brīvu apriti un ar ko atceļ Direktīvu 95/46/EK (Vispārīgā datu aizsardzības regula) (turpmāk – D</w:t>
      </w:r>
      <w:r w:rsidRPr="007B53CA">
        <w:rPr>
          <w:rFonts w:ascii="Calibri" w:eastAsia="Times New Roman" w:hAnsi="Calibri" w:cs="Calibri"/>
          <w:color w:val="000000"/>
          <w:sz w:val="22"/>
          <w:szCs w:val="22"/>
          <w:bdr w:val="none" w:sz="0" w:space="0" w:color="auto" w:frame="1"/>
          <w:lang w:eastAsia="en-GB"/>
        </w:rPr>
        <w:t xml:space="preserve">atu regula) 5. panta 1. punkta "e" apakšpunktā ietvertajam glabāšanas ierobežojuma principam </w:t>
      </w:r>
      <w:r w:rsidRPr="007B53CA">
        <w:rPr>
          <w:rFonts w:ascii="Calibri" w:eastAsia="Times New Roman" w:hAnsi="Calibri" w:cs="Calibri"/>
          <w:color w:val="000000"/>
          <w:sz w:val="22"/>
          <w:szCs w:val="22"/>
          <w:bdr w:val="none" w:sz="0" w:space="0" w:color="auto" w:frame="1"/>
          <w:lang w:eastAsia="en-GB"/>
        </w:rPr>
        <w:lastRenderedPageBreak/>
        <w:t>personas datus glabā tikai tik ilgi, kamēr tie ir nepieciešami nolūkiem, kuros to apstrādā. Papildus norādāms, ka Datu regulā nav noteikti konkrēti termiņi datu glabāšanai, tomēr šie termiņi ir saistīti ar pārziņa datu apstrādes nolūkiem un to sasniegšanai nepieciešamo datu apjomu. Ņemot vērā minēto, lūdzam papildināt anotāciju ar attiecīgu skaidrojumu, kas pamatotu sodāmības datu glabāšanas termiņu. Šajā sakarā aicinām izvērtēt, vai nebūtu pietiekoši sodāmības datus par attiecīgo personu uzglabāt tikai to laika posmu, kamēr ilgst Transportlīdzekļu apdrošinātāju biroja valdes locekļa amata pretendenta atbilstības un piemērotības novērtēšana.</w:t>
      </w:r>
    </w:p>
    <w:p w14:paraId="58BD190A" w14:textId="77777777" w:rsidR="007B53CA" w:rsidRPr="007B53CA" w:rsidRDefault="007B53CA" w:rsidP="007B53CA">
      <w:pPr>
        <w:ind w:firstLine="553"/>
        <w:textAlignment w:val="baseline"/>
        <w:rPr>
          <w:rFonts w:ascii="Calibri" w:eastAsia="Times New Roman" w:hAnsi="Calibri" w:cs="Calibri"/>
          <w:color w:val="000000"/>
          <w:sz w:val="22"/>
          <w:szCs w:val="22"/>
          <w:lang w:eastAsia="en-GB"/>
        </w:rPr>
      </w:pPr>
      <w:r w:rsidRPr="007B53CA">
        <w:rPr>
          <w:rFonts w:ascii="Calibri" w:eastAsia="Times New Roman" w:hAnsi="Calibri" w:cs="Calibri"/>
          <w:color w:val="000000"/>
          <w:sz w:val="22"/>
          <w:szCs w:val="22"/>
          <w:bdr w:val="none" w:sz="0" w:space="0" w:color="auto" w:frame="1"/>
          <w:lang w:eastAsia="en-GB"/>
        </w:rPr>
        <w:t>3. Lai pārzinim būtu saistošs pienākums sodāmības datus glabāt noteiktu termiņu, šim pārziņa pienākumam jābūt noteiktam ar normatīvo aktu. Ņemot vērā, ka norāde par sodāmības datu glabāšanas termiņu ir ietverta tikai anotācijā, lūdzam attiecīgi papildināt projektu, norādot sodāmības datu glabāšanas termiņu.</w:t>
      </w:r>
    </w:p>
    <w:p w14:paraId="69768ACB" w14:textId="77777777" w:rsidR="007B53CA" w:rsidRPr="007B53CA" w:rsidRDefault="007B53CA" w:rsidP="007B53CA">
      <w:pPr>
        <w:ind w:firstLine="553"/>
        <w:textAlignment w:val="baseline"/>
        <w:rPr>
          <w:rFonts w:ascii="Calibri" w:eastAsia="Times New Roman" w:hAnsi="Calibri" w:cs="Calibri"/>
          <w:color w:val="000000"/>
          <w:sz w:val="22"/>
          <w:szCs w:val="22"/>
          <w:lang w:eastAsia="en-GB"/>
        </w:rPr>
      </w:pPr>
      <w:r w:rsidRPr="007B53CA">
        <w:rPr>
          <w:rFonts w:ascii="Calibri" w:eastAsia="Times New Roman" w:hAnsi="Calibri" w:cs="Calibri"/>
          <w:color w:val="000000"/>
          <w:sz w:val="22"/>
          <w:szCs w:val="22"/>
          <w:bdr w:val="none" w:sz="0" w:space="0" w:color="auto" w:frame="1"/>
          <w:lang w:eastAsia="en-GB"/>
        </w:rPr>
        <w:t>4. Anotācijas I sadaļas 2. punktā norādīts, ka "no Soda reģistra tiks iegūti dati tādā apjomā, kas nepieciešams, lai pārbaudītu, vai persona ir sodīta par tīša nozieguma izdarīšanu pret valsti, īpašumu vai pārvaldības kārtību vai par tīša nozieguma izdarīšanu tautsaimniecībā vai valsts institūciju dienestā, vai par tāda nozieguma izdarīšanu, kas saistīts ar terorismu, un sodāmība par to nav noņemta vai dzēsta" Vēršam uzmanību, ka no minētā skaidrojuma nav saprotams, kādi tieši dati tiks iegūti no Sodu reģistra – vai tā būs tikai atzīme par personu "ir sodīts" vai "nav sodīts" par attiecīgā noziedzīgā nodarījuma izdarīšanu, vai arī no Soda reģistra tiks izgūti tādi dati, kā notiesājošā sprieduma sastādīšanas un likumīgā spēkā stāšanās datums, piemērotais sods u.tt. Savukārt projekta 11.</w:t>
      </w:r>
      <w:r w:rsidRPr="007B53CA">
        <w:rPr>
          <w:rFonts w:ascii="Calibri" w:eastAsia="Times New Roman" w:hAnsi="Calibri" w:cs="Calibri"/>
          <w:color w:val="000000"/>
          <w:sz w:val="22"/>
          <w:szCs w:val="22"/>
          <w:lang w:eastAsia="en-GB"/>
        </w:rPr>
        <w:t> pantā paredzētais likuma grozījums noteic vispārīgas tiesības saņemt datus no Sodu reģistra, nenosakot ne datu apjomu, ne formu, kādā informācija saņemama. </w:t>
      </w:r>
      <w:r w:rsidRPr="007B53CA">
        <w:rPr>
          <w:rFonts w:ascii="Calibri" w:eastAsia="Times New Roman" w:hAnsi="Calibri" w:cs="Calibri"/>
          <w:color w:val="000000"/>
          <w:sz w:val="22"/>
          <w:szCs w:val="22"/>
          <w:bdr w:val="none" w:sz="0" w:space="0" w:color="auto" w:frame="1"/>
          <w:lang w:eastAsia="en-GB"/>
        </w:rPr>
        <w:t xml:space="preserve">Ņemot vērā minēto, ievērojot datu </w:t>
      </w:r>
      <w:proofErr w:type="spellStart"/>
      <w:r w:rsidRPr="007B53CA">
        <w:rPr>
          <w:rFonts w:ascii="Calibri" w:eastAsia="Times New Roman" w:hAnsi="Calibri" w:cs="Calibri"/>
          <w:color w:val="000000"/>
          <w:sz w:val="22"/>
          <w:szCs w:val="22"/>
          <w:bdr w:val="none" w:sz="0" w:space="0" w:color="auto" w:frame="1"/>
          <w:lang w:eastAsia="en-GB"/>
        </w:rPr>
        <w:t>minimizācijas</w:t>
      </w:r>
      <w:proofErr w:type="spellEnd"/>
      <w:r w:rsidRPr="007B53CA">
        <w:rPr>
          <w:rFonts w:ascii="Calibri" w:eastAsia="Times New Roman" w:hAnsi="Calibri" w:cs="Calibri"/>
          <w:color w:val="000000"/>
          <w:sz w:val="22"/>
          <w:szCs w:val="22"/>
          <w:bdr w:val="none" w:sz="0" w:space="0" w:color="auto" w:frame="1"/>
          <w:lang w:eastAsia="en-GB"/>
        </w:rPr>
        <w:t xml:space="preserve"> principu un tādu pasākumu ietveršanu, lai mazinātu riskus personu tiesībām uz datu aizsardzību, lūdzu izvērtēt un paskaidrot detalizētāk, kāda tieši informācija tiks iegūta no Sodu reģistra.</w:t>
      </w:r>
    </w:p>
    <w:p w14:paraId="03B778BF" w14:textId="77777777" w:rsidR="007B53CA" w:rsidRPr="007B53CA" w:rsidRDefault="007B53CA" w:rsidP="007B53CA">
      <w:pPr>
        <w:ind w:firstLine="553"/>
        <w:textAlignment w:val="baseline"/>
        <w:rPr>
          <w:rFonts w:ascii="Calibri" w:eastAsia="Times New Roman" w:hAnsi="Calibri" w:cs="Calibri"/>
          <w:color w:val="000000"/>
          <w:sz w:val="22"/>
          <w:szCs w:val="22"/>
          <w:lang w:eastAsia="en-GB"/>
        </w:rPr>
      </w:pPr>
      <w:r w:rsidRPr="007B53CA">
        <w:rPr>
          <w:rFonts w:ascii="Calibri" w:eastAsia="Times New Roman" w:hAnsi="Calibri" w:cs="Calibri"/>
          <w:color w:val="000000"/>
          <w:sz w:val="22"/>
          <w:szCs w:val="22"/>
          <w:bdr w:val="none" w:sz="0" w:space="0" w:color="auto" w:frame="1"/>
          <w:lang w:eastAsia="en-GB"/>
        </w:rPr>
        <w:t>5.</w:t>
      </w:r>
      <w:r w:rsidRPr="007B53CA">
        <w:rPr>
          <w:rFonts w:ascii="Calibri" w:eastAsia="Times New Roman" w:hAnsi="Calibri" w:cs="Calibri"/>
          <w:color w:val="000000"/>
          <w:sz w:val="22"/>
          <w:szCs w:val="22"/>
          <w:lang w:eastAsia="en-GB"/>
        </w:rPr>
        <w:t> Vēršam uzmanību, ka projekta 14. pantā paredzētā likuma grozījumu tiesību norma pēc būtības detalizēti apspriesta arī iepriekš, tai skaitā Tieslietu ministrijas izveidotajā darba grupā "Maksātnespējas regulējuma pilnveidošanas darba grupa". Diskusiju rezultātā, nemainot gala konceptu, tomēr mainīts tā risinājums, kas nav atspoguļots projektā. Ievērojot minēto, lūdzam precizēt projekta 14. pantā paredzēto likuma grozījumu atbilstoši redakcijai, par kuru ir panākta vienošanās:</w:t>
      </w:r>
    </w:p>
    <w:p w14:paraId="309FF98D" w14:textId="77777777" w:rsidR="007B53CA" w:rsidRPr="007B53CA" w:rsidRDefault="007B53CA" w:rsidP="007B53CA">
      <w:pPr>
        <w:shd w:val="clear" w:color="auto" w:fill="FFFFFF"/>
        <w:textAlignment w:val="baseline"/>
        <w:rPr>
          <w:rFonts w:ascii="Calibri" w:eastAsia="Times New Roman" w:hAnsi="Calibri" w:cs="Calibri"/>
          <w:color w:val="000000"/>
          <w:sz w:val="22"/>
          <w:szCs w:val="22"/>
          <w:lang w:eastAsia="en-GB"/>
        </w:rPr>
      </w:pPr>
      <w:r w:rsidRPr="007B53CA">
        <w:rPr>
          <w:rFonts w:ascii="Calibri" w:eastAsia="Times New Roman" w:hAnsi="Calibri" w:cs="Calibri"/>
          <w:color w:val="000000"/>
          <w:sz w:val="22"/>
          <w:szCs w:val="22"/>
          <w:bdr w:val="none" w:sz="0" w:space="0" w:color="auto" w:frame="1"/>
          <w:lang w:eastAsia="en-GB"/>
        </w:rPr>
        <w:t>"</w:t>
      </w:r>
      <w:r w:rsidRPr="007B53CA">
        <w:rPr>
          <w:rFonts w:ascii="Calibri" w:eastAsia="Times New Roman" w:hAnsi="Calibri" w:cs="Calibri"/>
          <w:b/>
          <w:bCs/>
          <w:color w:val="000000"/>
          <w:sz w:val="22"/>
          <w:szCs w:val="22"/>
          <w:bdr w:val="none" w:sz="0" w:space="0" w:color="auto" w:frame="1"/>
          <w:lang w:eastAsia="en-GB"/>
        </w:rPr>
        <w:t>14. </w:t>
      </w:r>
      <w:r w:rsidRPr="007B53CA">
        <w:rPr>
          <w:rFonts w:ascii="Calibri" w:eastAsia="Times New Roman" w:hAnsi="Calibri" w:cs="Calibri"/>
          <w:color w:val="000000"/>
          <w:sz w:val="22"/>
          <w:szCs w:val="22"/>
          <w:bdr w:val="none" w:sz="0" w:space="0" w:color="auto" w:frame="1"/>
          <w:lang w:eastAsia="en-GB"/>
        </w:rPr>
        <w:t>Papildināt likumu ar 51.</w:t>
      </w:r>
      <w:r w:rsidRPr="007B53CA">
        <w:rPr>
          <w:rFonts w:ascii="Calibri" w:eastAsia="Times New Roman" w:hAnsi="Calibri" w:cs="Calibri"/>
          <w:color w:val="000000"/>
          <w:sz w:val="22"/>
          <w:szCs w:val="22"/>
          <w:bdr w:val="none" w:sz="0" w:space="0" w:color="auto" w:frame="1"/>
          <w:vertAlign w:val="superscript"/>
          <w:lang w:eastAsia="en-GB"/>
        </w:rPr>
        <w:t>3</w:t>
      </w:r>
      <w:r w:rsidRPr="007B53CA">
        <w:rPr>
          <w:rFonts w:ascii="Calibri" w:eastAsia="Times New Roman" w:hAnsi="Calibri" w:cs="Calibri"/>
          <w:color w:val="000000"/>
          <w:sz w:val="22"/>
          <w:szCs w:val="22"/>
          <w:bdr w:val="none" w:sz="0" w:space="0" w:color="auto" w:frame="1"/>
          <w:lang w:eastAsia="en-GB"/>
        </w:rPr>
        <w:t> pantu šādā redakcijā:</w:t>
      </w:r>
    </w:p>
    <w:p w14:paraId="0435589D" w14:textId="77777777" w:rsidR="007B53CA" w:rsidRPr="007B53CA" w:rsidRDefault="007B53CA" w:rsidP="007B53CA">
      <w:pPr>
        <w:textAlignment w:val="baseline"/>
        <w:rPr>
          <w:rFonts w:ascii="Calibri" w:eastAsia="Times New Roman" w:hAnsi="Calibri" w:cs="Calibri"/>
          <w:color w:val="000000"/>
          <w:sz w:val="22"/>
          <w:szCs w:val="22"/>
          <w:lang w:eastAsia="en-GB"/>
        </w:rPr>
      </w:pPr>
      <w:r w:rsidRPr="007B53CA">
        <w:rPr>
          <w:rFonts w:ascii="Calibri" w:eastAsia="Times New Roman" w:hAnsi="Calibri" w:cs="Calibri"/>
          <w:color w:val="000000"/>
          <w:sz w:val="22"/>
          <w:szCs w:val="22"/>
          <w:lang w:eastAsia="en-GB"/>
        </w:rPr>
        <w:t>"</w:t>
      </w:r>
      <w:r w:rsidRPr="007B53CA">
        <w:rPr>
          <w:rFonts w:ascii="Calibri" w:eastAsia="Times New Roman" w:hAnsi="Calibri" w:cs="Calibri"/>
          <w:b/>
          <w:bCs/>
          <w:color w:val="000000"/>
          <w:sz w:val="22"/>
          <w:szCs w:val="22"/>
          <w:lang w:eastAsia="en-GB"/>
        </w:rPr>
        <w:t>51.</w:t>
      </w:r>
      <w:r w:rsidRPr="007B53CA">
        <w:rPr>
          <w:rFonts w:ascii="Calibri" w:eastAsia="Times New Roman" w:hAnsi="Calibri" w:cs="Calibri"/>
          <w:b/>
          <w:bCs/>
          <w:color w:val="000000"/>
          <w:sz w:val="22"/>
          <w:szCs w:val="22"/>
          <w:vertAlign w:val="superscript"/>
          <w:lang w:eastAsia="en-GB"/>
        </w:rPr>
        <w:t>3 </w:t>
      </w:r>
      <w:r w:rsidRPr="007B53CA">
        <w:rPr>
          <w:rFonts w:ascii="Calibri" w:eastAsia="Times New Roman" w:hAnsi="Calibri" w:cs="Calibri"/>
          <w:b/>
          <w:bCs/>
          <w:color w:val="000000"/>
          <w:sz w:val="22"/>
          <w:szCs w:val="22"/>
          <w:lang w:eastAsia="en-GB"/>
        </w:rPr>
        <w:t>Transportlīdzekļu apdrošinātāju biroja kreditora prasījums</w:t>
      </w:r>
    </w:p>
    <w:p w14:paraId="0D952FF7" w14:textId="77777777" w:rsidR="007B53CA" w:rsidRPr="007B53CA" w:rsidRDefault="007B53CA" w:rsidP="007B53CA">
      <w:pPr>
        <w:textAlignment w:val="baseline"/>
        <w:rPr>
          <w:rFonts w:ascii="Calibri" w:eastAsia="Times New Roman" w:hAnsi="Calibri" w:cs="Calibri"/>
          <w:color w:val="000000"/>
          <w:sz w:val="22"/>
          <w:szCs w:val="22"/>
          <w:lang w:eastAsia="en-GB"/>
        </w:rPr>
      </w:pPr>
      <w:r w:rsidRPr="007B53CA">
        <w:rPr>
          <w:rFonts w:ascii="Calibri" w:eastAsia="Times New Roman" w:hAnsi="Calibri" w:cs="Calibri"/>
          <w:color w:val="000000"/>
          <w:sz w:val="22"/>
          <w:szCs w:val="22"/>
          <w:lang w:eastAsia="en-GB"/>
        </w:rPr>
        <w:t>(1) Transportlīdzekļu apdrošinātāju birojam ir tiesības iesniegt kreditora prasījumu šādos gadījumos:</w:t>
      </w:r>
    </w:p>
    <w:p w14:paraId="2F5DE1A9" w14:textId="77777777" w:rsidR="007B53CA" w:rsidRPr="007B53CA" w:rsidRDefault="007B53CA" w:rsidP="007B53CA">
      <w:pPr>
        <w:textAlignment w:val="baseline"/>
        <w:rPr>
          <w:rFonts w:ascii="Calibri" w:eastAsia="Times New Roman" w:hAnsi="Calibri" w:cs="Calibri"/>
          <w:color w:val="000000"/>
          <w:sz w:val="22"/>
          <w:szCs w:val="22"/>
          <w:lang w:eastAsia="en-GB"/>
        </w:rPr>
      </w:pPr>
      <w:r w:rsidRPr="007B53CA">
        <w:rPr>
          <w:rFonts w:ascii="Calibri" w:eastAsia="Times New Roman" w:hAnsi="Calibri" w:cs="Calibri"/>
          <w:color w:val="000000"/>
          <w:sz w:val="22"/>
          <w:szCs w:val="22"/>
          <w:lang w:eastAsia="en-GB"/>
        </w:rPr>
        <w:t>1) ja tas izmaksājis apdrošināšanas atlīdzību šā likuma 51. pantā minētajos gadījumos;</w:t>
      </w:r>
    </w:p>
    <w:p w14:paraId="3FA6DC72" w14:textId="77777777" w:rsidR="007B53CA" w:rsidRPr="007B53CA" w:rsidRDefault="007B53CA" w:rsidP="007B53CA">
      <w:pPr>
        <w:textAlignment w:val="baseline"/>
        <w:rPr>
          <w:rFonts w:ascii="Calibri" w:eastAsia="Times New Roman" w:hAnsi="Calibri" w:cs="Calibri"/>
          <w:color w:val="000000"/>
          <w:sz w:val="22"/>
          <w:szCs w:val="22"/>
          <w:lang w:eastAsia="en-GB"/>
        </w:rPr>
      </w:pPr>
      <w:r w:rsidRPr="007B53CA">
        <w:rPr>
          <w:rFonts w:ascii="Calibri" w:eastAsia="Times New Roman" w:hAnsi="Calibri" w:cs="Calibri"/>
          <w:color w:val="000000"/>
          <w:sz w:val="22"/>
          <w:szCs w:val="22"/>
          <w:lang w:eastAsia="en-GB"/>
        </w:rPr>
        <w:t>2) par saistībām, kuras paredzētas, lai nākotnē varētu izmaksāt apdrošināšanas atlīdzību saskaņā ar šā likuma 51. pantu un segt šā likuma 51. panta trešās daļas 1. punktā minētos izdevumus par apdrošināšanas gadījumiem, kuri:</w:t>
      </w:r>
    </w:p>
    <w:p w14:paraId="7F63E943" w14:textId="77777777" w:rsidR="007B53CA" w:rsidRPr="007B53CA" w:rsidRDefault="007B53CA" w:rsidP="007B53CA">
      <w:pPr>
        <w:textAlignment w:val="baseline"/>
        <w:rPr>
          <w:rFonts w:ascii="Calibri" w:eastAsia="Times New Roman" w:hAnsi="Calibri" w:cs="Calibri"/>
          <w:color w:val="000000"/>
          <w:sz w:val="22"/>
          <w:szCs w:val="22"/>
          <w:lang w:eastAsia="en-GB"/>
        </w:rPr>
      </w:pPr>
      <w:r w:rsidRPr="007B53CA">
        <w:rPr>
          <w:rFonts w:ascii="Calibri" w:eastAsia="Times New Roman" w:hAnsi="Calibri" w:cs="Calibri"/>
          <w:color w:val="000000"/>
          <w:sz w:val="22"/>
          <w:szCs w:val="22"/>
          <w:lang w:eastAsia="en-GB"/>
        </w:rPr>
        <w:t>a) ir notikuši un par kuriem ir saņemts apdrošināšanas atlīdzības pieteikums, bet par kuriem nav izmaksāta apdrošināšanas atlīdzība vai tā nav izmaksāta pilnā apmērā, aprēķinot apdrošināšanas atlīdzības apmēru katram apdrošināšanas gadījumam atsevišķi,</w:t>
      </w:r>
    </w:p>
    <w:p w14:paraId="36F8A61A" w14:textId="77777777" w:rsidR="007B53CA" w:rsidRPr="007B53CA" w:rsidRDefault="007B53CA" w:rsidP="007B53CA">
      <w:pPr>
        <w:textAlignment w:val="baseline"/>
        <w:rPr>
          <w:rFonts w:ascii="Calibri" w:eastAsia="Times New Roman" w:hAnsi="Calibri" w:cs="Calibri"/>
          <w:color w:val="000000"/>
          <w:sz w:val="22"/>
          <w:szCs w:val="22"/>
          <w:lang w:eastAsia="en-GB"/>
        </w:rPr>
      </w:pPr>
      <w:r w:rsidRPr="007B53CA">
        <w:rPr>
          <w:rFonts w:ascii="Calibri" w:eastAsia="Times New Roman" w:hAnsi="Calibri" w:cs="Calibri"/>
          <w:color w:val="000000"/>
          <w:sz w:val="22"/>
          <w:szCs w:val="22"/>
          <w:lang w:eastAsia="en-GB"/>
        </w:rPr>
        <w:t>b) ir notikuši, bet par kuriem vēl nav saņemts apdrošināšanas atlīdzības pieteikums.</w:t>
      </w:r>
    </w:p>
    <w:p w14:paraId="7C090989" w14:textId="77777777" w:rsidR="007B53CA" w:rsidRPr="007B53CA" w:rsidRDefault="007B53CA" w:rsidP="007B53CA">
      <w:pPr>
        <w:textAlignment w:val="baseline"/>
        <w:rPr>
          <w:rFonts w:ascii="Calibri" w:eastAsia="Times New Roman" w:hAnsi="Calibri" w:cs="Calibri"/>
          <w:color w:val="000000"/>
          <w:sz w:val="22"/>
          <w:szCs w:val="22"/>
          <w:lang w:eastAsia="en-GB"/>
        </w:rPr>
      </w:pPr>
      <w:r w:rsidRPr="007B53CA">
        <w:rPr>
          <w:rFonts w:ascii="Calibri" w:eastAsia="Times New Roman" w:hAnsi="Calibri" w:cs="Calibri"/>
          <w:color w:val="000000"/>
          <w:sz w:val="22"/>
          <w:szCs w:val="22"/>
          <w:lang w:eastAsia="en-GB"/>
        </w:rPr>
        <w:t>(2) Par šā panta pirmās daļas 1. un 2. punktā minētajām saistībām, neatkarīgi no tā, vai Transportlīdzekļu apdrošinātāju birojs apdrošināšanas atlīdzību par šā panta pirmās daļas 2. punktā minētajām saistībām būs izmaksājis līdz dienai, kad Maksātnespējas likumā noteiktajā kārtībā sastādīts kreditoru prasījumu apmierināšanas plāns vai ziņojums par mantas neesamību, ar ko ierosināts izbeigt juridiskās personas maksātnespējas procesu, Transportlīdzekļu apdrošinātāju birojam ir tiesības iesniegt kreditora prasījuma precizējumus Maksātnespējas likumā noteiktajā kārtībā.</w:t>
      </w:r>
    </w:p>
    <w:p w14:paraId="01BFC1A9" w14:textId="77777777" w:rsidR="007B53CA" w:rsidRPr="007B53CA" w:rsidRDefault="007B53CA" w:rsidP="007B53CA">
      <w:pPr>
        <w:textAlignment w:val="baseline"/>
        <w:rPr>
          <w:rFonts w:ascii="Calibri" w:eastAsia="Times New Roman" w:hAnsi="Calibri" w:cs="Calibri"/>
          <w:color w:val="000000"/>
          <w:sz w:val="22"/>
          <w:szCs w:val="22"/>
          <w:lang w:eastAsia="en-GB"/>
        </w:rPr>
      </w:pPr>
      <w:r w:rsidRPr="007B53CA">
        <w:rPr>
          <w:rFonts w:ascii="Calibri" w:eastAsia="Times New Roman" w:hAnsi="Calibri" w:cs="Calibri"/>
          <w:color w:val="000000"/>
          <w:sz w:val="22"/>
          <w:szCs w:val="22"/>
          <w:lang w:eastAsia="en-GB"/>
        </w:rPr>
        <w:t xml:space="preserve">(3) Pēc tam, kad šā panta pirmās daļas 2. punktā minētās saistības ir izpildītas un ir izmaksāta apdrošināšanas atlīdzība, kas atbilst šā panta pirmās daļas 1. punkta prasībām, Transportlīdzekļu apdrošinātāju birojs paziņo par tām maksātnespējas procesa administratoram, precizējot </w:t>
      </w:r>
      <w:r w:rsidRPr="007B53CA">
        <w:rPr>
          <w:rFonts w:ascii="Calibri" w:eastAsia="Times New Roman" w:hAnsi="Calibri" w:cs="Calibri"/>
          <w:color w:val="000000"/>
          <w:sz w:val="22"/>
          <w:szCs w:val="22"/>
          <w:lang w:eastAsia="en-GB"/>
        </w:rPr>
        <w:lastRenderedPageBreak/>
        <w:t>maksātnespējas procesa administratoram iesniegto kreditora prasījumu, bet ne vēlāk kā līdz dienai, kad Maksātnespējas likumā noteiktajā kārtībā sastādīts kreditoru prasījumu apmierināšanas plāns vai ziņojums par mantas neesamību, ar ko ierosināts izbeigt juridiskās personas maksātnespējas procesu.";".</w:t>
      </w:r>
    </w:p>
    <w:p w14:paraId="347531A8" w14:textId="77777777" w:rsidR="007B53CA" w:rsidRPr="007B53CA" w:rsidRDefault="007B53CA" w:rsidP="007B53CA">
      <w:pPr>
        <w:ind w:firstLine="567"/>
        <w:textAlignment w:val="baseline"/>
        <w:rPr>
          <w:rFonts w:ascii="Calibri" w:eastAsia="Times New Roman" w:hAnsi="Calibri" w:cs="Calibri"/>
          <w:color w:val="000000"/>
          <w:sz w:val="22"/>
          <w:szCs w:val="22"/>
          <w:lang w:eastAsia="en-GB"/>
        </w:rPr>
      </w:pPr>
      <w:r w:rsidRPr="007B53CA">
        <w:rPr>
          <w:rFonts w:ascii="Calibri" w:eastAsia="Times New Roman" w:hAnsi="Calibri" w:cs="Calibri"/>
          <w:color w:val="000000"/>
          <w:sz w:val="22"/>
          <w:szCs w:val="22"/>
          <w:lang w:eastAsia="en-GB"/>
        </w:rPr>
        <w:t>6. Ņemot vērā šā atzinuma 5. iebildumā norādīto, lūdzam attiecīgi precizēt arī projekta 16. pantā paredzēto likuma pārejas noteikumu 31. punktu, proti:</w:t>
      </w:r>
    </w:p>
    <w:p w14:paraId="0EFEDBE5" w14:textId="77777777" w:rsidR="007B53CA" w:rsidRPr="007B53CA" w:rsidRDefault="007B53CA" w:rsidP="007B53CA">
      <w:pPr>
        <w:textAlignment w:val="baseline"/>
        <w:rPr>
          <w:rFonts w:ascii="Calibri" w:eastAsia="Times New Roman" w:hAnsi="Calibri" w:cs="Calibri"/>
          <w:color w:val="000000"/>
          <w:sz w:val="22"/>
          <w:szCs w:val="22"/>
          <w:lang w:eastAsia="en-GB"/>
        </w:rPr>
      </w:pPr>
      <w:r w:rsidRPr="007B53CA">
        <w:rPr>
          <w:rFonts w:ascii="Calibri" w:eastAsia="Times New Roman" w:hAnsi="Calibri" w:cs="Calibri"/>
          <w:color w:val="000000"/>
          <w:sz w:val="22"/>
          <w:szCs w:val="22"/>
          <w:bdr w:val="none" w:sz="0" w:space="0" w:color="auto" w:frame="1"/>
          <w:lang w:eastAsia="en-GB"/>
        </w:rPr>
        <w:t>"31.</w:t>
      </w:r>
      <w:r w:rsidRPr="007B53CA">
        <w:rPr>
          <w:rFonts w:ascii="Calibri" w:eastAsia="Times New Roman" w:hAnsi="Calibri" w:cs="Calibri"/>
          <w:color w:val="000000"/>
          <w:sz w:val="22"/>
          <w:szCs w:val="22"/>
          <w:lang w:eastAsia="en-GB"/>
        </w:rPr>
        <w:t> Šā likuma 51.</w:t>
      </w:r>
      <w:r w:rsidRPr="007B53CA">
        <w:rPr>
          <w:rFonts w:ascii="Calibri" w:eastAsia="Times New Roman" w:hAnsi="Calibri" w:cs="Calibri"/>
          <w:color w:val="000000"/>
          <w:sz w:val="22"/>
          <w:szCs w:val="22"/>
          <w:vertAlign w:val="superscript"/>
          <w:lang w:eastAsia="en-GB"/>
        </w:rPr>
        <w:t>3</w:t>
      </w:r>
      <w:r w:rsidRPr="007B53CA">
        <w:rPr>
          <w:rFonts w:ascii="Calibri" w:eastAsia="Times New Roman" w:hAnsi="Calibri" w:cs="Calibri"/>
          <w:color w:val="000000"/>
          <w:sz w:val="22"/>
          <w:szCs w:val="22"/>
          <w:lang w:eastAsia="en-GB"/>
        </w:rPr>
        <w:t> pants, kas paredz gadījumus, kad Transportlīdzekļu apdrošinātāju birojs ir tiesīgs iesniegt kreditora prasījumu un tā precizējumus, stājas spēkā vienlaikus ar grozījumiem Maksātnespējas likumā, kas paredz tiesības kreditoram precizēt kreditora prasījumu.".</w:t>
      </w:r>
    </w:p>
    <w:p w14:paraId="62468CD9" w14:textId="77777777" w:rsidR="007B53CA" w:rsidRPr="007B53CA" w:rsidRDefault="007B53CA" w:rsidP="007B53CA">
      <w:pPr>
        <w:ind w:firstLine="553"/>
        <w:textAlignment w:val="baseline"/>
        <w:rPr>
          <w:rFonts w:ascii="Calibri" w:eastAsia="Times New Roman" w:hAnsi="Calibri" w:cs="Calibri"/>
          <w:color w:val="000000"/>
          <w:sz w:val="22"/>
          <w:szCs w:val="22"/>
          <w:lang w:eastAsia="en-GB"/>
        </w:rPr>
      </w:pPr>
      <w:r w:rsidRPr="007B53CA">
        <w:rPr>
          <w:rFonts w:ascii="Calibri" w:eastAsia="Times New Roman" w:hAnsi="Calibri" w:cs="Calibri"/>
          <w:color w:val="000000"/>
          <w:sz w:val="22"/>
          <w:szCs w:val="22"/>
          <w:lang w:eastAsia="en-GB"/>
        </w:rPr>
        <w:t>7. Lūdzam precizēt anotācijas I sadaļas 2. punkta 8. apakšpunktā ietverto informāciju atbilstoši precizētā projekta 8. pantā paredzētajā likuma 44. panta otrajā daļā un 2.</w:t>
      </w:r>
      <w:r w:rsidRPr="007B53CA">
        <w:rPr>
          <w:rFonts w:ascii="Calibri" w:eastAsia="Times New Roman" w:hAnsi="Calibri" w:cs="Calibri"/>
          <w:color w:val="000000"/>
          <w:sz w:val="22"/>
          <w:szCs w:val="22"/>
          <w:vertAlign w:val="superscript"/>
          <w:lang w:eastAsia="en-GB"/>
        </w:rPr>
        <w:t>2</w:t>
      </w:r>
      <w:r w:rsidRPr="007B53CA">
        <w:rPr>
          <w:rFonts w:ascii="Calibri" w:eastAsia="Times New Roman" w:hAnsi="Calibri" w:cs="Calibri"/>
          <w:color w:val="000000"/>
          <w:sz w:val="22"/>
          <w:szCs w:val="22"/>
          <w:lang w:eastAsia="en-GB"/>
        </w:rPr>
        <w:t> daļā ietvertajam regulējumam.</w:t>
      </w:r>
    </w:p>
    <w:p w14:paraId="47964490" w14:textId="77777777" w:rsidR="007B53CA" w:rsidRPr="007B53CA" w:rsidRDefault="007B53CA" w:rsidP="007B53CA">
      <w:pPr>
        <w:ind w:firstLine="553"/>
        <w:textAlignment w:val="baseline"/>
        <w:rPr>
          <w:rFonts w:ascii="Calibri" w:eastAsia="Times New Roman" w:hAnsi="Calibri" w:cs="Calibri"/>
          <w:color w:val="000000"/>
          <w:sz w:val="22"/>
          <w:szCs w:val="22"/>
          <w:lang w:eastAsia="en-GB"/>
        </w:rPr>
      </w:pPr>
      <w:r w:rsidRPr="007B53CA">
        <w:rPr>
          <w:rFonts w:ascii="Calibri" w:eastAsia="Times New Roman" w:hAnsi="Calibri" w:cs="Calibri"/>
          <w:color w:val="000000"/>
          <w:sz w:val="22"/>
          <w:szCs w:val="22"/>
          <w:lang w:eastAsia="en-GB"/>
        </w:rPr>
        <w:t>8. Lūdzam papildināt anotācijas I sadaļas 2. punkta 12. apakšpunktā ietverto informāciju par projekta 12. pantā paredzēto likuma 47.</w:t>
      </w:r>
      <w:r w:rsidRPr="007B53CA">
        <w:rPr>
          <w:rFonts w:ascii="Calibri" w:eastAsia="Times New Roman" w:hAnsi="Calibri" w:cs="Calibri"/>
          <w:color w:val="000000"/>
          <w:sz w:val="22"/>
          <w:szCs w:val="22"/>
          <w:vertAlign w:val="superscript"/>
          <w:lang w:eastAsia="en-GB"/>
        </w:rPr>
        <w:t>1</w:t>
      </w:r>
      <w:r w:rsidRPr="007B53CA">
        <w:rPr>
          <w:rFonts w:ascii="Calibri" w:eastAsia="Times New Roman" w:hAnsi="Calibri" w:cs="Calibri"/>
          <w:color w:val="000000"/>
          <w:sz w:val="22"/>
          <w:szCs w:val="22"/>
          <w:lang w:eastAsia="en-GB"/>
        </w:rPr>
        <w:t> pantā ietverto regulējumu. Tā, piemēram, nav skaidrs, kādēļ tiek noteikta maksa 7000 </w:t>
      </w:r>
      <w:proofErr w:type="spellStart"/>
      <w:r w:rsidRPr="007B53CA">
        <w:rPr>
          <w:rFonts w:ascii="Calibri" w:eastAsia="Times New Roman" w:hAnsi="Calibri" w:cs="Calibri"/>
          <w:i/>
          <w:iCs/>
          <w:color w:val="000000"/>
          <w:sz w:val="22"/>
          <w:szCs w:val="22"/>
          <w:lang w:eastAsia="en-GB"/>
        </w:rPr>
        <w:t>euro</w:t>
      </w:r>
      <w:proofErr w:type="spellEnd"/>
      <w:r w:rsidRPr="007B53CA">
        <w:rPr>
          <w:rFonts w:ascii="Calibri" w:eastAsia="Times New Roman" w:hAnsi="Calibri" w:cs="Calibri"/>
          <w:i/>
          <w:iCs/>
          <w:color w:val="000000"/>
          <w:sz w:val="22"/>
          <w:szCs w:val="22"/>
          <w:lang w:eastAsia="en-GB"/>
        </w:rPr>
        <w:t> </w:t>
      </w:r>
      <w:r w:rsidRPr="007B53CA">
        <w:rPr>
          <w:rFonts w:ascii="Calibri" w:eastAsia="Times New Roman" w:hAnsi="Calibri" w:cs="Calibri"/>
          <w:color w:val="000000"/>
          <w:sz w:val="22"/>
          <w:szCs w:val="22"/>
          <w:lang w:eastAsia="en-GB"/>
        </w:rPr>
        <w:t>apmērā par dalību Transportlīdzekļu apdrošinātāju birojā.</w:t>
      </w:r>
    </w:p>
    <w:p w14:paraId="6AD11915" w14:textId="77777777" w:rsidR="007B53CA" w:rsidRPr="007B53CA" w:rsidRDefault="007B53CA" w:rsidP="007B53CA">
      <w:pPr>
        <w:ind w:firstLine="553"/>
        <w:textAlignment w:val="baseline"/>
        <w:rPr>
          <w:rFonts w:ascii="Calibri" w:eastAsia="Times New Roman" w:hAnsi="Calibri" w:cs="Calibri"/>
          <w:color w:val="000000"/>
          <w:sz w:val="22"/>
          <w:szCs w:val="22"/>
          <w:lang w:eastAsia="en-GB"/>
        </w:rPr>
      </w:pPr>
      <w:r w:rsidRPr="007B53CA">
        <w:rPr>
          <w:rFonts w:ascii="Calibri" w:eastAsia="Times New Roman" w:hAnsi="Calibri" w:cs="Calibri"/>
          <w:color w:val="000000"/>
          <w:sz w:val="22"/>
          <w:szCs w:val="22"/>
          <w:lang w:eastAsia="en-GB"/>
        </w:rPr>
        <w:t>9. Lūdzam precizēt anotāciju, jo atbilstoši Ministru kabineta 2021. gada 7. septembra noteikumu Nr. 617 "Tiesību akta projekta sākotnējās ietekmes izvērtēšanas kārtība" 9.19. apakšpunktam informāciju par ar projektu saistīto Eiropas Savienības Tiesas lietu C-707/19 K.S un tās apsvērumiem nepieciešams ietvert anotācijas V sadaļā.</w:t>
      </w:r>
    </w:p>
    <w:p w14:paraId="72BC337C" w14:textId="77777777" w:rsidR="007B53CA" w:rsidRPr="007B53CA" w:rsidRDefault="007B53CA" w:rsidP="007B53CA">
      <w:pPr>
        <w:ind w:firstLine="553"/>
        <w:textAlignment w:val="baseline"/>
        <w:rPr>
          <w:rFonts w:ascii="Calibri" w:eastAsia="Times New Roman" w:hAnsi="Calibri" w:cs="Calibri"/>
          <w:color w:val="000000"/>
          <w:sz w:val="22"/>
          <w:szCs w:val="22"/>
          <w:lang w:eastAsia="en-GB"/>
        </w:rPr>
      </w:pPr>
      <w:r w:rsidRPr="007B53CA">
        <w:rPr>
          <w:rFonts w:ascii="Calibri" w:eastAsia="Times New Roman" w:hAnsi="Calibri" w:cs="Calibri"/>
          <w:color w:val="000000"/>
          <w:sz w:val="22"/>
          <w:szCs w:val="22"/>
          <w:lang w:eastAsia="en-GB"/>
        </w:rPr>
        <w:t>Vienlaikus izsakām šādu priekšlikumu:</w:t>
      </w:r>
    </w:p>
    <w:p w14:paraId="39101BCD" w14:textId="77777777" w:rsidR="007B53CA" w:rsidRPr="007B53CA" w:rsidRDefault="007B53CA" w:rsidP="007B53CA">
      <w:pPr>
        <w:ind w:firstLine="553"/>
        <w:textAlignment w:val="baseline"/>
        <w:rPr>
          <w:rFonts w:ascii="Calibri" w:eastAsia="Times New Roman" w:hAnsi="Calibri" w:cs="Calibri"/>
          <w:color w:val="000000"/>
          <w:sz w:val="22"/>
          <w:szCs w:val="22"/>
          <w:lang w:eastAsia="en-GB"/>
        </w:rPr>
      </w:pPr>
      <w:r w:rsidRPr="007B53CA">
        <w:rPr>
          <w:rFonts w:ascii="Calibri" w:eastAsia="Times New Roman" w:hAnsi="Calibri" w:cs="Calibri"/>
          <w:color w:val="000000"/>
          <w:sz w:val="22"/>
          <w:szCs w:val="22"/>
          <w:lang w:eastAsia="en-GB"/>
        </w:rPr>
        <w:t>Ievērojot, ka šobrīd ir 2022. gada septembris, lūdzam aktualizēt anotācijas I sadaļas 2. punkta 5. apakšpunktā ietverto informāciju par pieņemtajiem lēmumiem sertificēšanas jomā.</w:t>
      </w:r>
    </w:p>
    <w:p w14:paraId="3A0755C6" w14:textId="77777777" w:rsidR="007B53CA" w:rsidRPr="007B53CA" w:rsidRDefault="007B53CA" w:rsidP="007B53CA">
      <w:pPr>
        <w:jc w:val="both"/>
        <w:textAlignment w:val="baseline"/>
        <w:rPr>
          <w:rFonts w:ascii="Calibri" w:eastAsia="Times New Roman" w:hAnsi="Calibri" w:cs="Calibri"/>
          <w:color w:val="000000"/>
          <w:sz w:val="22"/>
          <w:szCs w:val="22"/>
          <w:lang w:eastAsia="en-GB"/>
        </w:rPr>
      </w:pPr>
      <w:r w:rsidRPr="007B53CA">
        <w:rPr>
          <w:rFonts w:ascii="inherit" w:eastAsia="Times New Roman" w:hAnsi="inherit" w:cs="Calibri"/>
          <w:color w:val="000000"/>
          <w:bdr w:val="none" w:sz="0" w:space="0" w:color="auto" w:frame="1"/>
          <w:lang w:eastAsia="en-GB"/>
        </w:rPr>
        <w:t> </w:t>
      </w:r>
    </w:p>
    <w:p w14:paraId="46725FA7" w14:textId="77777777" w:rsidR="007B53CA" w:rsidRPr="007B53CA" w:rsidRDefault="007B53CA" w:rsidP="007B53CA">
      <w:pPr>
        <w:shd w:val="clear" w:color="auto" w:fill="FFFFFF"/>
        <w:textAlignment w:val="baseline"/>
        <w:rPr>
          <w:rFonts w:ascii="Calibri" w:eastAsia="Times New Roman" w:hAnsi="Calibri" w:cs="Calibri"/>
          <w:color w:val="000000"/>
          <w:sz w:val="22"/>
          <w:szCs w:val="22"/>
          <w:lang w:eastAsia="en-GB"/>
        </w:rPr>
      </w:pPr>
      <w:r w:rsidRPr="007B53CA">
        <w:rPr>
          <w:rFonts w:ascii="Arial" w:eastAsia="Times New Roman" w:hAnsi="Arial" w:cs="Arial"/>
          <w:color w:val="000000"/>
          <w:sz w:val="20"/>
          <w:szCs w:val="20"/>
          <w:bdr w:val="none" w:sz="0" w:space="0" w:color="auto" w:frame="1"/>
          <w:lang w:eastAsia="en-GB"/>
        </w:rPr>
        <w:t>Ar cieņu</w:t>
      </w:r>
    </w:p>
    <w:p w14:paraId="2CCC5187" w14:textId="77777777" w:rsidR="007B53CA" w:rsidRPr="007B53CA" w:rsidRDefault="007B53CA" w:rsidP="007B53CA">
      <w:pPr>
        <w:shd w:val="clear" w:color="auto" w:fill="FFFFFF"/>
        <w:textAlignment w:val="baseline"/>
        <w:rPr>
          <w:rFonts w:ascii="Calibri" w:eastAsia="Times New Roman" w:hAnsi="Calibri" w:cs="Calibri"/>
          <w:color w:val="000000"/>
          <w:sz w:val="22"/>
          <w:szCs w:val="22"/>
          <w:lang w:eastAsia="en-GB"/>
        </w:rPr>
      </w:pPr>
      <w:r w:rsidRPr="007B53CA">
        <w:rPr>
          <w:rFonts w:ascii="Arial" w:eastAsia="Times New Roman" w:hAnsi="Arial" w:cs="Arial"/>
          <w:b/>
          <w:bCs/>
          <w:color w:val="000000"/>
          <w:sz w:val="20"/>
          <w:szCs w:val="20"/>
          <w:bdr w:val="none" w:sz="0" w:space="0" w:color="auto" w:frame="1"/>
          <w:lang w:eastAsia="en-GB"/>
        </w:rPr>
        <w:t>Ilze Māliņa</w:t>
      </w:r>
    </w:p>
    <w:p w14:paraId="356062F0" w14:textId="77777777" w:rsidR="007B53CA" w:rsidRPr="007B53CA" w:rsidRDefault="007B53CA" w:rsidP="007B53CA">
      <w:pPr>
        <w:shd w:val="clear" w:color="auto" w:fill="FFFFFF"/>
        <w:textAlignment w:val="baseline"/>
        <w:rPr>
          <w:rFonts w:ascii="Calibri" w:eastAsia="Times New Roman" w:hAnsi="Calibri" w:cs="Calibri"/>
          <w:color w:val="000000"/>
          <w:sz w:val="22"/>
          <w:szCs w:val="22"/>
          <w:lang w:eastAsia="en-GB"/>
        </w:rPr>
      </w:pPr>
      <w:r w:rsidRPr="007B53CA">
        <w:rPr>
          <w:rFonts w:ascii="Arial" w:eastAsia="Times New Roman" w:hAnsi="Arial" w:cs="Arial"/>
          <w:color w:val="000000"/>
          <w:sz w:val="20"/>
          <w:szCs w:val="20"/>
          <w:bdr w:val="none" w:sz="0" w:space="0" w:color="auto" w:frame="1"/>
          <w:lang w:eastAsia="en-GB"/>
        </w:rPr>
        <w:t>Tieslietu ministrijas</w:t>
      </w:r>
    </w:p>
    <w:p w14:paraId="4DC0622F" w14:textId="77777777" w:rsidR="007B53CA" w:rsidRPr="007B53CA" w:rsidRDefault="007B53CA" w:rsidP="007B53CA">
      <w:pPr>
        <w:shd w:val="clear" w:color="auto" w:fill="FFFFFF"/>
        <w:textAlignment w:val="baseline"/>
        <w:rPr>
          <w:rFonts w:ascii="Calibri" w:eastAsia="Times New Roman" w:hAnsi="Calibri" w:cs="Calibri"/>
          <w:color w:val="000000"/>
          <w:sz w:val="22"/>
          <w:szCs w:val="22"/>
          <w:lang w:eastAsia="en-GB"/>
        </w:rPr>
      </w:pPr>
      <w:r w:rsidRPr="007B53CA">
        <w:rPr>
          <w:rFonts w:ascii="Arial" w:eastAsia="Times New Roman" w:hAnsi="Arial" w:cs="Arial"/>
          <w:color w:val="000000"/>
          <w:sz w:val="20"/>
          <w:szCs w:val="20"/>
          <w:bdr w:val="none" w:sz="0" w:space="0" w:color="auto" w:frame="1"/>
          <w:lang w:eastAsia="en-GB"/>
        </w:rPr>
        <w:t>Valststiesību departamenta</w:t>
      </w:r>
    </w:p>
    <w:p w14:paraId="68838C79" w14:textId="77777777" w:rsidR="007B53CA" w:rsidRPr="007B53CA" w:rsidRDefault="007B53CA" w:rsidP="007B53CA">
      <w:pPr>
        <w:shd w:val="clear" w:color="auto" w:fill="FFFFFF"/>
        <w:textAlignment w:val="baseline"/>
        <w:rPr>
          <w:rFonts w:ascii="Calibri" w:eastAsia="Times New Roman" w:hAnsi="Calibri" w:cs="Calibri"/>
          <w:color w:val="000000"/>
          <w:sz w:val="22"/>
          <w:szCs w:val="22"/>
          <w:lang w:eastAsia="en-GB"/>
        </w:rPr>
      </w:pPr>
      <w:r w:rsidRPr="007B53CA">
        <w:rPr>
          <w:rFonts w:ascii="Arial" w:eastAsia="Times New Roman" w:hAnsi="Arial" w:cs="Arial"/>
          <w:color w:val="000000"/>
          <w:sz w:val="20"/>
          <w:szCs w:val="20"/>
          <w:bdr w:val="none" w:sz="0" w:space="0" w:color="auto" w:frame="1"/>
          <w:lang w:eastAsia="en-GB"/>
        </w:rPr>
        <w:t>Administratīvo tiesību nodaļas juriste</w:t>
      </w:r>
    </w:p>
    <w:p w14:paraId="19B0F146" w14:textId="77777777" w:rsidR="007B53CA" w:rsidRPr="007B53CA" w:rsidRDefault="007B53CA" w:rsidP="007B53CA">
      <w:pPr>
        <w:shd w:val="clear" w:color="auto" w:fill="FFFFFF"/>
        <w:textAlignment w:val="baseline"/>
        <w:rPr>
          <w:rFonts w:ascii="Calibri" w:eastAsia="Times New Roman" w:hAnsi="Calibri" w:cs="Calibri"/>
          <w:color w:val="000000"/>
          <w:sz w:val="22"/>
          <w:szCs w:val="22"/>
          <w:lang w:eastAsia="en-GB"/>
        </w:rPr>
      </w:pPr>
      <w:r w:rsidRPr="007B53CA">
        <w:rPr>
          <w:rFonts w:ascii="Arial" w:eastAsia="Times New Roman" w:hAnsi="Arial" w:cs="Arial"/>
          <w:color w:val="000000"/>
          <w:sz w:val="20"/>
          <w:szCs w:val="20"/>
          <w:bdr w:val="none" w:sz="0" w:space="0" w:color="auto" w:frame="1"/>
          <w:lang w:eastAsia="en-GB"/>
        </w:rPr>
        <w:t>tālr. 67036910</w:t>
      </w:r>
    </w:p>
    <w:p w14:paraId="3424D2D0" w14:textId="77777777" w:rsidR="007B53CA" w:rsidRPr="007B53CA" w:rsidRDefault="007B53CA" w:rsidP="007B53CA">
      <w:pPr>
        <w:shd w:val="clear" w:color="auto" w:fill="FFFFFF"/>
        <w:textAlignment w:val="baseline"/>
        <w:rPr>
          <w:rFonts w:ascii="Calibri" w:eastAsia="Times New Roman" w:hAnsi="Calibri" w:cs="Calibri"/>
          <w:color w:val="000000"/>
          <w:sz w:val="22"/>
          <w:szCs w:val="22"/>
          <w:lang w:eastAsia="en-GB"/>
        </w:rPr>
      </w:pPr>
      <w:r w:rsidRPr="007B53CA">
        <w:rPr>
          <w:rFonts w:ascii="Arial" w:eastAsia="Times New Roman" w:hAnsi="Arial" w:cs="Arial"/>
          <w:color w:val="000000"/>
          <w:sz w:val="20"/>
          <w:szCs w:val="20"/>
          <w:bdr w:val="none" w:sz="0" w:space="0" w:color="auto" w:frame="1"/>
          <w:lang w:eastAsia="en-GB"/>
        </w:rPr>
        <w:t>Juridiskā adrese: Brīvības bulvārī 36, Rīgā, LV-1536</w:t>
      </w:r>
    </w:p>
    <w:p w14:paraId="03B83AE0" w14:textId="77777777" w:rsidR="007B53CA" w:rsidRPr="007B53CA" w:rsidRDefault="007B53CA" w:rsidP="007B53CA">
      <w:pPr>
        <w:shd w:val="clear" w:color="auto" w:fill="FFFFFF"/>
        <w:textAlignment w:val="baseline"/>
        <w:rPr>
          <w:rFonts w:ascii="Calibri" w:eastAsia="Times New Roman" w:hAnsi="Calibri" w:cs="Calibri"/>
          <w:color w:val="000000"/>
          <w:sz w:val="22"/>
          <w:szCs w:val="22"/>
          <w:lang w:eastAsia="en-GB"/>
        </w:rPr>
      </w:pPr>
      <w:r w:rsidRPr="007B53CA">
        <w:rPr>
          <w:rFonts w:ascii="Arial" w:eastAsia="Times New Roman" w:hAnsi="Arial" w:cs="Arial"/>
          <w:color w:val="000000"/>
          <w:sz w:val="20"/>
          <w:szCs w:val="20"/>
          <w:bdr w:val="none" w:sz="0" w:space="0" w:color="auto" w:frame="1"/>
          <w:lang w:eastAsia="en-GB"/>
        </w:rPr>
        <w:t>Atrašanās vieta: Raiņa bulvārī 15, Rīgā, LV-1050</w:t>
      </w:r>
    </w:p>
    <w:p w14:paraId="4DB75786" w14:textId="77777777" w:rsidR="007B53CA" w:rsidRPr="007B53CA" w:rsidRDefault="007B53CA" w:rsidP="007B53CA">
      <w:pPr>
        <w:shd w:val="clear" w:color="auto" w:fill="FFFFFF"/>
        <w:textAlignment w:val="baseline"/>
        <w:rPr>
          <w:rFonts w:ascii="Calibri" w:eastAsia="Times New Roman" w:hAnsi="Calibri" w:cs="Calibri"/>
          <w:color w:val="000000"/>
          <w:sz w:val="22"/>
          <w:szCs w:val="22"/>
          <w:lang w:eastAsia="en-GB"/>
        </w:rPr>
      </w:pPr>
      <w:r w:rsidRPr="007B53CA">
        <w:rPr>
          <w:rFonts w:ascii="Arial" w:eastAsia="Times New Roman" w:hAnsi="Arial" w:cs="Arial"/>
          <w:color w:val="000000"/>
          <w:sz w:val="20"/>
          <w:szCs w:val="20"/>
          <w:bdr w:val="none" w:sz="0" w:space="0" w:color="auto" w:frame="1"/>
          <w:lang w:eastAsia="en-GB"/>
        </w:rPr>
        <w:t> </w:t>
      </w:r>
    </w:p>
    <w:p w14:paraId="0DA599B5" w14:textId="77777777" w:rsidR="007B53CA" w:rsidRPr="007B53CA" w:rsidRDefault="007B53CA" w:rsidP="007B53CA">
      <w:pPr>
        <w:textAlignment w:val="baseline"/>
        <w:rPr>
          <w:rFonts w:ascii="Calibri" w:eastAsia="Times New Roman" w:hAnsi="Calibri" w:cs="Calibri"/>
          <w:color w:val="000000"/>
          <w:sz w:val="22"/>
          <w:szCs w:val="22"/>
          <w:lang w:eastAsia="en-GB"/>
        </w:rPr>
      </w:pPr>
      <w:r w:rsidRPr="007B53CA">
        <w:rPr>
          <w:rFonts w:ascii="Arial" w:eastAsia="Times New Roman" w:hAnsi="Arial" w:cs="Arial"/>
          <w:b/>
          <w:bCs/>
          <w:color w:val="000000"/>
          <w:sz w:val="20"/>
          <w:szCs w:val="20"/>
          <w:bdr w:val="none" w:sz="0" w:space="0" w:color="auto" w:frame="1"/>
          <w:lang w:eastAsia="en-GB"/>
        </w:rPr>
        <w:t>Sandra Vīgante</w:t>
      </w:r>
    </w:p>
    <w:p w14:paraId="2506690E" w14:textId="77777777" w:rsidR="007B53CA" w:rsidRPr="007B53CA" w:rsidRDefault="007B53CA" w:rsidP="007B53CA">
      <w:pPr>
        <w:textAlignment w:val="baseline"/>
        <w:rPr>
          <w:rFonts w:ascii="Calibri" w:eastAsia="Times New Roman" w:hAnsi="Calibri" w:cs="Calibri"/>
          <w:color w:val="000000"/>
          <w:sz w:val="22"/>
          <w:szCs w:val="22"/>
          <w:lang w:eastAsia="en-GB"/>
        </w:rPr>
      </w:pPr>
      <w:r w:rsidRPr="007B53CA">
        <w:rPr>
          <w:rFonts w:ascii="Arial" w:eastAsia="Times New Roman" w:hAnsi="Arial" w:cs="Arial"/>
          <w:color w:val="000000"/>
          <w:sz w:val="20"/>
          <w:szCs w:val="20"/>
          <w:bdr w:val="none" w:sz="0" w:space="0" w:color="auto" w:frame="1"/>
          <w:lang w:eastAsia="en-GB"/>
        </w:rPr>
        <w:t>Tieslietu ministrijas</w:t>
      </w:r>
    </w:p>
    <w:p w14:paraId="01F90FB0" w14:textId="77777777" w:rsidR="007B53CA" w:rsidRPr="007B53CA" w:rsidRDefault="007B53CA" w:rsidP="007B53CA">
      <w:pPr>
        <w:textAlignment w:val="baseline"/>
        <w:rPr>
          <w:rFonts w:ascii="Calibri" w:eastAsia="Times New Roman" w:hAnsi="Calibri" w:cs="Calibri"/>
          <w:color w:val="000000"/>
          <w:sz w:val="22"/>
          <w:szCs w:val="22"/>
          <w:lang w:eastAsia="en-GB"/>
        </w:rPr>
      </w:pPr>
      <w:r w:rsidRPr="007B53CA">
        <w:rPr>
          <w:rFonts w:ascii="Arial" w:eastAsia="Times New Roman" w:hAnsi="Arial" w:cs="Arial"/>
          <w:color w:val="000000"/>
          <w:sz w:val="20"/>
          <w:szCs w:val="20"/>
          <w:bdr w:val="none" w:sz="0" w:space="0" w:color="auto" w:frame="1"/>
          <w:lang w:eastAsia="en-GB"/>
        </w:rPr>
        <w:t>Valststiesību departamenta</w:t>
      </w:r>
    </w:p>
    <w:p w14:paraId="4ADB7EFF" w14:textId="77777777" w:rsidR="007B53CA" w:rsidRPr="007B53CA" w:rsidRDefault="007B53CA" w:rsidP="007B53CA">
      <w:pPr>
        <w:textAlignment w:val="baseline"/>
        <w:rPr>
          <w:rFonts w:ascii="Calibri" w:eastAsia="Times New Roman" w:hAnsi="Calibri" w:cs="Calibri"/>
          <w:color w:val="000000"/>
          <w:sz w:val="22"/>
          <w:szCs w:val="22"/>
          <w:lang w:eastAsia="en-GB"/>
        </w:rPr>
      </w:pPr>
      <w:r w:rsidRPr="007B53CA">
        <w:rPr>
          <w:rFonts w:ascii="Arial" w:eastAsia="Times New Roman" w:hAnsi="Arial" w:cs="Arial"/>
          <w:color w:val="000000"/>
          <w:sz w:val="20"/>
          <w:szCs w:val="20"/>
          <w:bdr w:val="none" w:sz="0" w:space="0" w:color="auto" w:frame="1"/>
          <w:lang w:eastAsia="en-GB"/>
        </w:rPr>
        <w:t>Starptautisko publisko tiesību nodaļas vadītāja</w:t>
      </w:r>
    </w:p>
    <w:p w14:paraId="61A3CEFC" w14:textId="77777777" w:rsidR="007B53CA" w:rsidRPr="007B53CA" w:rsidRDefault="007B53CA" w:rsidP="007B53CA">
      <w:pPr>
        <w:textAlignment w:val="baseline"/>
        <w:rPr>
          <w:rFonts w:ascii="Calibri" w:eastAsia="Times New Roman" w:hAnsi="Calibri" w:cs="Calibri"/>
          <w:color w:val="000000"/>
          <w:sz w:val="22"/>
          <w:szCs w:val="22"/>
          <w:lang w:eastAsia="en-GB"/>
        </w:rPr>
      </w:pPr>
      <w:r w:rsidRPr="007B53CA">
        <w:rPr>
          <w:rFonts w:ascii="Arial" w:eastAsia="Times New Roman" w:hAnsi="Arial" w:cs="Arial"/>
          <w:color w:val="000000"/>
          <w:sz w:val="20"/>
          <w:szCs w:val="20"/>
          <w:bdr w:val="none" w:sz="0" w:space="0" w:color="auto" w:frame="1"/>
          <w:lang w:eastAsia="en-GB"/>
        </w:rPr>
        <w:t>tālr. 67036975</w:t>
      </w:r>
    </w:p>
    <w:p w14:paraId="64487BED" w14:textId="77777777" w:rsidR="007B53CA" w:rsidRPr="007B53CA" w:rsidRDefault="007B53CA" w:rsidP="007B53CA">
      <w:pPr>
        <w:shd w:val="clear" w:color="auto" w:fill="FFFFFF"/>
        <w:textAlignment w:val="baseline"/>
        <w:rPr>
          <w:rFonts w:ascii="Calibri" w:eastAsia="Times New Roman" w:hAnsi="Calibri" w:cs="Calibri"/>
          <w:color w:val="000000"/>
          <w:sz w:val="22"/>
          <w:szCs w:val="22"/>
          <w:lang w:eastAsia="en-GB"/>
        </w:rPr>
      </w:pPr>
      <w:r w:rsidRPr="007B53CA">
        <w:rPr>
          <w:rFonts w:ascii="Arial" w:eastAsia="Times New Roman" w:hAnsi="Arial" w:cs="Arial"/>
          <w:color w:val="000000"/>
          <w:sz w:val="20"/>
          <w:szCs w:val="20"/>
          <w:bdr w:val="none" w:sz="0" w:space="0" w:color="auto" w:frame="1"/>
          <w:lang w:eastAsia="en-GB"/>
        </w:rPr>
        <w:t>Juridiskā adrese: Brīvības bulvārī 36, Rīgā, LV-1536</w:t>
      </w:r>
    </w:p>
    <w:p w14:paraId="4BC71FE5" w14:textId="77777777" w:rsidR="007B53CA" w:rsidRPr="007B53CA" w:rsidRDefault="007B53CA" w:rsidP="007B53CA">
      <w:pPr>
        <w:shd w:val="clear" w:color="auto" w:fill="FFFFFF"/>
        <w:textAlignment w:val="baseline"/>
        <w:rPr>
          <w:rFonts w:ascii="Calibri" w:eastAsia="Times New Roman" w:hAnsi="Calibri" w:cs="Calibri"/>
          <w:color w:val="000000"/>
          <w:sz w:val="22"/>
          <w:szCs w:val="22"/>
          <w:lang w:eastAsia="en-GB"/>
        </w:rPr>
      </w:pPr>
      <w:r w:rsidRPr="007B53CA">
        <w:rPr>
          <w:rFonts w:ascii="Arial" w:eastAsia="Times New Roman" w:hAnsi="Arial" w:cs="Arial"/>
          <w:color w:val="000000"/>
          <w:sz w:val="20"/>
          <w:szCs w:val="20"/>
          <w:bdr w:val="none" w:sz="0" w:space="0" w:color="auto" w:frame="1"/>
          <w:lang w:eastAsia="en-GB"/>
        </w:rPr>
        <w:t>Atrašanās vieta: Raiņa bulvārī 15, Rīgā, LV-1050</w:t>
      </w:r>
    </w:p>
    <w:p w14:paraId="311F6424" w14:textId="77777777" w:rsidR="007B53CA" w:rsidRPr="007B53CA" w:rsidRDefault="007B53CA" w:rsidP="007B53CA">
      <w:pPr>
        <w:shd w:val="clear" w:color="auto" w:fill="FFFFFF"/>
        <w:textAlignment w:val="baseline"/>
        <w:rPr>
          <w:rFonts w:ascii="Calibri" w:eastAsia="Times New Roman" w:hAnsi="Calibri" w:cs="Calibri"/>
          <w:color w:val="000000"/>
          <w:sz w:val="22"/>
          <w:szCs w:val="22"/>
          <w:lang w:eastAsia="en-GB"/>
        </w:rPr>
      </w:pPr>
      <w:r w:rsidRPr="007B53CA">
        <w:rPr>
          <w:rFonts w:ascii="Arial" w:eastAsia="Times New Roman" w:hAnsi="Arial" w:cs="Arial"/>
          <w:color w:val="000000"/>
          <w:sz w:val="20"/>
          <w:szCs w:val="20"/>
          <w:bdr w:val="none" w:sz="0" w:space="0" w:color="auto" w:frame="1"/>
          <w:lang w:eastAsia="en-GB"/>
        </w:rPr>
        <w:t> </w:t>
      </w:r>
    </w:p>
    <w:p w14:paraId="1C518BA7" w14:textId="77777777" w:rsidR="007B53CA" w:rsidRPr="007B53CA" w:rsidRDefault="007B53CA" w:rsidP="007B53CA">
      <w:pPr>
        <w:shd w:val="clear" w:color="auto" w:fill="FFFFFF"/>
        <w:textAlignment w:val="baseline"/>
        <w:rPr>
          <w:rFonts w:ascii="Calibri" w:eastAsia="Times New Roman" w:hAnsi="Calibri" w:cs="Calibri"/>
          <w:color w:val="000000"/>
          <w:sz w:val="22"/>
          <w:szCs w:val="22"/>
          <w:lang w:eastAsia="en-GB"/>
        </w:rPr>
      </w:pPr>
      <w:r w:rsidRPr="007B53CA">
        <w:rPr>
          <w:rFonts w:ascii="Arial" w:eastAsia="Times New Roman" w:hAnsi="Arial" w:cs="Arial"/>
          <w:b/>
          <w:bCs/>
          <w:color w:val="000000"/>
          <w:spacing w:val="4"/>
          <w:sz w:val="20"/>
          <w:szCs w:val="20"/>
          <w:bdr w:val="none" w:sz="0" w:space="0" w:color="auto" w:frame="1"/>
          <w:lang w:eastAsia="en-GB"/>
        </w:rPr>
        <w:t>Liene Ozola</w:t>
      </w:r>
    </w:p>
    <w:p w14:paraId="7F673F96" w14:textId="77777777" w:rsidR="007B53CA" w:rsidRPr="007B53CA" w:rsidRDefault="007B53CA" w:rsidP="007B53CA">
      <w:pPr>
        <w:shd w:val="clear" w:color="auto" w:fill="FFFFFF"/>
        <w:textAlignment w:val="baseline"/>
        <w:rPr>
          <w:rFonts w:ascii="Calibri" w:eastAsia="Times New Roman" w:hAnsi="Calibri" w:cs="Calibri"/>
          <w:color w:val="000000"/>
          <w:sz w:val="22"/>
          <w:szCs w:val="22"/>
          <w:lang w:eastAsia="en-GB"/>
        </w:rPr>
      </w:pPr>
      <w:r w:rsidRPr="007B53CA">
        <w:rPr>
          <w:rFonts w:ascii="Arial" w:eastAsia="Times New Roman" w:hAnsi="Arial" w:cs="Arial"/>
          <w:color w:val="000000"/>
          <w:sz w:val="20"/>
          <w:szCs w:val="20"/>
          <w:bdr w:val="none" w:sz="0" w:space="0" w:color="auto" w:frame="1"/>
          <w:lang w:eastAsia="en-GB"/>
        </w:rPr>
        <w:t>Tieslietu ministrijas</w:t>
      </w:r>
    </w:p>
    <w:p w14:paraId="36FF46FE" w14:textId="77777777" w:rsidR="007B53CA" w:rsidRPr="007B53CA" w:rsidRDefault="007B53CA" w:rsidP="007B53CA">
      <w:pPr>
        <w:shd w:val="clear" w:color="auto" w:fill="FFFFFF"/>
        <w:textAlignment w:val="baseline"/>
        <w:rPr>
          <w:rFonts w:ascii="Times New Roman" w:eastAsia="Times New Roman" w:hAnsi="Times New Roman" w:cs="Times New Roman"/>
          <w:color w:val="000000"/>
          <w:lang w:eastAsia="en-GB"/>
        </w:rPr>
      </w:pPr>
      <w:proofErr w:type="spellStart"/>
      <w:r w:rsidRPr="007B53CA">
        <w:rPr>
          <w:rFonts w:ascii="Arial" w:eastAsia="Times New Roman" w:hAnsi="Arial" w:cs="Arial"/>
          <w:color w:val="000000"/>
          <w:sz w:val="20"/>
          <w:szCs w:val="20"/>
          <w:bdr w:val="none" w:sz="0" w:space="0" w:color="auto" w:frame="1"/>
          <w:lang w:val="en-US" w:eastAsia="en-GB"/>
        </w:rPr>
        <w:t>Nozaru</w:t>
      </w:r>
      <w:proofErr w:type="spellEnd"/>
      <w:r w:rsidRPr="007B53CA">
        <w:rPr>
          <w:rFonts w:ascii="Arial" w:eastAsia="Times New Roman" w:hAnsi="Arial" w:cs="Arial"/>
          <w:color w:val="000000"/>
          <w:sz w:val="20"/>
          <w:szCs w:val="20"/>
          <w:bdr w:val="none" w:sz="0" w:space="0" w:color="auto" w:frame="1"/>
          <w:lang w:val="en-US" w:eastAsia="en-GB"/>
        </w:rPr>
        <w:t xml:space="preserve"> </w:t>
      </w:r>
      <w:proofErr w:type="spellStart"/>
      <w:r w:rsidRPr="007B53CA">
        <w:rPr>
          <w:rFonts w:ascii="Arial" w:eastAsia="Times New Roman" w:hAnsi="Arial" w:cs="Arial"/>
          <w:color w:val="000000"/>
          <w:sz w:val="20"/>
          <w:szCs w:val="20"/>
          <w:bdr w:val="none" w:sz="0" w:space="0" w:color="auto" w:frame="1"/>
          <w:lang w:val="en-US" w:eastAsia="en-GB"/>
        </w:rPr>
        <w:t>politikas</w:t>
      </w:r>
      <w:proofErr w:type="spellEnd"/>
      <w:r w:rsidRPr="007B53CA">
        <w:rPr>
          <w:rFonts w:ascii="Arial" w:eastAsia="Times New Roman" w:hAnsi="Arial" w:cs="Arial"/>
          <w:color w:val="000000"/>
          <w:sz w:val="20"/>
          <w:szCs w:val="20"/>
          <w:bdr w:val="none" w:sz="0" w:space="0" w:color="auto" w:frame="1"/>
          <w:lang w:val="en-US" w:eastAsia="en-GB"/>
        </w:rPr>
        <w:t xml:space="preserve"> </w:t>
      </w:r>
      <w:proofErr w:type="spellStart"/>
      <w:r w:rsidRPr="007B53CA">
        <w:rPr>
          <w:rFonts w:ascii="Arial" w:eastAsia="Times New Roman" w:hAnsi="Arial" w:cs="Arial"/>
          <w:color w:val="000000"/>
          <w:sz w:val="20"/>
          <w:szCs w:val="20"/>
          <w:bdr w:val="none" w:sz="0" w:space="0" w:color="auto" w:frame="1"/>
          <w:lang w:val="en-US" w:eastAsia="en-GB"/>
        </w:rPr>
        <w:t>departamenta</w:t>
      </w:r>
      <w:proofErr w:type="spellEnd"/>
    </w:p>
    <w:p w14:paraId="7A534E85" w14:textId="77777777" w:rsidR="007B53CA" w:rsidRPr="007B53CA" w:rsidRDefault="007B53CA" w:rsidP="007B53CA">
      <w:pPr>
        <w:shd w:val="clear" w:color="auto" w:fill="FFFFFF"/>
        <w:textAlignment w:val="baseline"/>
        <w:rPr>
          <w:rFonts w:ascii="Times New Roman" w:eastAsia="Times New Roman" w:hAnsi="Times New Roman" w:cs="Times New Roman"/>
          <w:color w:val="000000"/>
          <w:lang w:eastAsia="en-GB"/>
        </w:rPr>
      </w:pPr>
      <w:proofErr w:type="spellStart"/>
      <w:r w:rsidRPr="007B53CA">
        <w:rPr>
          <w:rFonts w:ascii="Arial" w:eastAsia="Times New Roman" w:hAnsi="Arial" w:cs="Arial"/>
          <w:color w:val="000000"/>
          <w:sz w:val="20"/>
          <w:szCs w:val="20"/>
          <w:bdr w:val="none" w:sz="0" w:space="0" w:color="auto" w:frame="1"/>
          <w:lang w:val="en-US" w:eastAsia="en-GB"/>
        </w:rPr>
        <w:t>Politikas</w:t>
      </w:r>
      <w:proofErr w:type="spellEnd"/>
      <w:r w:rsidRPr="007B53CA">
        <w:rPr>
          <w:rFonts w:ascii="Arial" w:eastAsia="Times New Roman" w:hAnsi="Arial" w:cs="Arial"/>
          <w:color w:val="000000"/>
          <w:sz w:val="20"/>
          <w:szCs w:val="20"/>
          <w:bdr w:val="none" w:sz="0" w:space="0" w:color="auto" w:frame="1"/>
          <w:lang w:val="en-US" w:eastAsia="en-GB"/>
        </w:rPr>
        <w:t xml:space="preserve"> </w:t>
      </w:r>
      <w:proofErr w:type="spellStart"/>
      <w:r w:rsidRPr="007B53CA">
        <w:rPr>
          <w:rFonts w:ascii="Arial" w:eastAsia="Times New Roman" w:hAnsi="Arial" w:cs="Arial"/>
          <w:color w:val="000000"/>
          <w:sz w:val="20"/>
          <w:szCs w:val="20"/>
          <w:bdr w:val="none" w:sz="0" w:space="0" w:color="auto" w:frame="1"/>
          <w:lang w:val="en-US" w:eastAsia="en-GB"/>
        </w:rPr>
        <w:t>izstrādes</w:t>
      </w:r>
      <w:proofErr w:type="spellEnd"/>
      <w:r w:rsidRPr="007B53CA">
        <w:rPr>
          <w:rFonts w:ascii="Arial" w:eastAsia="Times New Roman" w:hAnsi="Arial" w:cs="Arial"/>
          <w:color w:val="000000"/>
          <w:sz w:val="20"/>
          <w:szCs w:val="20"/>
          <w:bdr w:val="none" w:sz="0" w:space="0" w:color="auto" w:frame="1"/>
          <w:lang w:val="en-US" w:eastAsia="en-GB"/>
        </w:rPr>
        <w:t xml:space="preserve"> un </w:t>
      </w:r>
      <w:proofErr w:type="spellStart"/>
      <w:r w:rsidRPr="007B53CA">
        <w:rPr>
          <w:rFonts w:ascii="Arial" w:eastAsia="Times New Roman" w:hAnsi="Arial" w:cs="Arial"/>
          <w:color w:val="000000"/>
          <w:sz w:val="20"/>
          <w:szCs w:val="20"/>
          <w:bdr w:val="none" w:sz="0" w:space="0" w:color="auto" w:frame="1"/>
          <w:lang w:val="en-US" w:eastAsia="en-GB"/>
        </w:rPr>
        <w:t>reliģijas</w:t>
      </w:r>
      <w:proofErr w:type="spellEnd"/>
      <w:r w:rsidRPr="007B53CA">
        <w:rPr>
          <w:rFonts w:ascii="Arial" w:eastAsia="Times New Roman" w:hAnsi="Arial" w:cs="Arial"/>
          <w:color w:val="000000"/>
          <w:sz w:val="20"/>
          <w:szCs w:val="20"/>
          <w:bdr w:val="none" w:sz="0" w:space="0" w:color="auto" w:frame="1"/>
          <w:lang w:val="en-US" w:eastAsia="en-GB"/>
        </w:rPr>
        <w:t xml:space="preserve"> </w:t>
      </w:r>
      <w:proofErr w:type="spellStart"/>
      <w:r w:rsidRPr="007B53CA">
        <w:rPr>
          <w:rFonts w:ascii="Arial" w:eastAsia="Times New Roman" w:hAnsi="Arial" w:cs="Arial"/>
          <w:color w:val="000000"/>
          <w:sz w:val="20"/>
          <w:szCs w:val="20"/>
          <w:bdr w:val="none" w:sz="0" w:space="0" w:color="auto" w:frame="1"/>
          <w:lang w:val="en-US" w:eastAsia="en-GB"/>
        </w:rPr>
        <w:t>lietu</w:t>
      </w:r>
      <w:proofErr w:type="spellEnd"/>
      <w:r w:rsidRPr="007B53CA">
        <w:rPr>
          <w:rFonts w:ascii="Arial" w:eastAsia="Times New Roman" w:hAnsi="Arial" w:cs="Arial"/>
          <w:color w:val="000000"/>
          <w:sz w:val="20"/>
          <w:szCs w:val="20"/>
          <w:bdr w:val="none" w:sz="0" w:space="0" w:color="auto" w:frame="1"/>
          <w:lang w:val="en-US" w:eastAsia="en-GB"/>
        </w:rPr>
        <w:t xml:space="preserve"> </w:t>
      </w:r>
      <w:proofErr w:type="spellStart"/>
      <w:r w:rsidRPr="007B53CA">
        <w:rPr>
          <w:rFonts w:ascii="Arial" w:eastAsia="Times New Roman" w:hAnsi="Arial" w:cs="Arial"/>
          <w:color w:val="000000"/>
          <w:sz w:val="20"/>
          <w:szCs w:val="20"/>
          <w:bdr w:val="none" w:sz="0" w:space="0" w:color="auto" w:frame="1"/>
          <w:lang w:val="en-US" w:eastAsia="en-GB"/>
        </w:rPr>
        <w:t>nodaļas</w:t>
      </w:r>
      <w:proofErr w:type="spellEnd"/>
      <w:r w:rsidRPr="007B53CA">
        <w:rPr>
          <w:rFonts w:ascii="Arial" w:eastAsia="Times New Roman" w:hAnsi="Arial" w:cs="Arial"/>
          <w:color w:val="000000"/>
          <w:sz w:val="20"/>
          <w:szCs w:val="20"/>
          <w:bdr w:val="none" w:sz="0" w:space="0" w:color="auto" w:frame="1"/>
          <w:lang w:val="en-US" w:eastAsia="en-GB"/>
        </w:rPr>
        <w:t xml:space="preserve"> </w:t>
      </w:r>
      <w:proofErr w:type="spellStart"/>
      <w:r w:rsidRPr="007B53CA">
        <w:rPr>
          <w:rFonts w:ascii="Arial" w:eastAsia="Times New Roman" w:hAnsi="Arial" w:cs="Arial"/>
          <w:color w:val="000000"/>
          <w:sz w:val="20"/>
          <w:szCs w:val="20"/>
          <w:bdr w:val="none" w:sz="0" w:space="0" w:color="auto" w:frame="1"/>
          <w:lang w:val="en-US" w:eastAsia="en-GB"/>
        </w:rPr>
        <w:t>juriste</w:t>
      </w:r>
      <w:proofErr w:type="spellEnd"/>
    </w:p>
    <w:p w14:paraId="68F832C2" w14:textId="77777777" w:rsidR="007B53CA" w:rsidRPr="007B53CA" w:rsidRDefault="007B53CA" w:rsidP="007B53CA">
      <w:pPr>
        <w:shd w:val="clear" w:color="auto" w:fill="FFFFFF"/>
        <w:textAlignment w:val="baseline"/>
        <w:rPr>
          <w:rFonts w:ascii="Times New Roman" w:eastAsia="Times New Roman" w:hAnsi="Times New Roman" w:cs="Times New Roman"/>
          <w:color w:val="000000"/>
          <w:lang w:eastAsia="en-GB"/>
        </w:rPr>
      </w:pPr>
      <w:proofErr w:type="spellStart"/>
      <w:r w:rsidRPr="007B53CA">
        <w:rPr>
          <w:rFonts w:ascii="Arial" w:eastAsia="Times New Roman" w:hAnsi="Arial" w:cs="Arial"/>
          <w:color w:val="000000"/>
          <w:sz w:val="20"/>
          <w:szCs w:val="20"/>
          <w:bdr w:val="none" w:sz="0" w:space="0" w:color="auto" w:frame="1"/>
          <w:lang w:val="en-US" w:eastAsia="en-GB"/>
        </w:rPr>
        <w:t>tālr</w:t>
      </w:r>
      <w:proofErr w:type="spellEnd"/>
      <w:r w:rsidRPr="007B53CA">
        <w:rPr>
          <w:rFonts w:ascii="Arial" w:eastAsia="Times New Roman" w:hAnsi="Arial" w:cs="Arial"/>
          <w:color w:val="000000"/>
          <w:sz w:val="20"/>
          <w:szCs w:val="20"/>
          <w:bdr w:val="none" w:sz="0" w:space="0" w:color="auto" w:frame="1"/>
          <w:lang w:val="en-US" w:eastAsia="en-GB"/>
        </w:rPr>
        <w:t>. 67046147</w:t>
      </w:r>
    </w:p>
    <w:p w14:paraId="14C032CB" w14:textId="77777777" w:rsidR="007B53CA" w:rsidRPr="007B53CA" w:rsidRDefault="007B53CA" w:rsidP="007B53CA">
      <w:pPr>
        <w:shd w:val="clear" w:color="auto" w:fill="FFFFFF"/>
        <w:textAlignment w:val="baseline"/>
        <w:rPr>
          <w:rFonts w:ascii="Times New Roman" w:eastAsia="Times New Roman" w:hAnsi="Times New Roman" w:cs="Times New Roman"/>
          <w:color w:val="000000"/>
          <w:lang w:eastAsia="en-GB"/>
        </w:rPr>
      </w:pPr>
      <w:r w:rsidRPr="007B53CA">
        <w:rPr>
          <w:rFonts w:ascii="Arial" w:eastAsia="Times New Roman" w:hAnsi="Arial" w:cs="Arial"/>
          <w:color w:val="000000"/>
          <w:sz w:val="20"/>
          <w:szCs w:val="20"/>
          <w:bdr w:val="none" w:sz="0" w:space="0" w:color="auto" w:frame="1"/>
          <w:lang w:eastAsia="en-GB"/>
        </w:rPr>
        <w:t>Juridiskā adrese: Brīvības bulvārī 36, Rīgā, LV-1536</w:t>
      </w:r>
    </w:p>
    <w:p w14:paraId="2C6941F5" w14:textId="77777777" w:rsidR="007B53CA" w:rsidRPr="007B53CA" w:rsidRDefault="007B53CA" w:rsidP="007B53CA">
      <w:pPr>
        <w:jc w:val="both"/>
        <w:textAlignment w:val="baseline"/>
        <w:rPr>
          <w:rFonts w:ascii="Calibri" w:eastAsia="Times New Roman" w:hAnsi="Calibri" w:cs="Calibri"/>
          <w:color w:val="000000"/>
          <w:sz w:val="22"/>
          <w:szCs w:val="22"/>
          <w:lang w:eastAsia="en-GB"/>
        </w:rPr>
      </w:pPr>
      <w:r w:rsidRPr="007B53CA">
        <w:rPr>
          <w:rFonts w:ascii="Arial" w:eastAsia="Times New Roman" w:hAnsi="Arial" w:cs="Arial"/>
          <w:color w:val="000000"/>
          <w:sz w:val="20"/>
          <w:szCs w:val="20"/>
          <w:bdr w:val="none" w:sz="0" w:space="0" w:color="auto" w:frame="1"/>
          <w:lang w:eastAsia="en-GB"/>
        </w:rPr>
        <w:t>Atrašanās vieta: Raiņa bulvārī 15, Rīgā, LV-1050</w:t>
      </w:r>
    </w:p>
    <w:p w14:paraId="5D140DEC" w14:textId="77777777" w:rsidR="007B53CA" w:rsidRPr="007B53CA" w:rsidRDefault="007B53CA" w:rsidP="007B53CA">
      <w:pPr>
        <w:jc w:val="both"/>
        <w:textAlignment w:val="baseline"/>
        <w:rPr>
          <w:rFonts w:ascii="Calibri" w:eastAsia="Times New Roman" w:hAnsi="Calibri" w:cs="Calibri"/>
          <w:color w:val="000000"/>
          <w:sz w:val="22"/>
          <w:szCs w:val="22"/>
          <w:lang w:eastAsia="en-GB"/>
        </w:rPr>
      </w:pPr>
      <w:r w:rsidRPr="007B53CA">
        <w:rPr>
          <w:rFonts w:ascii="Arial" w:eastAsia="Times New Roman" w:hAnsi="Arial" w:cs="Arial"/>
          <w:color w:val="000000"/>
          <w:sz w:val="20"/>
          <w:szCs w:val="20"/>
          <w:bdr w:val="none" w:sz="0" w:space="0" w:color="auto" w:frame="1"/>
          <w:lang w:eastAsia="en-GB"/>
        </w:rPr>
        <w:t> </w:t>
      </w:r>
    </w:p>
    <w:p w14:paraId="6567003B" w14:textId="77777777" w:rsidR="007B53CA" w:rsidRPr="007B53CA" w:rsidRDefault="007B53CA" w:rsidP="007B53CA">
      <w:pPr>
        <w:shd w:val="clear" w:color="auto" w:fill="FFFFFF"/>
        <w:textAlignment w:val="baseline"/>
        <w:rPr>
          <w:rFonts w:ascii="Calibri" w:eastAsia="Times New Roman" w:hAnsi="Calibri" w:cs="Calibri"/>
          <w:color w:val="000000"/>
          <w:sz w:val="22"/>
          <w:szCs w:val="22"/>
          <w:lang w:eastAsia="en-GB"/>
        </w:rPr>
      </w:pPr>
      <w:r w:rsidRPr="007B53CA">
        <w:rPr>
          <w:rFonts w:ascii="Arial" w:eastAsia="Times New Roman" w:hAnsi="Arial" w:cs="Arial"/>
          <w:b/>
          <w:bCs/>
          <w:color w:val="000000"/>
          <w:spacing w:val="4"/>
          <w:sz w:val="20"/>
          <w:szCs w:val="20"/>
          <w:bdr w:val="none" w:sz="0" w:space="0" w:color="auto" w:frame="1"/>
          <w:lang w:eastAsia="en-GB"/>
        </w:rPr>
        <w:t>Santa Skutele</w:t>
      </w:r>
    </w:p>
    <w:p w14:paraId="3B80CE0C" w14:textId="77777777" w:rsidR="007B53CA" w:rsidRPr="007B53CA" w:rsidRDefault="007B53CA" w:rsidP="007B53CA">
      <w:pPr>
        <w:shd w:val="clear" w:color="auto" w:fill="FFFFFF"/>
        <w:textAlignment w:val="baseline"/>
        <w:rPr>
          <w:rFonts w:ascii="Calibri" w:eastAsia="Times New Roman" w:hAnsi="Calibri" w:cs="Calibri"/>
          <w:color w:val="000000"/>
          <w:sz w:val="22"/>
          <w:szCs w:val="22"/>
          <w:lang w:eastAsia="en-GB"/>
        </w:rPr>
      </w:pPr>
      <w:r w:rsidRPr="007B53CA">
        <w:rPr>
          <w:rFonts w:ascii="Arial" w:eastAsia="Times New Roman" w:hAnsi="Arial" w:cs="Arial"/>
          <w:color w:val="000000"/>
          <w:sz w:val="20"/>
          <w:szCs w:val="20"/>
          <w:bdr w:val="none" w:sz="0" w:space="0" w:color="auto" w:frame="1"/>
          <w:lang w:eastAsia="en-GB"/>
        </w:rPr>
        <w:t>Tieslietu ministrijas</w:t>
      </w:r>
    </w:p>
    <w:p w14:paraId="576D6A70" w14:textId="77777777" w:rsidR="007B53CA" w:rsidRPr="007B53CA" w:rsidRDefault="007B53CA" w:rsidP="007B53CA">
      <w:pPr>
        <w:shd w:val="clear" w:color="auto" w:fill="FFFFFF"/>
        <w:textAlignment w:val="baseline"/>
        <w:rPr>
          <w:rFonts w:ascii="Times New Roman" w:eastAsia="Times New Roman" w:hAnsi="Times New Roman" w:cs="Times New Roman"/>
          <w:color w:val="000000"/>
          <w:lang w:eastAsia="en-GB"/>
        </w:rPr>
      </w:pPr>
      <w:proofErr w:type="spellStart"/>
      <w:r w:rsidRPr="007B53CA">
        <w:rPr>
          <w:rFonts w:ascii="Arial" w:eastAsia="Times New Roman" w:hAnsi="Arial" w:cs="Arial"/>
          <w:color w:val="000000"/>
          <w:sz w:val="20"/>
          <w:szCs w:val="20"/>
          <w:bdr w:val="none" w:sz="0" w:space="0" w:color="auto" w:frame="1"/>
          <w:lang w:val="en-US" w:eastAsia="en-GB"/>
        </w:rPr>
        <w:t>Nozaru</w:t>
      </w:r>
      <w:proofErr w:type="spellEnd"/>
      <w:r w:rsidRPr="007B53CA">
        <w:rPr>
          <w:rFonts w:ascii="Arial" w:eastAsia="Times New Roman" w:hAnsi="Arial" w:cs="Arial"/>
          <w:color w:val="000000"/>
          <w:sz w:val="20"/>
          <w:szCs w:val="20"/>
          <w:bdr w:val="none" w:sz="0" w:space="0" w:color="auto" w:frame="1"/>
          <w:lang w:val="en-US" w:eastAsia="en-GB"/>
        </w:rPr>
        <w:t xml:space="preserve"> </w:t>
      </w:r>
      <w:proofErr w:type="spellStart"/>
      <w:r w:rsidRPr="007B53CA">
        <w:rPr>
          <w:rFonts w:ascii="Arial" w:eastAsia="Times New Roman" w:hAnsi="Arial" w:cs="Arial"/>
          <w:color w:val="000000"/>
          <w:sz w:val="20"/>
          <w:szCs w:val="20"/>
          <w:bdr w:val="none" w:sz="0" w:space="0" w:color="auto" w:frame="1"/>
          <w:lang w:val="en-US" w:eastAsia="en-GB"/>
        </w:rPr>
        <w:t>politikas</w:t>
      </w:r>
      <w:proofErr w:type="spellEnd"/>
      <w:r w:rsidRPr="007B53CA">
        <w:rPr>
          <w:rFonts w:ascii="Arial" w:eastAsia="Times New Roman" w:hAnsi="Arial" w:cs="Arial"/>
          <w:color w:val="000000"/>
          <w:sz w:val="20"/>
          <w:szCs w:val="20"/>
          <w:bdr w:val="none" w:sz="0" w:space="0" w:color="auto" w:frame="1"/>
          <w:lang w:val="en-US" w:eastAsia="en-GB"/>
        </w:rPr>
        <w:t xml:space="preserve"> </w:t>
      </w:r>
      <w:proofErr w:type="spellStart"/>
      <w:r w:rsidRPr="007B53CA">
        <w:rPr>
          <w:rFonts w:ascii="Arial" w:eastAsia="Times New Roman" w:hAnsi="Arial" w:cs="Arial"/>
          <w:color w:val="000000"/>
          <w:sz w:val="20"/>
          <w:szCs w:val="20"/>
          <w:bdr w:val="none" w:sz="0" w:space="0" w:color="auto" w:frame="1"/>
          <w:lang w:val="en-US" w:eastAsia="en-GB"/>
        </w:rPr>
        <w:t>departamenta</w:t>
      </w:r>
      <w:proofErr w:type="spellEnd"/>
    </w:p>
    <w:p w14:paraId="1B9940DA" w14:textId="77777777" w:rsidR="007B53CA" w:rsidRPr="007B53CA" w:rsidRDefault="007B53CA" w:rsidP="007B53CA">
      <w:pPr>
        <w:shd w:val="clear" w:color="auto" w:fill="FFFFFF"/>
        <w:textAlignment w:val="baseline"/>
        <w:rPr>
          <w:rFonts w:ascii="Times New Roman" w:eastAsia="Times New Roman" w:hAnsi="Times New Roman" w:cs="Times New Roman"/>
          <w:color w:val="000000"/>
          <w:lang w:eastAsia="en-GB"/>
        </w:rPr>
      </w:pPr>
      <w:proofErr w:type="spellStart"/>
      <w:r w:rsidRPr="007B53CA">
        <w:rPr>
          <w:rFonts w:ascii="Arial" w:eastAsia="Times New Roman" w:hAnsi="Arial" w:cs="Arial"/>
          <w:color w:val="000000"/>
          <w:sz w:val="20"/>
          <w:szCs w:val="20"/>
          <w:bdr w:val="none" w:sz="0" w:space="0" w:color="auto" w:frame="1"/>
          <w:lang w:val="en-US" w:eastAsia="en-GB"/>
        </w:rPr>
        <w:t>Politikas</w:t>
      </w:r>
      <w:proofErr w:type="spellEnd"/>
      <w:r w:rsidRPr="007B53CA">
        <w:rPr>
          <w:rFonts w:ascii="Arial" w:eastAsia="Times New Roman" w:hAnsi="Arial" w:cs="Arial"/>
          <w:color w:val="000000"/>
          <w:sz w:val="20"/>
          <w:szCs w:val="20"/>
          <w:bdr w:val="none" w:sz="0" w:space="0" w:color="auto" w:frame="1"/>
          <w:lang w:val="en-US" w:eastAsia="en-GB"/>
        </w:rPr>
        <w:t xml:space="preserve"> </w:t>
      </w:r>
      <w:proofErr w:type="spellStart"/>
      <w:r w:rsidRPr="007B53CA">
        <w:rPr>
          <w:rFonts w:ascii="Arial" w:eastAsia="Times New Roman" w:hAnsi="Arial" w:cs="Arial"/>
          <w:color w:val="000000"/>
          <w:sz w:val="20"/>
          <w:szCs w:val="20"/>
          <w:bdr w:val="none" w:sz="0" w:space="0" w:color="auto" w:frame="1"/>
          <w:lang w:val="en-US" w:eastAsia="en-GB"/>
        </w:rPr>
        <w:t>izstrādes</w:t>
      </w:r>
      <w:proofErr w:type="spellEnd"/>
      <w:r w:rsidRPr="007B53CA">
        <w:rPr>
          <w:rFonts w:ascii="Arial" w:eastAsia="Times New Roman" w:hAnsi="Arial" w:cs="Arial"/>
          <w:color w:val="000000"/>
          <w:sz w:val="20"/>
          <w:szCs w:val="20"/>
          <w:bdr w:val="none" w:sz="0" w:space="0" w:color="auto" w:frame="1"/>
          <w:lang w:val="en-US" w:eastAsia="en-GB"/>
        </w:rPr>
        <w:t xml:space="preserve"> un </w:t>
      </w:r>
      <w:proofErr w:type="spellStart"/>
      <w:r w:rsidRPr="007B53CA">
        <w:rPr>
          <w:rFonts w:ascii="Arial" w:eastAsia="Times New Roman" w:hAnsi="Arial" w:cs="Arial"/>
          <w:color w:val="000000"/>
          <w:sz w:val="20"/>
          <w:szCs w:val="20"/>
          <w:bdr w:val="none" w:sz="0" w:space="0" w:color="auto" w:frame="1"/>
          <w:lang w:val="en-US" w:eastAsia="en-GB"/>
        </w:rPr>
        <w:t>reliģijas</w:t>
      </w:r>
      <w:proofErr w:type="spellEnd"/>
      <w:r w:rsidRPr="007B53CA">
        <w:rPr>
          <w:rFonts w:ascii="Arial" w:eastAsia="Times New Roman" w:hAnsi="Arial" w:cs="Arial"/>
          <w:color w:val="000000"/>
          <w:sz w:val="20"/>
          <w:szCs w:val="20"/>
          <w:bdr w:val="none" w:sz="0" w:space="0" w:color="auto" w:frame="1"/>
          <w:lang w:val="en-US" w:eastAsia="en-GB"/>
        </w:rPr>
        <w:t xml:space="preserve"> </w:t>
      </w:r>
      <w:proofErr w:type="spellStart"/>
      <w:r w:rsidRPr="007B53CA">
        <w:rPr>
          <w:rFonts w:ascii="Arial" w:eastAsia="Times New Roman" w:hAnsi="Arial" w:cs="Arial"/>
          <w:color w:val="000000"/>
          <w:sz w:val="20"/>
          <w:szCs w:val="20"/>
          <w:bdr w:val="none" w:sz="0" w:space="0" w:color="auto" w:frame="1"/>
          <w:lang w:val="en-US" w:eastAsia="en-GB"/>
        </w:rPr>
        <w:t>lietu</w:t>
      </w:r>
      <w:proofErr w:type="spellEnd"/>
      <w:r w:rsidRPr="007B53CA">
        <w:rPr>
          <w:rFonts w:ascii="Arial" w:eastAsia="Times New Roman" w:hAnsi="Arial" w:cs="Arial"/>
          <w:color w:val="000000"/>
          <w:sz w:val="20"/>
          <w:szCs w:val="20"/>
          <w:bdr w:val="none" w:sz="0" w:space="0" w:color="auto" w:frame="1"/>
          <w:lang w:val="en-US" w:eastAsia="en-GB"/>
        </w:rPr>
        <w:t xml:space="preserve"> </w:t>
      </w:r>
      <w:proofErr w:type="spellStart"/>
      <w:r w:rsidRPr="007B53CA">
        <w:rPr>
          <w:rFonts w:ascii="Arial" w:eastAsia="Times New Roman" w:hAnsi="Arial" w:cs="Arial"/>
          <w:color w:val="000000"/>
          <w:sz w:val="20"/>
          <w:szCs w:val="20"/>
          <w:bdr w:val="none" w:sz="0" w:space="0" w:color="auto" w:frame="1"/>
          <w:lang w:val="en-US" w:eastAsia="en-GB"/>
        </w:rPr>
        <w:t>nodaļas</w:t>
      </w:r>
      <w:proofErr w:type="spellEnd"/>
      <w:r w:rsidRPr="007B53CA">
        <w:rPr>
          <w:rFonts w:ascii="Arial" w:eastAsia="Times New Roman" w:hAnsi="Arial" w:cs="Arial"/>
          <w:color w:val="000000"/>
          <w:sz w:val="20"/>
          <w:szCs w:val="20"/>
          <w:bdr w:val="none" w:sz="0" w:space="0" w:color="auto" w:frame="1"/>
          <w:lang w:val="en-US" w:eastAsia="en-GB"/>
        </w:rPr>
        <w:t xml:space="preserve"> </w:t>
      </w:r>
      <w:proofErr w:type="spellStart"/>
      <w:r w:rsidRPr="007B53CA">
        <w:rPr>
          <w:rFonts w:ascii="Arial" w:eastAsia="Times New Roman" w:hAnsi="Arial" w:cs="Arial"/>
          <w:color w:val="000000"/>
          <w:sz w:val="20"/>
          <w:szCs w:val="20"/>
          <w:bdr w:val="none" w:sz="0" w:space="0" w:color="auto" w:frame="1"/>
          <w:lang w:val="en-US" w:eastAsia="en-GB"/>
        </w:rPr>
        <w:t>juriste</w:t>
      </w:r>
      <w:proofErr w:type="spellEnd"/>
    </w:p>
    <w:p w14:paraId="6159AFD4" w14:textId="77777777" w:rsidR="007B53CA" w:rsidRPr="007B53CA" w:rsidRDefault="007B53CA" w:rsidP="007B53CA">
      <w:pPr>
        <w:shd w:val="clear" w:color="auto" w:fill="FFFFFF"/>
        <w:textAlignment w:val="baseline"/>
        <w:rPr>
          <w:rFonts w:ascii="Times New Roman" w:eastAsia="Times New Roman" w:hAnsi="Times New Roman" w:cs="Times New Roman"/>
          <w:color w:val="000000"/>
          <w:lang w:eastAsia="en-GB"/>
        </w:rPr>
      </w:pPr>
      <w:proofErr w:type="spellStart"/>
      <w:r w:rsidRPr="007B53CA">
        <w:rPr>
          <w:rFonts w:ascii="Arial" w:eastAsia="Times New Roman" w:hAnsi="Arial" w:cs="Arial"/>
          <w:color w:val="000000"/>
          <w:sz w:val="20"/>
          <w:szCs w:val="20"/>
          <w:bdr w:val="none" w:sz="0" w:space="0" w:color="auto" w:frame="1"/>
          <w:lang w:val="en-US" w:eastAsia="en-GB"/>
        </w:rPr>
        <w:t>tālr</w:t>
      </w:r>
      <w:proofErr w:type="spellEnd"/>
      <w:r w:rsidRPr="007B53CA">
        <w:rPr>
          <w:rFonts w:ascii="Arial" w:eastAsia="Times New Roman" w:hAnsi="Arial" w:cs="Arial"/>
          <w:color w:val="000000"/>
          <w:sz w:val="20"/>
          <w:szCs w:val="20"/>
          <w:bdr w:val="none" w:sz="0" w:space="0" w:color="auto" w:frame="1"/>
          <w:lang w:val="en-US" w:eastAsia="en-GB"/>
        </w:rPr>
        <w:t>. 67046126</w:t>
      </w:r>
    </w:p>
    <w:p w14:paraId="48BB408A" w14:textId="77777777" w:rsidR="007B53CA" w:rsidRPr="007B53CA" w:rsidRDefault="007B53CA" w:rsidP="007B53CA">
      <w:pPr>
        <w:shd w:val="clear" w:color="auto" w:fill="FFFFFF"/>
        <w:textAlignment w:val="baseline"/>
        <w:rPr>
          <w:rFonts w:ascii="Times New Roman" w:eastAsia="Times New Roman" w:hAnsi="Times New Roman" w:cs="Times New Roman"/>
          <w:color w:val="000000"/>
          <w:lang w:eastAsia="en-GB"/>
        </w:rPr>
      </w:pPr>
      <w:r w:rsidRPr="007B53CA">
        <w:rPr>
          <w:rFonts w:ascii="Arial" w:eastAsia="Times New Roman" w:hAnsi="Arial" w:cs="Arial"/>
          <w:color w:val="000000"/>
          <w:sz w:val="20"/>
          <w:szCs w:val="20"/>
          <w:bdr w:val="none" w:sz="0" w:space="0" w:color="auto" w:frame="1"/>
          <w:lang w:eastAsia="en-GB"/>
        </w:rPr>
        <w:t>Juridiskā adrese: Brīvības bulvārī 36, Rīgā, LV-1536</w:t>
      </w:r>
    </w:p>
    <w:p w14:paraId="42C24991" w14:textId="0251919F" w:rsidR="007B53CA" w:rsidRPr="007B53CA" w:rsidRDefault="007B53CA" w:rsidP="007B53CA">
      <w:pPr>
        <w:jc w:val="both"/>
        <w:textAlignment w:val="baseline"/>
        <w:rPr>
          <w:rFonts w:ascii="Calibri" w:eastAsia="Times New Roman" w:hAnsi="Calibri" w:cs="Calibri"/>
          <w:color w:val="000000"/>
          <w:sz w:val="22"/>
          <w:szCs w:val="22"/>
          <w:lang w:eastAsia="en-GB"/>
        </w:rPr>
      </w:pPr>
      <w:r w:rsidRPr="007B53CA">
        <w:rPr>
          <w:rFonts w:ascii="Arial" w:eastAsia="Times New Roman" w:hAnsi="Arial" w:cs="Arial"/>
          <w:color w:val="000000"/>
          <w:sz w:val="20"/>
          <w:szCs w:val="20"/>
          <w:bdr w:val="none" w:sz="0" w:space="0" w:color="auto" w:frame="1"/>
          <w:lang w:eastAsia="en-GB"/>
        </w:rPr>
        <w:t>Atrašanās vieta: Raiņa bulvārī 15, Rīgā, LV-1050</w:t>
      </w:r>
    </w:p>
    <w:p w14:paraId="3BC1CB55" w14:textId="0E4C2209" w:rsidR="001008E9" w:rsidRPr="007B53CA" w:rsidRDefault="007B53CA" w:rsidP="007B53CA">
      <w:pPr>
        <w:textAlignment w:val="baseline"/>
        <w:rPr>
          <w:rFonts w:ascii="Calibri" w:eastAsia="Times New Roman" w:hAnsi="Calibri" w:cs="Calibri"/>
          <w:color w:val="000000"/>
          <w:sz w:val="22"/>
          <w:szCs w:val="22"/>
          <w:lang w:eastAsia="en-GB"/>
        </w:rPr>
      </w:pPr>
      <w:r w:rsidRPr="007B53CA">
        <w:rPr>
          <w:rFonts w:ascii="inherit" w:eastAsia="Times New Roman" w:hAnsi="inherit" w:cs="Calibri"/>
          <w:color w:val="000000"/>
          <w:bdr w:val="none" w:sz="0" w:space="0" w:color="auto" w:frame="1"/>
          <w:lang w:eastAsia="en-GB"/>
        </w:rPr>
        <w:t> </w:t>
      </w:r>
    </w:p>
    <w:sectPr w:rsidR="001008E9" w:rsidRPr="007B53CA" w:rsidSect="00177D7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inherit">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3CA"/>
    <w:rsid w:val="00177D7C"/>
    <w:rsid w:val="003922C6"/>
    <w:rsid w:val="007B53CA"/>
    <w:rsid w:val="00821BED"/>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8063D"/>
  <w15:chartTrackingRefBased/>
  <w15:docId w15:val="{7E45FB6B-A35F-8549-8B0D-0DFB6D470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7B53CA"/>
    <w:pPr>
      <w:spacing w:before="100" w:beforeAutospacing="1" w:after="100" w:afterAutospacing="1"/>
    </w:pPr>
    <w:rPr>
      <w:rFonts w:ascii="Times New Roman" w:eastAsia="Times New Roman" w:hAnsi="Times New Roman" w:cs="Times New Roman"/>
      <w:lang w:val="en-LV" w:eastAsia="en-GB"/>
    </w:rPr>
  </w:style>
  <w:style w:type="character" w:styleId="Hyperlink">
    <w:name w:val="Hyperlink"/>
    <w:basedOn w:val="DefaultParagraphFont"/>
    <w:uiPriority w:val="99"/>
    <w:semiHidden/>
    <w:unhideWhenUsed/>
    <w:rsid w:val="007B53CA"/>
    <w:rPr>
      <w:color w:val="0000FF"/>
      <w:u w:val="single"/>
    </w:rPr>
  </w:style>
  <w:style w:type="paragraph" w:customStyle="1" w:styleId="xmsonospacing">
    <w:name w:val="x_msonospacing"/>
    <w:basedOn w:val="Normal"/>
    <w:rsid w:val="007B53CA"/>
    <w:pPr>
      <w:spacing w:before="100" w:beforeAutospacing="1" w:after="100" w:afterAutospacing="1"/>
    </w:pPr>
    <w:rPr>
      <w:rFonts w:ascii="Times New Roman" w:eastAsia="Times New Roman" w:hAnsi="Times New Roman" w:cs="Times New Roman"/>
      <w:lang w:val="en-LV" w:eastAsia="en-GB"/>
    </w:rPr>
  </w:style>
  <w:style w:type="paragraph" w:customStyle="1" w:styleId="xmsonormal">
    <w:name w:val="x_msonormal"/>
    <w:basedOn w:val="Normal"/>
    <w:rsid w:val="007B53CA"/>
    <w:pPr>
      <w:spacing w:before="100" w:beforeAutospacing="1" w:after="100" w:afterAutospacing="1"/>
    </w:pPr>
    <w:rPr>
      <w:rFonts w:ascii="Times New Roman" w:eastAsia="Times New Roman" w:hAnsi="Times New Roman" w:cs="Times New Roman"/>
      <w:lang w:val="en-LV" w:eastAsia="en-GB"/>
    </w:rPr>
  </w:style>
  <w:style w:type="paragraph" w:customStyle="1" w:styleId="xxxmsonormal0">
    <w:name w:val="x_xxmsonormal0"/>
    <w:basedOn w:val="Normal"/>
    <w:rsid w:val="007B53CA"/>
    <w:pPr>
      <w:spacing w:before="100" w:beforeAutospacing="1" w:after="100" w:afterAutospacing="1"/>
    </w:pPr>
    <w:rPr>
      <w:rFonts w:ascii="Times New Roman" w:eastAsia="Times New Roman" w:hAnsi="Times New Roman" w:cs="Times New Roman"/>
      <w:lang w:val="en-LV" w:eastAsia="en-GB"/>
    </w:rPr>
  </w:style>
  <w:style w:type="paragraph" w:styleId="NormalWeb">
    <w:name w:val="Normal (Web)"/>
    <w:basedOn w:val="Normal"/>
    <w:uiPriority w:val="99"/>
    <w:semiHidden/>
    <w:unhideWhenUsed/>
    <w:rsid w:val="007B53CA"/>
    <w:pPr>
      <w:spacing w:before="100" w:beforeAutospacing="1" w:after="100" w:afterAutospacing="1"/>
    </w:pPr>
    <w:rPr>
      <w:rFonts w:ascii="Times New Roman" w:eastAsia="Times New Roman" w:hAnsi="Times New Roman" w:cs="Times New Roman"/>
      <w:lang w:val="en-LV" w:eastAsia="en-GB"/>
    </w:rPr>
  </w:style>
  <w:style w:type="paragraph" w:customStyle="1" w:styleId="xxxmsonormal">
    <w:name w:val="x_xxmsonormal"/>
    <w:basedOn w:val="Normal"/>
    <w:rsid w:val="007B53CA"/>
    <w:pPr>
      <w:spacing w:before="100" w:beforeAutospacing="1" w:after="100" w:afterAutospacing="1"/>
    </w:pPr>
    <w:rPr>
      <w:rFonts w:ascii="Times New Roman" w:eastAsia="Times New Roman" w:hAnsi="Times New Roman" w:cs="Times New Roman"/>
      <w:lang w:val="en-LV" w:eastAsia="en-GB"/>
    </w:rPr>
  </w:style>
  <w:style w:type="paragraph" w:customStyle="1" w:styleId="xxxxxxmsonormal">
    <w:name w:val="x_xxxxxmsonormal"/>
    <w:basedOn w:val="Normal"/>
    <w:rsid w:val="007B53CA"/>
    <w:pPr>
      <w:spacing w:before="100" w:beforeAutospacing="1" w:after="100" w:afterAutospacing="1"/>
    </w:pPr>
    <w:rPr>
      <w:rFonts w:ascii="Times New Roman" w:eastAsia="Times New Roman" w:hAnsi="Times New Roman" w:cs="Times New Roman"/>
      <w:lang w:val="en-LV" w:eastAsia="en-GB"/>
    </w:rPr>
  </w:style>
  <w:style w:type="paragraph" w:customStyle="1" w:styleId="elementtoproof">
    <w:name w:val="elementtoproof"/>
    <w:basedOn w:val="Normal"/>
    <w:rsid w:val="007B53CA"/>
    <w:pPr>
      <w:spacing w:before="100" w:beforeAutospacing="1" w:after="100" w:afterAutospacing="1"/>
    </w:pPr>
    <w:rPr>
      <w:rFonts w:ascii="Times New Roman" w:eastAsia="Times New Roman" w:hAnsi="Times New Roman" w:cs="Times New Roman"/>
      <w:lang w:val="en-LV"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411977">
      <w:bodyDiv w:val="1"/>
      <w:marLeft w:val="0"/>
      <w:marRight w:val="0"/>
      <w:marTop w:val="0"/>
      <w:marBottom w:val="0"/>
      <w:divBdr>
        <w:top w:val="none" w:sz="0" w:space="0" w:color="auto"/>
        <w:left w:val="none" w:sz="0" w:space="0" w:color="auto"/>
        <w:bottom w:val="none" w:sz="0" w:space="0" w:color="auto"/>
        <w:right w:val="none" w:sz="0" w:space="0" w:color="auto"/>
      </w:divBdr>
      <w:divsChild>
        <w:div w:id="355160057">
          <w:marLeft w:val="0"/>
          <w:marRight w:val="0"/>
          <w:marTop w:val="0"/>
          <w:marBottom w:val="0"/>
          <w:divBdr>
            <w:top w:val="none" w:sz="0" w:space="0" w:color="auto"/>
            <w:left w:val="none" w:sz="0" w:space="0" w:color="auto"/>
            <w:bottom w:val="none" w:sz="0" w:space="0" w:color="auto"/>
            <w:right w:val="none" w:sz="0" w:space="0" w:color="auto"/>
          </w:divBdr>
          <w:divsChild>
            <w:div w:id="258219163">
              <w:marLeft w:val="0"/>
              <w:marRight w:val="0"/>
              <w:marTop w:val="0"/>
              <w:marBottom w:val="0"/>
              <w:divBdr>
                <w:top w:val="none" w:sz="0" w:space="0" w:color="auto"/>
                <w:left w:val="none" w:sz="0" w:space="0" w:color="auto"/>
                <w:bottom w:val="none" w:sz="0" w:space="0" w:color="auto"/>
                <w:right w:val="none" w:sz="0" w:space="0" w:color="auto"/>
              </w:divBdr>
            </w:div>
            <w:div w:id="1748921692">
              <w:marLeft w:val="0"/>
              <w:marRight w:val="0"/>
              <w:marTop w:val="0"/>
              <w:marBottom w:val="0"/>
              <w:divBdr>
                <w:top w:val="none" w:sz="0" w:space="0" w:color="auto"/>
                <w:left w:val="none" w:sz="0" w:space="0" w:color="auto"/>
                <w:bottom w:val="none" w:sz="0" w:space="0" w:color="auto"/>
                <w:right w:val="none" w:sz="0" w:space="0" w:color="auto"/>
              </w:divBdr>
              <w:divsChild>
                <w:div w:id="14570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051178">
          <w:marLeft w:val="0"/>
          <w:marRight w:val="0"/>
          <w:marTop w:val="0"/>
          <w:marBottom w:val="0"/>
          <w:divBdr>
            <w:top w:val="none" w:sz="0" w:space="0" w:color="auto"/>
            <w:left w:val="none" w:sz="0" w:space="0" w:color="auto"/>
            <w:bottom w:val="none" w:sz="0" w:space="0" w:color="auto"/>
            <w:right w:val="none" w:sz="0" w:space="0" w:color="auto"/>
          </w:divBdr>
        </w:div>
        <w:div w:id="80414793">
          <w:marLeft w:val="0"/>
          <w:marRight w:val="0"/>
          <w:marTop w:val="0"/>
          <w:marBottom w:val="0"/>
          <w:divBdr>
            <w:top w:val="none" w:sz="0" w:space="0" w:color="auto"/>
            <w:left w:val="none" w:sz="0" w:space="0" w:color="auto"/>
            <w:bottom w:val="none" w:sz="0" w:space="0" w:color="auto"/>
            <w:right w:val="none" w:sz="0" w:space="0" w:color="auto"/>
          </w:divBdr>
          <w:divsChild>
            <w:div w:id="856314462">
              <w:marLeft w:val="0"/>
              <w:marRight w:val="0"/>
              <w:marTop w:val="0"/>
              <w:marBottom w:val="0"/>
              <w:divBdr>
                <w:top w:val="none" w:sz="0" w:space="0" w:color="auto"/>
                <w:left w:val="none" w:sz="0" w:space="0" w:color="auto"/>
                <w:bottom w:val="none" w:sz="0" w:space="0" w:color="auto"/>
                <w:right w:val="none" w:sz="0" w:space="0" w:color="auto"/>
              </w:divBdr>
            </w:div>
          </w:divsChild>
        </w:div>
        <w:div w:id="281959112">
          <w:marLeft w:val="0"/>
          <w:marRight w:val="0"/>
          <w:marTop w:val="0"/>
          <w:marBottom w:val="0"/>
          <w:divBdr>
            <w:top w:val="none" w:sz="0" w:space="0" w:color="auto"/>
            <w:left w:val="none" w:sz="0" w:space="0" w:color="auto"/>
            <w:bottom w:val="none" w:sz="0" w:space="0" w:color="auto"/>
            <w:right w:val="none" w:sz="0" w:space="0" w:color="auto"/>
          </w:divBdr>
          <w:divsChild>
            <w:div w:id="1013803866">
              <w:marLeft w:val="0"/>
              <w:marRight w:val="0"/>
              <w:marTop w:val="0"/>
              <w:marBottom w:val="0"/>
              <w:divBdr>
                <w:top w:val="none" w:sz="0" w:space="0" w:color="auto"/>
                <w:left w:val="none" w:sz="0" w:space="0" w:color="auto"/>
                <w:bottom w:val="none" w:sz="0" w:space="0" w:color="auto"/>
                <w:right w:val="none" w:sz="0" w:space="0" w:color="auto"/>
              </w:divBdr>
              <w:divsChild>
                <w:div w:id="1254314359">
                  <w:marLeft w:val="0"/>
                  <w:marRight w:val="0"/>
                  <w:marTop w:val="0"/>
                  <w:marBottom w:val="0"/>
                  <w:divBdr>
                    <w:top w:val="none" w:sz="0" w:space="0" w:color="auto"/>
                    <w:left w:val="none" w:sz="0" w:space="0" w:color="auto"/>
                    <w:bottom w:val="none" w:sz="0" w:space="0" w:color="auto"/>
                    <w:right w:val="none" w:sz="0" w:space="0" w:color="auto"/>
                  </w:divBdr>
                  <w:divsChild>
                    <w:div w:id="1833713483">
                      <w:marLeft w:val="0"/>
                      <w:marRight w:val="0"/>
                      <w:marTop w:val="0"/>
                      <w:marBottom w:val="0"/>
                      <w:divBdr>
                        <w:top w:val="single" w:sz="8" w:space="3" w:color="E1E1E1"/>
                        <w:left w:val="none" w:sz="0" w:space="0" w:color="auto"/>
                        <w:bottom w:val="none" w:sz="0" w:space="0" w:color="auto"/>
                        <w:right w:val="none" w:sz="0" w:space="0" w:color="auto"/>
                      </w:divBdr>
                    </w:div>
                  </w:divsChild>
                </w:div>
                <w:div w:id="1826773743">
                  <w:marLeft w:val="0"/>
                  <w:marRight w:val="0"/>
                  <w:marTop w:val="0"/>
                  <w:marBottom w:val="0"/>
                  <w:divBdr>
                    <w:top w:val="none" w:sz="0" w:space="0" w:color="auto"/>
                    <w:left w:val="none" w:sz="0" w:space="0" w:color="auto"/>
                    <w:bottom w:val="none" w:sz="0" w:space="0" w:color="auto"/>
                    <w:right w:val="none" w:sz="0" w:space="0" w:color="auto"/>
                  </w:divBdr>
                </w:div>
                <w:div w:id="1629580727">
                  <w:marLeft w:val="0"/>
                  <w:marRight w:val="0"/>
                  <w:marTop w:val="0"/>
                  <w:marBottom w:val="0"/>
                  <w:divBdr>
                    <w:top w:val="none" w:sz="0" w:space="0" w:color="auto"/>
                    <w:left w:val="none" w:sz="0" w:space="0" w:color="auto"/>
                    <w:bottom w:val="none" w:sz="0" w:space="0" w:color="auto"/>
                    <w:right w:val="none" w:sz="0" w:space="0" w:color="auto"/>
                  </w:divBdr>
                  <w:divsChild>
                    <w:div w:id="1752385430">
                      <w:marLeft w:val="0"/>
                      <w:marRight w:val="0"/>
                      <w:marTop w:val="0"/>
                      <w:marBottom w:val="0"/>
                      <w:divBdr>
                        <w:top w:val="none" w:sz="0" w:space="0" w:color="auto"/>
                        <w:left w:val="none" w:sz="0" w:space="0" w:color="auto"/>
                        <w:bottom w:val="none" w:sz="0" w:space="0" w:color="auto"/>
                        <w:right w:val="none" w:sz="0" w:space="0" w:color="auto"/>
                      </w:divBdr>
                      <w:divsChild>
                        <w:div w:id="1592663615">
                          <w:marLeft w:val="0"/>
                          <w:marRight w:val="0"/>
                          <w:marTop w:val="0"/>
                          <w:marBottom w:val="0"/>
                          <w:divBdr>
                            <w:top w:val="none" w:sz="0" w:space="0" w:color="auto"/>
                            <w:left w:val="none" w:sz="0" w:space="0" w:color="auto"/>
                            <w:bottom w:val="none" w:sz="0" w:space="0" w:color="auto"/>
                            <w:right w:val="none" w:sz="0" w:space="0" w:color="auto"/>
                          </w:divBdr>
                          <w:divsChild>
                            <w:div w:id="1210848580">
                              <w:marLeft w:val="0"/>
                              <w:marRight w:val="0"/>
                              <w:marTop w:val="0"/>
                              <w:marBottom w:val="0"/>
                              <w:divBdr>
                                <w:top w:val="none" w:sz="0" w:space="0" w:color="auto"/>
                                <w:left w:val="none" w:sz="0" w:space="0" w:color="auto"/>
                                <w:bottom w:val="none" w:sz="0" w:space="0" w:color="auto"/>
                                <w:right w:val="none" w:sz="0" w:space="0" w:color="auto"/>
                              </w:divBdr>
                              <w:divsChild>
                                <w:div w:id="275411274">
                                  <w:marLeft w:val="0"/>
                                  <w:marRight w:val="0"/>
                                  <w:marTop w:val="0"/>
                                  <w:marBottom w:val="0"/>
                                  <w:divBdr>
                                    <w:top w:val="none" w:sz="0" w:space="0" w:color="auto"/>
                                    <w:left w:val="none" w:sz="0" w:space="0" w:color="auto"/>
                                    <w:bottom w:val="none" w:sz="0" w:space="0" w:color="auto"/>
                                    <w:right w:val="none" w:sz="0" w:space="0" w:color="auto"/>
                                  </w:divBdr>
                                  <w:divsChild>
                                    <w:div w:id="81876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931372">
                      <w:marLeft w:val="0"/>
                      <w:marRight w:val="0"/>
                      <w:marTop w:val="0"/>
                      <w:marBottom w:val="0"/>
                      <w:divBdr>
                        <w:top w:val="none" w:sz="0" w:space="0" w:color="auto"/>
                        <w:left w:val="none" w:sz="0" w:space="0" w:color="auto"/>
                        <w:bottom w:val="none" w:sz="0" w:space="0" w:color="auto"/>
                        <w:right w:val="none" w:sz="0" w:space="0" w:color="auto"/>
                      </w:divBdr>
                    </w:div>
                    <w:div w:id="1247303502">
                      <w:marLeft w:val="0"/>
                      <w:marRight w:val="0"/>
                      <w:marTop w:val="0"/>
                      <w:marBottom w:val="0"/>
                      <w:divBdr>
                        <w:top w:val="none" w:sz="0" w:space="0" w:color="auto"/>
                        <w:left w:val="none" w:sz="0" w:space="0" w:color="auto"/>
                        <w:bottom w:val="none" w:sz="0" w:space="0" w:color="auto"/>
                        <w:right w:val="none" w:sz="0" w:space="0" w:color="auto"/>
                      </w:divBdr>
                      <w:divsChild>
                        <w:div w:id="266624686">
                          <w:marLeft w:val="0"/>
                          <w:marRight w:val="0"/>
                          <w:marTop w:val="0"/>
                          <w:marBottom w:val="0"/>
                          <w:divBdr>
                            <w:top w:val="none" w:sz="0" w:space="0" w:color="auto"/>
                            <w:left w:val="none" w:sz="0" w:space="0" w:color="auto"/>
                            <w:bottom w:val="none" w:sz="0" w:space="0" w:color="auto"/>
                            <w:right w:val="none" w:sz="0" w:space="0" w:color="auto"/>
                          </w:divBdr>
                        </w:div>
                      </w:divsChild>
                    </w:div>
                    <w:div w:id="1618024252">
                      <w:marLeft w:val="0"/>
                      <w:marRight w:val="0"/>
                      <w:marTop w:val="0"/>
                      <w:marBottom w:val="0"/>
                      <w:divBdr>
                        <w:top w:val="none" w:sz="0" w:space="0" w:color="auto"/>
                        <w:left w:val="none" w:sz="0" w:space="0" w:color="auto"/>
                        <w:bottom w:val="none" w:sz="0" w:space="0" w:color="auto"/>
                        <w:right w:val="none" w:sz="0" w:space="0" w:color="auto"/>
                      </w:divBdr>
                      <w:divsChild>
                        <w:div w:id="1806199118">
                          <w:marLeft w:val="0"/>
                          <w:marRight w:val="0"/>
                          <w:marTop w:val="0"/>
                          <w:marBottom w:val="0"/>
                          <w:divBdr>
                            <w:top w:val="none" w:sz="0" w:space="0" w:color="auto"/>
                            <w:left w:val="none" w:sz="0" w:space="0" w:color="auto"/>
                            <w:bottom w:val="none" w:sz="0" w:space="0" w:color="auto"/>
                            <w:right w:val="none" w:sz="0" w:space="0" w:color="auto"/>
                          </w:divBdr>
                        </w:div>
                        <w:div w:id="1209873584">
                          <w:marLeft w:val="0"/>
                          <w:marRight w:val="0"/>
                          <w:marTop w:val="0"/>
                          <w:marBottom w:val="0"/>
                          <w:divBdr>
                            <w:top w:val="none" w:sz="0" w:space="0" w:color="auto"/>
                            <w:left w:val="none" w:sz="0" w:space="0" w:color="auto"/>
                            <w:bottom w:val="none" w:sz="0" w:space="0" w:color="auto"/>
                            <w:right w:val="none" w:sz="0" w:space="0" w:color="auto"/>
                          </w:divBdr>
                          <w:divsChild>
                            <w:div w:id="436144107">
                              <w:marLeft w:val="0"/>
                              <w:marRight w:val="0"/>
                              <w:marTop w:val="0"/>
                              <w:marBottom w:val="0"/>
                              <w:divBdr>
                                <w:top w:val="none" w:sz="0" w:space="0" w:color="auto"/>
                                <w:left w:val="none" w:sz="0" w:space="0" w:color="auto"/>
                                <w:bottom w:val="none" w:sz="0" w:space="0" w:color="auto"/>
                                <w:right w:val="none" w:sz="0" w:space="0" w:color="auto"/>
                              </w:divBdr>
                              <w:divsChild>
                                <w:div w:id="38558367">
                                  <w:marLeft w:val="0"/>
                                  <w:marRight w:val="0"/>
                                  <w:marTop w:val="0"/>
                                  <w:marBottom w:val="0"/>
                                  <w:divBdr>
                                    <w:top w:val="none" w:sz="0" w:space="0" w:color="auto"/>
                                    <w:left w:val="none" w:sz="0" w:space="0" w:color="auto"/>
                                    <w:bottom w:val="none" w:sz="0" w:space="0" w:color="auto"/>
                                    <w:right w:val="none" w:sz="0" w:space="0" w:color="auto"/>
                                  </w:divBdr>
                                  <w:divsChild>
                                    <w:div w:id="1976062208">
                                      <w:marLeft w:val="0"/>
                                      <w:marRight w:val="0"/>
                                      <w:marTop w:val="0"/>
                                      <w:marBottom w:val="0"/>
                                      <w:divBdr>
                                        <w:top w:val="none" w:sz="0" w:space="0" w:color="auto"/>
                                        <w:left w:val="none" w:sz="0" w:space="0" w:color="auto"/>
                                        <w:bottom w:val="none" w:sz="0" w:space="0" w:color="auto"/>
                                        <w:right w:val="none" w:sz="0" w:space="0" w:color="auto"/>
                                      </w:divBdr>
                                    </w:div>
                                    <w:div w:id="6831630">
                                      <w:marLeft w:val="0"/>
                                      <w:marRight w:val="0"/>
                                      <w:marTop w:val="0"/>
                                      <w:marBottom w:val="0"/>
                                      <w:divBdr>
                                        <w:top w:val="none" w:sz="0" w:space="0" w:color="auto"/>
                                        <w:left w:val="none" w:sz="0" w:space="0" w:color="auto"/>
                                        <w:bottom w:val="none" w:sz="0" w:space="0" w:color="auto"/>
                                        <w:right w:val="none" w:sz="0" w:space="0" w:color="auto"/>
                                      </w:divBdr>
                                    </w:div>
                                    <w:div w:id="840704411">
                                      <w:marLeft w:val="0"/>
                                      <w:marRight w:val="0"/>
                                      <w:marTop w:val="0"/>
                                      <w:marBottom w:val="0"/>
                                      <w:divBdr>
                                        <w:top w:val="none" w:sz="0" w:space="0" w:color="auto"/>
                                        <w:left w:val="none" w:sz="0" w:space="0" w:color="auto"/>
                                        <w:bottom w:val="none" w:sz="0" w:space="0" w:color="auto"/>
                                        <w:right w:val="none" w:sz="0" w:space="0" w:color="auto"/>
                                      </w:divBdr>
                                    </w:div>
                                    <w:div w:id="1016615291">
                                      <w:marLeft w:val="0"/>
                                      <w:marRight w:val="0"/>
                                      <w:marTop w:val="0"/>
                                      <w:marBottom w:val="0"/>
                                      <w:divBdr>
                                        <w:top w:val="none" w:sz="0" w:space="0" w:color="auto"/>
                                        <w:left w:val="none" w:sz="0" w:space="0" w:color="auto"/>
                                        <w:bottom w:val="none" w:sz="0" w:space="0" w:color="auto"/>
                                        <w:right w:val="none" w:sz="0" w:space="0" w:color="auto"/>
                                      </w:divBdr>
                                    </w:div>
                                    <w:div w:id="1331637868">
                                      <w:marLeft w:val="0"/>
                                      <w:marRight w:val="0"/>
                                      <w:marTop w:val="0"/>
                                      <w:marBottom w:val="0"/>
                                      <w:divBdr>
                                        <w:top w:val="none" w:sz="0" w:space="0" w:color="auto"/>
                                        <w:left w:val="none" w:sz="0" w:space="0" w:color="auto"/>
                                        <w:bottom w:val="none" w:sz="0" w:space="0" w:color="auto"/>
                                        <w:right w:val="none" w:sz="0" w:space="0" w:color="auto"/>
                                      </w:divBdr>
                                      <w:divsChild>
                                        <w:div w:id="1089040130">
                                          <w:marLeft w:val="0"/>
                                          <w:marRight w:val="0"/>
                                          <w:marTop w:val="0"/>
                                          <w:marBottom w:val="0"/>
                                          <w:divBdr>
                                            <w:top w:val="none" w:sz="0" w:space="0" w:color="auto"/>
                                            <w:left w:val="none" w:sz="0" w:space="0" w:color="auto"/>
                                            <w:bottom w:val="none" w:sz="0" w:space="0" w:color="auto"/>
                                            <w:right w:val="none" w:sz="0" w:space="0" w:color="auto"/>
                                          </w:divBdr>
                                          <w:divsChild>
                                            <w:div w:id="840779549">
                                              <w:marLeft w:val="0"/>
                                              <w:marRight w:val="0"/>
                                              <w:marTop w:val="0"/>
                                              <w:marBottom w:val="0"/>
                                              <w:divBdr>
                                                <w:top w:val="none" w:sz="0" w:space="0" w:color="auto"/>
                                                <w:left w:val="none" w:sz="0" w:space="0" w:color="auto"/>
                                                <w:bottom w:val="none" w:sz="0" w:space="0" w:color="auto"/>
                                                <w:right w:val="none" w:sz="0" w:space="0" w:color="auto"/>
                                              </w:divBdr>
                                              <w:divsChild>
                                                <w:div w:id="184693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1717</Words>
  <Characters>9793</Characters>
  <Application>Microsoft Office Word</Application>
  <DocSecurity>0</DocSecurity>
  <Lines>81</Lines>
  <Paragraphs>22</Paragraphs>
  <ScaleCrop>false</ScaleCrop>
  <Company/>
  <LinksUpToDate>false</LinksUpToDate>
  <CharactersWithSpaces>11488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Albova</dc:creator>
  <cp:keywords/>
  <dc:description/>
  <cp:lastModifiedBy>Inese Albova</cp:lastModifiedBy>
  <cp:revision>1</cp:revision>
  <dcterms:created xsi:type="dcterms:W3CDTF">2022-12-22T08:38:00Z</dcterms:created>
  <dcterms:modified xsi:type="dcterms:W3CDTF">2022-12-22T08:39:00Z</dcterms:modified>
</cp:coreProperties>
</file>