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22-TA-1405: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Aizsargjoslu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w:t>
            </w:r>
            <w:r w:rsidR="00000000" w:rsidRPr="00000000" w:rsidDel="00000000">
              <w:rPr>
                <w:vertAlign w:val="superscript"/>
                <w:rtl w:val="0"/>
              </w:rPr>
              <w:t xml:space="preserve">1</w:t>
            </w:r>
            <w:r w:rsidR="00000000" w:rsidRPr="00000000" w:rsidDel="00000000">
              <w:rPr>
                <w:rtl w:val="0"/>
              </w:rPr>
              <w:t xml:space="preserve">) daļas 1. punktu pēc vārdiem “likuma “Par ietekmes uz vidi novērtējumu” prasībām” ar vārdiem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esošu ēku vai būvju restaurācijai un atjaunošanai, nemainot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esošu ēku vai būvju pārbūvei, nemainot būves vai tās daļas apjomu un nemainot lietošanas veidu, ja tām ir nodrošināta piekļuve;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sezonas būvēm pludmalē pilsētās un ciemos, ja attiecīgajam pludmales posmam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pludmales labiekārtošanas elementiem un atsevišķiem labiekārtojuma elementiem, kas atrodas publiskajā ārtelpā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divu metru platu gājēju ceļu ar mīksto segumu vai koka dēļiem būvniecībai, pārbūvei vai atjaunošanai;”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redakcionāli mainīt b) apapkšpunktu, jo praksē sastopami gadījumi, kad būves apjomu nepalielina, bet gan samazina, tādādi nepārprotami samazinot arī ietekmi uz vidi, kam nebūtu nepieciešams piemērot kādu no vides procedūrām.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esošu ēku vai būvju pārbūvei, </w:t>
            </w:r>
            <w:r w:rsidR="00000000" w:rsidRPr="00000000" w:rsidDel="00000000">
              <w:rPr>
                <w:b w:val="1"/>
                <w:rtl w:val="0"/>
              </w:rPr>
              <w:t xml:space="preserve">nepalielinot</w:t>
            </w:r>
            <w:r w:rsidR="00000000" w:rsidRPr="00000000" w:rsidDel="00000000">
              <w:rPr>
                <w:rtl w:val="0"/>
              </w:rPr>
              <w:t xml:space="preserve">  būves vai tās daļas apjomu un nemainot lietošanas veidu, ja tām ir nodrošināta piekļuve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w:t>
            </w:r>
            <w:r w:rsidR="00000000" w:rsidRPr="00000000" w:rsidDel="00000000">
              <w:rPr>
                <w:vertAlign w:val="superscript"/>
                <w:rtl w:val="0"/>
              </w:rPr>
              <w:t xml:space="preserve">1</w:t>
            </w:r>
            <w:r w:rsidR="00000000" w:rsidRPr="00000000" w:rsidDel="00000000">
              <w:rPr>
                <w:rtl w:val="0"/>
              </w:rPr>
              <w:t xml:space="preserve">) daļas 1. punktu pēc vārdiem “likuma “Par ietekmes uz vidi novērtējumu” prasībām” ar vārdiem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esošu ēku vai būvju restaurācijai un atjaunošanai, nemainot lietošanas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esošu ēku vai būvju pārbūvei, nepalielinot būves vai tās daļas apjomu un nemainot lietošanas veidu, ja tām ir nodrošināta piekļuve;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sezonas būvēm pludmalē pilsētās un ciemos, ja attiecīgajam pludmales posmam ir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pludmales labiekārtošanas elementiem un atsevišķiem labiekārtojuma elementiem, kas atrodas publiskajā ārtelpā pilsētās un 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divu metru platu gājēju ceļu ar mīksto segumu vai koka dēļiem būvniecībai, pārbūvei vai atjaunošanai;”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6.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ar mehāniskajiem transportlīdzekļiem pārvietoties, apstāties un stāvēt ārpus autoceļiem, kā arī pārvietoties pa nobrauktuvēm pludmalē, izņemot gadījumus, kad pārvietošanās ir saistīta ar teritorijas apsaimniekošanu, uzraudzību vai valsts aizsardzību, vai cilvēku glābšanu un meklēšanu, vai ugunsdzēsības un glābšanas darbu veikšanu, robežuzraudzību vai sabiedriskās kārtības un drošības nodrošināšanu, kā arī gadījumus, kad ir saņemta pašvaldības rakstveida atļauja rūpnieciskās zvejas vajadzībām vai kad ir saņemta jūras piekrastes joslas valdītāja rakstveida atļauja publisko pasākumu nodrošināšanai, ūdens sporta un kuģošanas līdzekļu pievešanai un tūrisma pakalpojumu nodrošināšanai teritorijas plānojumā vai lokālplānojumā paredzētās vietās un vides monitoringa un zinātnisko pētījumu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36.panta trešās daļas 6. punkta nosacījuma </w:t>
            </w:r>
            <w:r w:rsidR="00000000" w:rsidRPr="00000000" w:rsidDel="00000000">
              <w:rPr>
                <w:i w:val="1"/>
                <w:rtl w:val="0"/>
              </w:rPr>
              <w:t xml:space="preserve"> “Papildus iepriekš minētajiem izņēmuma gadījumiem atļauts pārvietoties pa dabiskām brauktuvēm (ne vairāk kā četrus metrus plata neizbūvēta brauktuve meža zemes apsaimniekošanas un aizsardzības vajadzībām) tikai tādēļ, lai piekļūtu dzīvojamām ēkām vai vietējās pašvaldības teritorijas plānojumā paredzētām tūrisma un atpūtas vietām, ja nepastāv citas piekļuves iespējas” </w:t>
            </w:r>
            <w:r w:rsidR="00000000" w:rsidRPr="00000000" w:rsidDel="00000000">
              <w:rPr>
                <w:rtl w:val="0"/>
              </w:rPr>
              <w:t xml:space="preserve">svītrošanai no likumprojekta. Krasta kāpu aizsargjosla ir vēsturiski apbūvēta un cilvēki izmanto šos jau 30 un vairāk gadu iebrauktos ceļus, lai piekļūtu saviem īpašumiem. Jā šāda norma vairs nepastāv un ņemot vērā to, ka pārsvarā šīs teritorijas ir mežu zemes, tad, lai nodrošinātu piekļuvi īpašumiem, ir jāveic atmežošana, kas tāpat un lielākā platībā iznīcinas dabas pamatni.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panta trešās daļas 6. punkta otrais teikums netiek grozīts, tiek saglabāta esošā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6. punkta pirmo teikumu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37. panta  pirmo daļu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piecus metrus platā joslā apstrādāt augsni un audzēt lauksaimniecības kultūraugus;"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savus iebildumus un neatbalsta likuma 37.panta papildināšanu ar 8.punktu. Kopējās lauksaimniecības stratēģiskais  plāns šī gada 11.novembrī Eiropas Komisijā ir apstiprināts.  Plāna grozīšana un atkārtota saskaņošana ar Eiropas Komisiju aizkavētu atbalsta izmaksāšanu lauksaimniekiem 2023.gadā. Atkārtoti norādām, ka jebkuru prasību noteikšana  būtu balstāma uz zinātnē pamatotiem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šo grozījumu ietekmi uz tautsaimniecību. Lauksaimniecībā izmantojamās zemes izņemšana no ražošanas radīs lauksaimniekiem ieņēmumu zaudējumus. Lūdzam norādīt ikgadēji nepieciešamo kompensāciju apjomu lauksaimniekiem un tā avotu. Lūdzam arī norādīt Igaunijas un Lietuvas normatīvos aktus un tajos minētās obligātās prasības aizsargjoslām gar virszemes ūdensobjektiem lauksaimniecībā izmantojamā 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iekļauts Anotācijā. Aizsargjoslu likums neparedz tiešas kompensācijas zemes īpašniekiem par likumā noteiktajiem ierobežojumiem aizsargjoslās.  Igaunijā ierobežojumi aizsargjolsās ir noteikti Ūdens likumā (Water Act) (§ 118., § 119.), Lietuvā - Likumā par aizsargājamām teritorijām (Law on Protected Areas) (20.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37. panta  pirmo daļu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piecus metrus platā joslā apstrādāt augsni un audzēt lauksaimniecības kultūraugus;"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šādiem grozījumiem, jo tie būtiski apdraud Kopējās lauksaimniecības politikas stratēģiskā plāna 2023-2027 (turpmāk – Stratēģiskais plāns) īstenošanu. Labas lauksaimniecības un vides stāvokļa nosacījumi (turpmāk – LLVN), kuri pamatojas uz pašreiz spēkā esošajiem normatīvajiem aktiem, t.sk., uz Aizsargjoslu likuma 37. panta pirmās daļas 5. punkta "c" apakšpunktu, ir saskaņoti ar  Eiropas Komisiju, un Stratēģiskais plāns ir iesniegts Eiropas Komisijā galējai saskaņošanai. Pieņemot likumā ierosinātos grozījumus, būtu jāpārskata jau ar Eiropas Komisiju saskaņotie LLVN, kas nozīmētu jauno atbalsta intervenču ieviešanas un atbalsta izmaksāšanas lauksaimniekiem 2023. gadā 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rezultātā no lauksaimnieciskās ražošanas tiktu izņemti 3444 ha lauksaimniecībā izmantojamās zemes laikā, kad nodrošinājums ar pārtiku ir ļoti svarīgs.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pasākumus ūdens stāvokļa uzlabošanai, tiem jābūt zinātniski pamatotiem. Tāpēc būtu nepieciešams sagaidīt un izvērtēt 2020.gadā uzsāktā LIFE projekta “Latvijas upju baseinu apsaimniekošanas plānu ieviešana laba virszemes ūdens stāvokļa sasniegšanai” rezultātus. Projekta ietvaros ir plānots sagatavot priekšlikumus dažādu normatīvo aktu uzlabošanai, t.sk., Aizsargjoslu likumā un KLP plānošanas dokumentos. ZM ar nākošo gadu plāno arī pasūtīt pētījumu, kurā tiktu detalizēti izvērtēti lauksaimniecības noteču monitoringa dati, lai rastu labāko risinājumu ūdens stāvokļa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jāskata arī topošās Dabas atjaunošanas regulas kontekstā. Baltijas vides forums (BEF) projekta «Priekšlikumu sagatavošana aizsargāto teritoriju pārklājuma paplašināšanai Latvijas sauszemes teritorijā, atbilstoši ES Bioloģiskās daudzveidības stratēģijas 2030 mērķiem»  ietvaros ir minējis, ka pastāv iespējas iekļaut šajā  aprobežoto teritoriju kopapjomā dažāda veida aizsargjoslas pie nosacījuma, ja ir sagatavots attiecīgs digitāls slānis. ZM uzskata, ka jaunu aprobežojumu uzlikšana bez spēkā esoša digitālā slāņa un sociāli ekonomiska ietekmes izvērtējuma uz tautsaimniecību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pieejami arī konkrēti dati, cik lielam lauksaimniecības zemes apjomam jau tagad ir noteikti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sniegtajam pamatojumam norādām, ka, lai veiktu grozījumus Aizsargjoslu likuma 37. nav pamata gaidīt LIFE projekta "Latvijas upju baseinu apsaimniekošanas plānu ieviešana laba virszemes ūdens stāvokļa sasniegšanai” rezultātus, esošie monitoringa dati un pētījumi pierāda buferjoslu gar ūdensobjektiem nepieciešamību.  Arī Kopējās lauksaimniecības politikas stratēģiskajā plānā 2023.-2027. gadam ir atzīts, ka "Ūdens buferjoslas nodrošina nitrātjonu koncentrāciju samazināšanai jebkura sateces baseina teritorijā", tās ir nozīmīgas  piesārņojuma samazināšanai, klimata pārmaiņu mazināšanā un pielāgošnās tām. Pieredze rāda, ka zemes īpašnieki brīvprātīgi neveido buferjoslas gar ūdens objektiem, kas rada gan piesārņojuma ieskalošanu ūdensobjektos, gan tiešus erozijas draudus.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Buferjoslas, kurā aizliegts apstrādāt augsni, noteikšanas primārais mērķis ir uzlabot ūdeņu kvalitāti. Tās noteikšana neizriet no  topošās Dabas atjaunošanas regulas un tam nav saitības ar iebildumā minēto Baltijas vides foruma projektu. Lai ievērotu Aizsargjoslu likumā noteiktos ierobežojumus, kuri noteikti joslai ar konkrētu platumu, nav nepieciešams atsevišķs digitālais slānis.</w:t>
            </w:r>
            <w:r w:rsidR="00000000" w:rsidRPr="00000000" w:rsidDel="00000000">
              <w:rPr>
                <w:rtl w:val="0"/>
              </w:rPr>
              <w:t xml:space="preserve">Papildus norādām, ka gan Igaunijā, gan Lietuvā ir noteikts aizliegums apstrādāt augsni buferjoslās gar ūdenstecēm un ūdenstilpēm.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47.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Divus metrus platā joslā gar viena īpašuma un koplietošanas novadgrāvi, mērot no tā krotes, aizliegts apstrādāt augsni, audzēt lauksaimniecības kultūraugus un lietot mēslošanas līdzekļus un augu aizsardzības līdzekļus. Šis ierobežojums neattiecas uz kūdras ieguves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- 16.11.2022.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spēkā savus iebildumus un neatbalsta 47.panta papildināšanu ar trešo daļu. Kopējās lauksaimniecības stratēģiskais  plāns šī gada 11.novembrī Eiropas Komisijā ir apstiprināts.  Plāna grozīšana un atkārtota saskaņošana ar Eiropas Komisiju aizkavētu atbalsta izmaksāšanu lauksaimniekiem 2023.gadā. Atkārtoti norādām, ka jebkuru prasību noteikšana  būtu balstāma uz zinātnē pamatotiem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norādīt šo grozījumu ietekmi uz tautsaimniecību. Lauksaimniecībā izmantojamās zemes izņemšana no ražošanas radīs lauksaimniekiem ieņēmumu zaudējumus. Lūdzam norādīt ikgadēji nepieciešamo kompensāciju apjomu lauksaimniekiem un tā avotu. Lūdzam arī norādīt Igaunijas un Lietuvas normatīvos aktus un tajos minētās obligātās prasības aizsargjoslām gar virszemes ūdensobjektiem lauksaimniecībā izmantojamā 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Izziņas 4.punktā.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47.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Divus metrus platā joslā gar viena īpašuma un koplietošanas novadgrāvi, mērot no tā krotes, aizliegts apstrādāt augsni, audzēt lauksaimniecības kultūraugus un lietot mēslošanas līdzekļus un augu aizsardzības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likumprojekta jauno 47. panta trešo daļu tādā redakcijā, lai to nevarētu attiecināt uz kūdras ieguves vietām. Vārdus "apstrādāt augsni" var interpretēt ļoti plaši. Asociācijai ir bažas, ka likuma piemērotāji (kontrolējošās institūcijas) aizliegumu apstrādāt augsni varētu interpretēt kā aizliegumu veikt jebkādas darbības zemsedzē vai jau ierīkotā kūdras ieguves laukā. Kūdras ieguves vietas ierīkošana vienmēr ir saistīta ar zemes virsmas pārveidošanas darbiem, tajā skaitā, pie grāvjiem. Ņemot vērā līdzšinējo pieredzi, kad ir izvirzītas nepamatotas prasības attiecībā uz meliorācijas grāvjiem kūdras ieguves vietās, lūdzam iekļaut likumprojektā precīzus un nepārprotamus formulējumus.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47.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Divus metrus platā joslā gar viena īpašuma un koplietošanas novadgrāvi, mērot no tā krotes, aizliegts apstrādāt augsni, audzēt lauksaimniecības kultūraugus un lietot mēslošanas līdzekļus un augu aizsardzības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šādiem grozījumiem. Pamatojumu skatīt pie 37.panta grozījumiem. Papildus argumenti aprobežojumiem gar novadgrāvjiem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grozījumu rezultātā no lauksaimnieciskās ražošanas tiktu izņemti 6307 ha lauksaimniecībā izmantojamās zemes laikā, kad nodrošinājums ar pārtiku ir ļoti svarīgs.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augu aizsardzības līdzekļiem (AAL) likuma 47.panta papildinājums nav pamatots. Pirms atļaujas piešķiršanas AAL laišanai tirgū un lietošanai Latvijā, Valsts augu aizsardzības dienests izvērtē to atbilstību un Latvijas Republikā reģistrēto augu aizsardzības līdzekļu sarakstā tiek iekļauti tikai tādi līdzekļi, kas atbilst Regulā (EK) Nr. 1107/2009 noteiktajām prasībām. Augu aizsardzības līdzekļu izvērtēšanas procesā tiek ņemts vērā daudzi nozīmīgi faktori, lai novērtētu ietekmi uz virszemes ūdeņiem, gruntsūdeņiem, augsni un gaisu.  Saskaņā ar riska izvērtējuma rezultātiem daudziem augu aizsardzības līdzekļiem aizsargjoslas nav nepieciešams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Izziņas 3.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mēslošanas līdzekļi un augu aizsardzības līdzekļi, kas tiek izmantoti tiešā novadgrāvja tuvumā, rada ietekmi, tajā skaitā reģistrētie augu aizsardzības līdzekļi.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tieši projektā iekļautais regulējums ietekmēs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8.1.6.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Pašvaldībai vietējās pašvaldības teritorijas plānojumā vai lokālplānojumā ir jāparedz iespēja kājāmgājējiem piekļūt pludmalei un vietas automašīnu (transportlīdzekļu) stāvvietu ierīkošanai. Vietējā pašvaldība organizē gājēju ceļu ierīkošanu un norāžu par tiem izvietošanu, ņemot vērā esošo apbūvi un īpašumu robežas, kā arī to, ka pilsētās un ciemos jābūt vismaz diviem gājēju ceļiem uz vienu kilometru, bet ārpus pilsētām un ciemiem gājēju ceļi nedrīkst atrasties tālāk par vienu kilometru cits no cita, izņemot gadījumu, kad to nav iespējams nodrošināt dabā esošo apstākļu dēļ. Ja ne vairāk kā divu metru platu gājēju ceļu ar mīksto segumu vai koka dēļiem ierīko mežā, tā platību neatmežo. Ja nepieciešams, pašvaldība vietējās pašvaldības teritorijas plānojumā vai lokālplānojumā var noteikt īpašuma tiesību aprobežojumu par labu sabiedrības iespējai piekļūt pludmalei. Zemes īpašniekiem ir tiesības uz zaudējumu atlīdzību, ja tādi radušies aprobežojuma noteikšanas dēļ. Zaudējumu atlīdzības veidu, apmēru un aprēķināšanas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 tiek izteikta jaunā redakcijā, būs nepieciešams izdot minētos Ministru kabineta noteikumus jaunā redakcijā. Norādām, ka 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 Ievērojot minēto, ierosinām izvērtēt, vai norma būtu izsakāma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36. panta piektās daļas grozījumu redakcija, netiek izteikta jaunā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piekto daļu pēc vārdiem "teritorijas plānojumā"ar vārdiem "vai lokālplānojumā";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pārejas noteikumus, ņemot vērā, ka likuma grozījumiem neraksta pārejas noteikumu, kā arī pārejas kārtība jau ir atrunāta projekta 5.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spēkā stāšanos, norādām, ka minētajos likumos (likums "Grozījumi likumā "Par ietekmes uz vidi novērtējumu"" un likums "Grozījums Covid-19 infekcijas izplatības seku pārvarēšanas likumā") var tikt izdarīti arī citi grozījumi, tādēļ, lai būtu saprotams ar kādiem tieši grozījumiem likumprojekts vienlaikus stājas spēkā, ierosinām to norādīt likumprojekta pārejas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norādi uz projekta spēkā stāšanās laiku, ņemot vērā projektā paredzēto pārejas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26.punktā norādīts uz projekta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"Risinājuma apraksts" (anotācijas 4.lpp.) redakcionāli precizēt Ministru kabineta 2015.gada 27.janvāra noteikumu Nr.30 nosaukumu "Kārtība, kādā Valsts vides dienests izdod tehniskos noteikumus paredzētajai darbībai" (svītrot piezīmi "[DD1]").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piezīme.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(anotācijas 7.lpp.) norādīts, ka Ministru kabineta 2017.gada 28.novembra noteikumu Nr.692 "Peldvietas izveidošanas, uzturēšanas un ūdens kvalitātes pārvaldības kārtība"  (turpmāk - MK noteikumi) 10.punkts noteic, ka pašvaldībām jānodrošina gājēju celiņi un </w:t>
            </w:r>
            <w:r w:rsidR="00000000" w:rsidRPr="00000000" w:rsidDel="00000000">
              <w:rPr>
                <w:u w:val="single"/>
                <w:rtl w:val="0"/>
              </w:rPr>
              <w:t xml:space="preserve">automašīnu stāvvietas apmeklētāju</w:t>
            </w:r>
            <w:r w:rsidR="00000000" w:rsidRPr="00000000" w:rsidDel="00000000">
              <w:rPr>
                <w:rtl w:val="0"/>
              </w:rPr>
              <w:t xml:space="preserve"> un operatīvā transporta piekļuvei oficiālajām peldvietām (10.1.un 10.2.apakšpunkts).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10.2.apakšpunktu peldvietas apsaimniekotājs pirms peldsezonas sākuma nodrošina, lai peldvietai būtu piebraucamais ceļš, kas nepieciešams operatīvajiem transportlīdzekļiem un transportlīdzekļiem, ko izmanto peldvietas apsaimniekošanai, uzraudzībai un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10.2.apakšpunktā nav ietverts nosacījums par automašīnu stāvvietu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norādīt arī to, kā tieši projektā iekļautais regulējums ietekmēs attiecīgās mērķgrupas. Netieša ietekme būs arī 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norādīt institūcijas, kuras nodrošinās projektā iekļautā regulējuma izpildi (piemēram, pašvaldības, Valsts vides dienests, Dabas aizsardzības pārvalde). Papildus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22-TA-1405</w:t>
    </w:r>
    <w:r>
      <w:br/>
    </w:r>
    <w:r w:rsidR="00000000" w:rsidRPr="00000000" w:rsidDel="00000000">
      <w:rPr>
        <w:rtl w:val="0"/>
      </w:rPr>
      <w:t xml:space="preserve">26.01.2023. 15.14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22-TA-1405</w:t>
    </w:r>
    <w:r>
      <w:br/>
    </w:r>
    <w:r w:rsidR="00000000" w:rsidRPr="00000000" w:rsidDel="00000000">
      <w:rPr>
        <w:rtl w:val="0"/>
      </w:rPr>
      <w:t xml:space="preserve">26.01.2023. 15.14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Izziņa_22-TA-1405.docx</dc:title>
</cp:coreProperties>
</file>

<file path=docProps/custom.xml><?xml version="1.0" encoding="utf-8"?>
<Properties xmlns="http://schemas.openxmlformats.org/officeDocument/2006/custom-properties" xmlns:vt="http://schemas.openxmlformats.org/officeDocument/2006/docPropsVTypes"/>
</file>