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22-TA-3340: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5.1 prioritātes “Reģionu līdzsvarota attīstība”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jaunu punktu, kas paredz vērtēt, vai projekta iesniedzējs un sadarbības partneris ( ja attiecināms) nav grūtībās nonācis saimnieciskās darbības veicējs, ņemot vērā, ka šāds vienotais izvēles kritērijs paredzēts 5.1.1.3.pasākuma projekta iesniegumu vērtēšanas kritērijos. Vēršam uzmanību, ka atbilstoši  Finanšu ministrijas metodikas projektā “Eiropas Reģionālās attīstības fonda, Eiropas Sociālā fonda plus, Kohēzijas fonda un Taisnīgas pārkārtošanās fonda projektu iesniegumu atlases metodika 2021.–2027.gadam” noteiktajam vienotajiem izvēles kritējiem ir jābūt atbilstošiem MK noteikumiem par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projekta iesniedzējam vai sadarbības partnerim netiek sniegts valsts atbalsts saskaņā ar Eiropas Komisijas 2011. gada 20. decembra lēmumu Nr. 2012/21/ES par Līguma par Eiropas Savienības darbību 106. panta 2. punkta piemērošanu valsts atbalstam attiecībā uz kompensāciju par sabiedriskajiem pakalpojumiem, ja tas atbilst Komisijas regulas Nr.651/2014 2.panta 18.punkta pazīmēm.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mērķis ir publiskās ārtelpas attīstīšana pilsētu funkcionālajās teritorijās, uzlabojot dzīves vides kvalitāti un palielinot sabiedrības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ārtelpa un šāda apjoma projekti parasti skar noteikto teritoriju apmeklētājus no citām pašvaldībām, reģioniem un valstīm, prioritāri kā pašvaldība, protams, saglabājot fokusu uz primāro mērķauditoriju vietējie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pasākumu mērķi papildināt un precizēt: “Pasākuma mērķis ir publiskās ārtelpas attīstīšana pilsētu funkcionālajās teritorijās, uzlabojot dzīves vides kvalitāti, palielinot sabiedrības drošību, kā arī nodrošinot rekreācijai un izziņai atbilstošu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tie varētu būt ar tūrismu un atpūtu saistīti objekti.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kohēzijas politikas programmā 2021.–2027.gadam noteikto, pasākuma ietvaros ir atbalstāmi integrēti ieguldījumi publiskajā ārtelpā (piem., parks, skvērs, promenāde, publiski pieejama atpūtas zona, t.sk. Baltijas jūras piekrastē), identificējot primāri svarīgās vietas, kur ieguldījumi var sniegt vislielāko atdevi, palielināt sabiedrības drošību vai uzlabot dzīves vides kvalitāti, kas var ietvert multifunkcionālus risinājumus, zaļo un zilo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ārtelpa var tikt izmantota arī rekreācijai un izziņai.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publisko ārtelpu primāri būtu nepieciešams attīstīt pie mobilitātes punktiem, pie ēkām, kur tiek sniegti valsts vai pašvaldību pakalpojumi, pie ēkām, kurās tiek veikta saimnieciskā darbība, un vietās, kur paredzētas darbības, kas palielinās sabiedrisko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mērķis ir publiskās ārtelpas attīstīšana pilsētu funkcionālajās teritorijās, uzlabojot dzīves vides kvalitāti un palielinot sabiedrības drošību.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mērķis ir publiskās ārtelpas attīstīšana pilsētu funkcionālajās teritorijās, uzlabojot dzīves vides kvalitāti un palielinot sabiedrības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ārtelpa un šāda apjoma projekti parasti skar noteikto teritoriju apmeklētājus no citām pašvaldībām, reģioniem un valstīm, prioritāri kā pašvaldība, protams, saglabājot fokusu uz primāro mērķauditoriju vietējie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pasākumu mērķi papildināt un precizēt: “Pasākuma mērķis ir publiskās ārtelpas attīstīšana pilsētu funkcionālajās teritorijās, uzlabojot dzīves vides kvalitāti, palielinot sabiedrības drošību, kā arī nodrošinot rekreācijai un izziņai atbilstošu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tie varētu būt ar tūrismu un atpūtu saistīti objekti.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publiskās ārtelpas attīstīšana pilsētu funkcionālajās teritorijās, uzlabojot dzīves vides kvalitāti, palielinot sabiedrības drošību, kā arī nodrošinot rekreācijai un izziņai atbilstošu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kohēzijas politikas programmā 2021.–2027.gadam noteikto, pasākuma ietvaros ir atbalstāmi integrēti ieguldījumi publiskajā ārtelpā (piem., parks, skvērs, promenāde, publiski pieejama atpūtas zona, t.sk. Baltijas jūras piekrastē), identificējot primāri svarīgās vietas, kur ieguldījumi var sniegt vislielāko atdevi, palielināt sabiedrības drošību vai uzlabot dzīves vides kvalitāti, kas var ietvert multifunkcionālus risinājumus, zaļo un zilo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ārtelpa var tikt izmantota arī rekreācijai un izziņai.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publisko ārtelpu primāri būtu nepieciešams attīstīt pie mobilitātes punktiem, pie ēkām, kur tiek sniegti valsts vai pašvaldību pakalpojumi, pie ēkām, kurās tiek veikta saimnieciskā darbība, un vietās, kur paredzētas darbības, kas palielinās sabiedrisko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mērķis ir publiskās ārtelpas attīstīšana pilsētu funkcionālajās teritorijās, uzlabojot dzīves vides kvalitāti un palielinot sabiedrības drošību.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ārtelpa šo noteikumu izpratnē ir sabiedrībai brīvi vai daļēji pieejamas teritorijas un telpas, ko veido bulvāri, laukumi, publisku ēku pagalmi, pasāžas, krastmalas, promenādes, parki, mežaparki, skvēri, publiskie ūdeņi un citas vietas, kas nodotas publiskai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9.punktā minēts, ka “Publiskā ārtelpa šo noteikumu izpratnē ir sabiedrībai brīvi vai daļēji pieejamas teritorijas un telpas, ko veido bulvāri, laukumi, publisku ēku pagalmi, pasāžas, krastmalas, promenādes, parki, mežaparki, skvēri, publiskie ūdeņi un citas vietas, kas nodotas publiskai lietošanai.” Nav skaidrs termins “daļēji pieejamas”, jo programmas ietvaros komercdarbības atbalsts nav plānots (izņemot gadījumus, kad to piešķirs kā kompensāciju par sabiedriskajiem pakalpojumiem), un ja kāda infastruktūra ir izveidota kādu konkrētu komersantu interesēs, vai par tās izmantošanu tiek iekasēta samaksa, tad pasākums ir jāvērtē komercdarbības atbalsta kontekstā. Attiecīgi lūdzam precizēt MK noteikumu projektu un anotāciju skaidrojot šos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9.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ārtelpa šo noteikumu izpratnē ir sabiedrībai brīvi vai daļēji pieejamas teritorijas un telpas, ko veido bulvāri, laukumi, publisku ēku pagalmi, pasāžas, krastmalas, promenādes, parki, mežaparki, skvēri, publiskie ūdeņi un citas vietas, kas nodotas publiskai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Sarunā starp RACA un VARAM par Publiskās ārtelpas attīstību tika uzsākts jautājums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estrādēm, vai tajās var ieguldīt finanšu līdzekļus un attīstīt tās, nonākot pie secinājuma, ka estrādes tiek pieskaitītas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ēkām, un šī projekta ietvaros nevar būvēt ēkās (izņemot publiskās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tualetes) un veikt ieguldījumus ēkās. Rīgā un citās lielajās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pilsētās jaunās estrādes ir kā ēku komplekss ar ģērbtuvēm, tualetēm,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noliktavām utt., bet, piemēram, Valkas novada pašvaldības gadījumā estrāde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 tā ir būve, līdzīgi kā ceļi, ietves, tilti utt., bet tā nav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ir publiska, brīvi pieejama brīvdabas estrāde, kas atrodas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mežaparka teritorijā, tādējādi uzskatām, ka vajadzētu iekļaut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estrādes kā atbalstāmo publisko ārtelpu, lai nebūtu pārpratumu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interpretācijas, kuram estrāde ir ēka, kuram būve un kuram vienkārši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ārtelpa.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redakciju un skaidrojumu anotācijā par projektu ietvaros attiecināmajām atsevišķu labiekārtojuma elementu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plānotajos projektos ir attiecināmas pašvaldības izvēlētās publiskās ārtelpas attīstībai nepieciešamo labiekārtošanas darbu un atsevišķu labiekārtojuma elementu (inženierbūvju) izmaksas. Saskaņā ar Ministru kabineta 2014.gada 19.augusta noteikumu Nr.500 “Vispārīgie būvnoteikumi” 1.pielikuma  3.1.1. apakšpunktu atsevišķie labiekārtojuma elementi pieder pie pirmās inženierbūvju grupas. Attiecīgi ar atsevišķiem labiekārtojuma elementiem šo noteikumu ietvaros saprot pirmo inženierbūvju grupu, savukārt otrās un trešās grupas inženierbūvju attīstīšana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2014.gada 19.augusta noteikumu Nr.500 “Vispārīgie būvnoteikumi” 1.pielikuma 3.2.7.apakšpunktu estrādes ar tribīnēm, kurās paredzētas vairāk nekā 1000 sēdvietas, pieder pie trešās inženierbūvju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Valkas piemērā estrāde un skatītāju sēdvietas ir atsevišķi nodalītas būves. Līdz ar to skatītāju sēdvietas pie brīvdabas estrādes varētu uzskatīt kā atsevišķu publiskās ārtelpas labiekārtojuma elementu, kas izmantojams dažādiem mērķiem, neatkarīgi no pasākumiem estrādē.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publisko ārtelpu primāri būtu nepieciešams attīstīt pie mobilitātes punktiem, pie ēkām, kur tiek sniegti valsts vai pašvaldību pakalpojumi, pie ēkām, kurās tiek veikta saimnieciskā darbība, un vietās, kur paredzētas darbības, kas palielinās sabiedrisko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ārtelpa šo noteikumu izpratnē ir sabiedrībai brīvi vai daļēji pieejamas teritorijas un telpas, ko veido bulvāri, laukumi, publisku ēku pagalmi, pasāžas, krastmalas, promenādes, parki, mežaparki, skvēri, publiskie ūdeņi un citas vietas, kas nodotas publiskai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šo noteikumu izpratnē ir publiskie ūdeņi?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tie ir tikai tie, kas minēti Civillikuma pielikumā -PIELIKUMS (1102.pantam)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ezeru un upju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16.09.2021. likuma redakcijā, kas stājas spēkā 11.10.2021.)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tomēr šajā gadījumā tas skatāms plašāk?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ārtelpas definīcija ir dota Ministru kabineta 2013.gada 30.aprīļa noteikumos Nr.240 “Vispārīgie teritorijas plānošanas, izmantošanas un apbūves noteikumi”. Publiskie ūdeņi ir Civillikuma pielikumā iekļautie ūdeņi. Savukārt  uz citiem, publiski pieejamiem ūdeņiem - upēm, ezeriem, strautiem, dīķiem, kanāliem attiecas - </w:t>
            </w:r>
            <w:r w:rsidR="00000000" w:rsidRPr="00000000" w:rsidDel="00000000">
              <w:rPr>
                <w:i w:val="1"/>
                <w:rtl w:val="0"/>
              </w:rPr>
              <w:t xml:space="preserve">citas vietas, kas nodotas publiskai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mērķgrupa ir nacionālas un reģionālas nozīmes attīstības centru un to funkcionālo teritoriju pašvaldības, plānošanas reģioni un iedzīvotāji.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Definētā mērķgrupa ir sakombinēta no dažāda svara kritērijiem, attiecīgi lūdzam precizēt to, vienlaikus paplašinot mērķgrupu atbilstoši lietojumam un papildinātam mērķim: “Pasākuma mērķgrupa ir nacionālas un reģionālas nozīmes attīstības centru un to funkcionālo teritoriju pašvaldību iedzīvotāji, kā arī vietējie un  ārvalstu tūristi.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lai arī tiešā pasākuma mērķa grupa ir nacionālas un reģionālas nozīmes attīstības centru un to funkcionālo teritoriju pašvaldību iedzīvotāji,  to var izmantot arī vietējie un  ārvalstu tūristi.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mērķgrupa ir nacionālas un reģionālas nozīmes attīstības centru un to funkcionālo teritoriju pašvaldību iedzīvotāji.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mērķgrupa ir nacionālas un reģionālas nozīmes attīstības centru un to funkcionālo teritoriju pašvaldības, plānošanas reģioni un iedzīvotāji.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Definētā mērķgrupa ir sakombinēta no dažāda svara kritērijiem, attiecīgi lūdzam precizēt to, vienlaikus paplašinot mērķgrupu atbilstoši lietojumam un papildinātam mērķim: “Pasākuma mērķgrupa ir nacionālas un reģionālas nozīmes attīstības centru un to funkcionālo teritoriju pašvaldību iedzīvotāji, kā arī vietējie un  ārvalstu tūristi.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mērķgrupa ir nacionālas un reģionālas nozīmes attīstības centru un to funkcionālo teritoriju pašvaldību iedzīvotāji, kā arī vietējie un  ārvalstu tūristi."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lai arī tiešā pasākuma mērķa grupa ir nacionālas un reģionālas nozīmes attīstības centru un to funkcionālo teritoriju pašvaldību iedzīvotāji,  to var izmantot arī vietējie un  ārvalstu tūristi.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mērķgrupa ir nacionālas un reģionālas nozīmes attīstības centru un to funkcionālo teritoriju pašvaldību iedzīvotāji.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Pasākumu īsteno līdz 2026.gada 31.decembrim, sasniedzot programmas iznākuma rādītāju - jaunizveidotas vai atjaunotas atvērtās zonas (publiskās teritorijas) pilsētvidē – 117 666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notiekumu projekta pasākumi tiek īsitenoti , veicot ieguldījumus pilsētu funkcionālajās teritorijās, nav saprotams, kādēļ  11.punktā lietots termins "pilsētvide".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īsteno līdz 2026.gada 31.decembrim, sasniedzot programmas iznākuma rādītāju - jaunizveidotas vai atjaunotas atvērtās zonas (publiskās teritorijas)  – 117 666 m2.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termins “pilsētvide” MK noteikumu projekta 11.punktā tiek lietots, ņemot vērā, ka tas ir Eiropas Komisijas noteiktais kopējais iznākuma rādītājs, kura nosaukumu vienādi piemēro visās Eiropas Savienības dalībvalstīs. Šis rādītājs ir iekļauts Eiropas Savienības kohēzijas politikas programmas 2021.–2027.gadam 10.tabulā ar atbilstošu nosaukumu (iznākuma rādītājs Nr. RCO114). Ievērojot minēto, rādītāja nosaukums attiecīgā redakcijā tiek iekļauts arī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Pasākumu īsteno līdz 2026.gada 31.decembrim, sasniedzot programmas iznākuma rādītāju - jaunizveidotas vai atjaunotas atvērtās zonas (publiskās teritorijas) pilsētvidē – 117 666 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Pasākumu īsteno līdz 2029.gada 31.decembrim, sasniedzot rezultāta rādītāju - jaunizveidotas vai atjaunotas atvērtās zonas (publiskās teritorijas) pilsētvidē – 117 666 m2.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11.punktā, 12.punktā un 37.punktā norādīto rezultāta rādītāju uz iznākuma rādītāju, kā arī precizēt norādīto informāciju anotācijā, lai nodrošinātu atbilstību Eiropas Savienības kohēzijas politikas programmā 2021.–2027.gadam noteiktajam. Papildus vēršam uzmanību uz anotācijā norādīto informāciju, ka MK noteikumu projekts nosaka arī līdz 2029.gada 31.decembrim sasniedzamo iznākuma rādītāju “Atbalstītas vismaz piecas integrētas teritoriālās attīstības stratēģijas”, taču MK noteikumu projektā attiecīgais rādītājs tomēr nav norādīts. Gadījumā, ja pasākuma īstenošanai nav tiešas ietekmes uz attiecīgā iznākuma rādītāja sasniegšanu, lūdzam ar atbilstošu informāciju papildināt anotāciju, tādejādi nodrošinot līdzīgu pieeju kā 5.1.1.2.pasākuma “Pašvaldību un plānošanas reģionu kapacitātes uzlabošana” anotācijā norādītajai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papildinājumus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Pasākumu īsteno līdz 2026.gada 31.decembrim, sasniedzot programmas iznākuma rādītāju - jaunizveidotas vai atjaunotas atvērtās zonas (publiskās teritorijas) pilsētvidē – 117 666 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 minimālais attiecināmo izmaksu apmērs nav mazāks par 200 000</w:t>
            </w:r>
            <w:r w:rsidR="00000000" w:rsidRPr="00000000" w:rsidDel="00000000">
              <w:rPr>
                <w:i w:val="1"/>
                <w:rtl w:val="0"/>
              </w:rPr>
              <w:t xml:space="preserve"> euro</w:t>
            </w:r>
            <w:r w:rsidR="00000000" w:rsidRPr="00000000" w:rsidDel="00000000">
              <w:rPr>
                <w:rtl w:val="0"/>
              </w:rPr>
              <w:t xml:space="preserve">, un projekta iesnieguma maksimālais ERAF finansējums ir 800 000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publiskās ārtelpas attīstības iespējas nepieciešamajā apjomā un kvalitātē valstspilsētu teritorijās, lūdzam noteikt augstāku maksimālo attiecināmo izmaksu apmēru vienam projektam, nosakot to 1 000 000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minimālais attiecināmo izmaksu apmērs nav mazāks par 200 000 euro, un projekta iesnieguma maksimālais ERAF finansējums ir 1 000 000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pašvaldību sniegtos atšķirīgos viedokļus par projekta maksimālo ERAF finansējuma apmēru, būtiski ir rast visām pašvaldībām pieņemamu kompromisu par projekta iesnieguma maksimālā ERAF finansējumam apmēru, un 800 000 euro ir optimālais kompromisa variants jeb viduspunkts.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tiek īstenots 5. politikas mērķa “Iedzīvotājiem tuvāka Eiropa” ietvaros, kas vērsts uz  reģionos dzīvojošo iedzīvotāju dzīves kvalitātes uzlabošanu, VARAM ieskatā būtiski saglabāt pēc iespējas plašāku publiskās ārtelpas investīciju teritoriālo pārklājumu Latvijā, kas ir aktuāls un gaidīts investīciju pasākums katrā pašvaldībā. Sniedzot atbalstu vairākiem ārtelpas attīstības projektiem, tiktu nodrošināta iespēja uzlabot dzīves vides kvalitāti un sabiedrības drošību plašākam iedzīvotāju lokam visā Latvijā – ne tikai intensīvi apdzīvotās vietās (valstspilsētās), bet arī attīstot pievilcīgu un drošu ārtelpu iedzīvotājiem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VARAM piedāvāto kompromisu maksimālajam ERAF finansējuma apmēram  800 000 </w:t>
            </w:r>
            <w:r w:rsidR="00000000" w:rsidRPr="00000000" w:rsidDel="00000000">
              <w:rPr>
                <w:i w:val="1"/>
                <w:rtl w:val="0"/>
              </w:rPr>
              <w:t xml:space="preserve">euro </w:t>
            </w:r>
            <w:r w:rsidR="00000000" w:rsidRPr="00000000" w:rsidDel="00000000">
              <w:rPr>
                <w:rtl w:val="0"/>
              </w:rPr>
              <w:t xml:space="preserve">kopumā tiktu nodrošināta vismaz 27-32 projektu īstenošana jeb vismaz vienas publiskās ārtelpas attīstība aptuveni 2/3 no pašvaldībām. Skat. papildu apsvērumus izziņas 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kopējās projekta izmaksas (nepieciešamības gadījumā) pašvaldības var paredzēt arī lielākas.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 minimālais attiecināmo izmaksu apmērs nav mazāks par 200 000 (ieskaitot)</w:t>
            </w:r>
            <w:r w:rsidR="00000000" w:rsidRPr="00000000" w:rsidDel="00000000">
              <w:rPr>
                <w:i w:val="1"/>
                <w:rtl w:val="0"/>
              </w:rPr>
              <w:t xml:space="preserve"> euro</w:t>
            </w:r>
            <w:r w:rsidR="00000000" w:rsidRPr="00000000" w:rsidDel="00000000">
              <w:rPr>
                <w:rtl w:val="0"/>
              </w:rPr>
              <w:t xml:space="preserve">, un projekta iesnieguma maksimālais ERAF finansējums ir 800 000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 minimālais attiecināmo izmaksu apmērs nav mazāks par 200 000</w:t>
            </w:r>
            <w:r w:rsidR="00000000" w:rsidRPr="00000000" w:rsidDel="00000000">
              <w:rPr>
                <w:i w:val="1"/>
                <w:rtl w:val="0"/>
              </w:rPr>
              <w:t xml:space="preserve"> euro</w:t>
            </w:r>
            <w:r w:rsidR="00000000" w:rsidRPr="00000000" w:rsidDel="00000000">
              <w:rPr>
                <w:rtl w:val="0"/>
              </w:rPr>
              <w:t xml:space="preserve">, un projekta iesnieguma maksimālais ERAF finansējums ir 560 000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kvalificēties atbalstam pašvaldībām, kuras plāno publiskās ārtelpas investīciju projektus, t.sk. pašvaldības līdzfinansējuma nodrošināšanu mazākā apjomā, lūdzam noteikt zemāku minimālo attiecināmo izmaksu apmēru vienam projektam, nosakot to 100 000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diskusijās ar pašvaldībām izteiktos viedokļus par plānotajiem projektiem un tiem plānoto finansējuma apjomu, kas krietni pārsniedz 200 000 </w:t>
            </w:r>
            <w:r w:rsidR="00000000" w:rsidRPr="00000000" w:rsidDel="00000000">
              <w:rPr>
                <w:i w:val="1"/>
                <w:rtl w:val="0"/>
              </w:rPr>
              <w:t xml:space="preserve">euro</w:t>
            </w:r>
            <w:r w:rsidR="00000000" w:rsidRPr="00000000" w:rsidDel="00000000">
              <w:rPr>
                <w:rtl w:val="0"/>
              </w:rPr>
              <w:t xml:space="preserve">, kā arī lai mazinātu administratīvo slogu, projekta minimālais attiecināmo izmaksu apmērs netiek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 minimālais attiecināmo izmaksu apmērs nav mazāks par 200 000 (ieskaitot)</w:t>
            </w:r>
            <w:r w:rsidR="00000000" w:rsidRPr="00000000" w:rsidDel="00000000">
              <w:rPr>
                <w:i w:val="1"/>
                <w:rtl w:val="0"/>
              </w:rPr>
              <w:t xml:space="preserve"> euro</w:t>
            </w:r>
            <w:r w:rsidR="00000000" w:rsidRPr="00000000" w:rsidDel="00000000">
              <w:rPr>
                <w:rtl w:val="0"/>
              </w:rPr>
              <w:t xml:space="preserve">, un projekta iesnieguma maksimālais ERAF finansējums ir 800 000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 minimālais attiecināmo izmaksu apmērs nav mazāks par 200 000</w:t>
            </w:r>
            <w:r w:rsidR="00000000" w:rsidRPr="00000000" w:rsidDel="00000000">
              <w:rPr>
                <w:i w:val="1"/>
                <w:rtl w:val="0"/>
              </w:rPr>
              <w:t xml:space="preserve"> euro</w:t>
            </w:r>
            <w:r w:rsidR="00000000" w:rsidRPr="00000000" w:rsidDel="00000000">
              <w:rPr>
                <w:rtl w:val="0"/>
              </w:rPr>
              <w:t xml:space="preserve">, un projekta iesnieguma maksimālais ERAF finansējums ir 560 000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publiskās ārtelpas attīstības iespējas nepieciešamajā apjomā un kvalitātē valstspilsētu teritorijās, lūdzam noteikt augstāku maksimālo attiecināmo izmaksu apmēru vienam projektam, nosakot to 1 200 000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nenoteikt ERAF finansējuma izmaksu ierobežojumu uz vienu m2, kā tas ir ietverts projekta iesniegumu vērtēšanas kritēriju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pašvaldību sniegtos atšķirīgos viedokļus par projekta maksimālo ERAF finansējuma apmēru, VARAM piedāvā kompromisu, nosakot, ka projekta iesnieguma maksimālais ERAF finansējums ir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800 000 </w:t>
            </w:r>
            <w:r w:rsidR="00000000" w:rsidRPr="00000000" w:rsidDel="00000000">
              <w:rPr>
                <w:i w:val="1"/>
                <w:rtl w:val="0"/>
              </w:rPr>
              <w:t xml:space="preserve">euro</w:t>
            </w:r>
            <w:r w:rsidR="00000000" w:rsidRPr="00000000" w:rsidDel="00000000">
              <w:rPr>
                <w:rtl w:val="0"/>
              </w:rPr>
              <w:t xml:space="preserve"> projekta maksimālo ERAF finansējumu varētu tikt atbalstīti par aptuveni 10 projektiem mazāk nekā sākotnējā VARAM priekšlikumā un par aptuveni 10 projektiem vairāk nekā, ja maksimālais projekta ERAF finansējums tiktu noteikts 1,2 milj.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projekta maksimālais ERAF finansējums 1 200 000 </w:t>
            </w:r>
            <w:r w:rsidR="00000000" w:rsidRPr="00000000" w:rsidDel="00000000">
              <w:rPr>
                <w:i w:val="1"/>
                <w:rtl w:val="0"/>
              </w:rPr>
              <w:t xml:space="preserve">euro</w:t>
            </w:r>
            <w:r w:rsidR="00000000" w:rsidRPr="00000000" w:rsidDel="00000000">
              <w:rPr>
                <w:rtl w:val="0"/>
              </w:rPr>
              <w:t xml:space="preserve">, tad attiecīgi katrā plānošanas reģionā aptuvenais atbalstāmo projektu skaits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Rīgas PR (2 327 378 </w:t>
            </w:r>
            <w:r w:rsidR="00000000" w:rsidRPr="00000000" w:rsidDel="00000000">
              <w:rPr>
                <w:i w:val="1"/>
                <w:rtl w:val="0"/>
              </w:rPr>
              <w:t xml:space="preserve">euro</w:t>
            </w:r>
            <w:r w:rsidR="00000000" w:rsidRPr="00000000" w:rsidDel="00000000">
              <w:rPr>
                <w:rtl w:val="0"/>
              </w:rPr>
              <w:t xml:space="preserve">) - 1-2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Kurzemes PR (4 748 472 </w:t>
            </w:r>
            <w:r w:rsidR="00000000" w:rsidRPr="00000000" w:rsidDel="00000000">
              <w:rPr>
                <w:i w:val="1"/>
                <w:rtl w:val="0"/>
              </w:rPr>
              <w:t xml:space="preserve">euro</w:t>
            </w:r>
            <w:r w:rsidR="00000000" w:rsidRPr="00000000" w:rsidDel="00000000">
              <w:rPr>
                <w:rtl w:val="0"/>
              </w:rPr>
              <w:t xml:space="preserve">) - 3-4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Zemgales PR (4 928 930 </w:t>
            </w:r>
            <w:r w:rsidR="00000000" w:rsidRPr="00000000" w:rsidDel="00000000">
              <w:rPr>
                <w:i w:val="1"/>
                <w:rtl w:val="0"/>
              </w:rPr>
              <w:t xml:space="preserve">euro</w:t>
            </w:r>
            <w:r w:rsidR="00000000" w:rsidRPr="00000000" w:rsidDel="00000000">
              <w:rPr>
                <w:rtl w:val="0"/>
              </w:rPr>
              <w:t xml:space="preserve">) - 4-5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Vidzemes PR (5 111 028 </w:t>
            </w:r>
            <w:r w:rsidR="00000000" w:rsidRPr="00000000" w:rsidDel="00000000">
              <w:rPr>
                <w:i w:val="1"/>
                <w:rtl w:val="0"/>
              </w:rPr>
              <w:t xml:space="preserve">euro</w:t>
            </w:r>
            <w:r w:rsidR="00000000" w:rsidRPr="00000000" w:rsidDel="00000000">
              <w:rPr>
                <w:rtl w:val="0"/>
              </w:rPr>
              <w:t xml:space="preserve">) - 4-5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Latgales PR (6 548 192 </w:t>
            </w:r>
            <w:r w:rsidR="00000000" w:rsidRPr="00000000" w:rsidDel="00000000">
              <w:rPr>
                <w:i w:val="1"/>
                <w:rtl w:val="0"/>
              </w:rPr>
              <w:t xml:space="preserve">euro</w:t>
            </w:r>
            <w:r w:rsidR="00000000" w:rsidRPr="00000000" w:rsidDel="00000000">
              <w:rPr>
                <w:rtl w:val="0"/>
              </w:rPr>
              <w:t xml:space="preserve">) - 5-6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17-22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projekta maksimālais ERAF finansējums 800 000 </w:t>
            </w:r>
            <w:r w:rsidR="00000000" w:rsidRPr="00000000" w:rsidDel="00000000">
              <w:rPr>
                <w:i w:val="1"/>
                <w:rtl w:val="0"/>
              </w:rPr>
              <w:t xml:space="preserve">euro</w:t>
            </w:r>
            <w:r w:rsidR="00000000" w:rsidRPr="00000000" w:rsidDel="00000000">
              <w:rPr>
                <w:rtl w:val="0"/>
              </w:rPr>
              <w:t xml:space="preserve">, tad attiecīgi katrā plānošanas reģionā aptuvenais atbalstāmo projektu skaits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Rīgas PR (2 327 378 </w:t>
            </w:r>
            <w:r w:rsidR="00000000" w:rsidRPr="00000000" w:rsidDel="00000000">
              <w:rPr>
                <w:i w:val="1"/>
                <w:rtl w:val="0"/>
              </w:rPr>
              <w:t xml:space="preserve">euro</w:t>
            </w:r>
            <w:r w:rsidR="00000000" w:rsidRPr="00000000" w:rsidDel="00000000">
              <w:rPr>
                <w:rtl w:val="0"/>
              </w:rPr>
              <w:t xml:space="preserve">) - 2-3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Kurzemes PR (4 748 472 </w:t>
            </w:r>
            <w:r w:rsidR="00000000" w:rsidRPr="00000000" w:rsidDel="00000000">
              <w:rPr>
                <w:i w:val="1"/>
                <w:rtl w:val="0"/>
              </w:rPr>
              <w:t xml:space="preserve">euro</w:t>
            </w:r>
            <w:r w:rsidR="00000000" w:rsidRPr="00000000" w:rsidDel="00000000">
              <w:rPr>
                <w:rtl w:val="0"/>
              </w:rPr>
              <w:t xml:space="preserve">) - 5-6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Zemgales PR (4 928 930 </w:t>
            </w:r>
            <w:r w:rsidR="00000000" w:rsidRPr="00000000" w:rsidDel="00000000">
              <w:rPr>
                <w:i w:val="1"/>
                <w:rtl w:val="0"/>
              </w:rPr>
              <w:t xml:space="preserve">euro</w:t>
            </w:r>
            <w:r w:rsidR="00000000" w:rsidRPr="00000000" w:rsidDel="00000000">
              <w:rPr>
                <w:rtl w:val="0"/>
              </w:rPr>
              <w:t xml:space="preserve">) - 6-7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Vidzemes PR (5 111 028 </w:t>
            </w:r>
            <w:r w:rsidR="00000000" w:rsidRPr="00000000" w:rsidDel="00000000">
              <w:rPr>
                <w:i w:val="1"/>
                <w:rtl w:val="0"/>
              </w:rPr>
              <w:t xml:space="preserve">euro</w:t>
            </w:r>
            <w:r w:rsidR="00000000" w:rsidRPr="00000000" w:rsidDel="00000000">
              <w:rPr>
                <w:rtl w:val="0"/>
              </w:rPr>
              <w:t xml:space="preserve">) - 6-7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Latgales PR (6 548 192 </w:t>
            </w:r>
            <w:r w:rsidR="00000000" w:rsidRPr="00000000" w:rsidDel="00000000">
              <w:rPr>
                <w:i w:val="1"/>
                <w:rtl w:val="0"/>
              </w:rPr>
              <w:t xml:space="preserve">euro</w:t>
            </w:r>
            <w:r w:rsidR="00000000" w:rsidRPr="00000000" w:rsidDel="00000000">
              <w:rPr>
                <w:rtl w:val="0"/>
              </w:rPr>
              <w:t xml:space="preserve">) - 8-9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27-32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tiek īstenots 5. politikas mērķa “Iedzīvotājiem tuvāka Eiropa” ietvaros, kas vērsts uz  reģionos dzīvojošo iedzīvotāju dzīves kvalitātes uzlabošanu, VARAM ieskatā būtiski saglabāt pēc iespējas plašāku publiskās ārtelpas investīciju teritoriālo pārklājumu Latvijā, kas ir aktuāls un gaidīts investīciju pasākums katrā pašvaldībā. Sniedzot atbalstu vairākiem ārtelpas attīstības projektiem, tiktu nodrošināta iespēja uzlabot dzīves vides kvalitāti un sabiedrības drošību plašākam iedzīvotāju lokam visā Latvijā – ne tikai intensīvi apdzīvotās vietās (valstspilsētās), bet arī attīstot pievilcīgu un drošu ārtelpu iedzīvotājiem reģionos. Ievērojot, ka atsevišķas pašvaldību grupas, piemēram, reģionālo attīstības centru pašvaldības, piekrīt VARAM sākotnējam priekšlikumam (projekta maksimālajam ERAF finansējumam 560 000 </w:t>
            </w:r>
            <w:r w:rsidR="00000000" w:rsidRPr="00000000" w:rsidDel="00000000">
              <w:rPr>
                <w:i w:val="1"/>
                <w:rtl w:val="0"/>
              </w:rPr>
              <w:t xml:space="preserve">euro</w:t>
            </w:r>
            <w:r w:rsidR="00000000" w:rsidRPr="00000000" w:rsidDel="00000000">
              <w:rPr>
                <w:rtl w:val="0"/>
              </w:rPr>
              <w:t xml:space="preserve">, kas ļautu atbalstīt kopā vismaz 41-43 projektu īstenošanu – kas ir vidēji viens projekts pašvaldībā), un to, ka atsevišķas valstspilsētu pašvaldības ierosina noteikt viena projekta maksimālo ERAF finansējumu 1,2 milj. </w:t>
            </w:r>
            <w:r w:rsidR="00000000" w:rsidRPr="00000000" w:rsidDel="00000000">
              <w:rPr>
                <w:i w:val="1"/>
                <w:rtl w:val="0"/>
              </w:rPr>
              <w:t xml:space="preserve">euro</w:t>
            </w:r>
            <w:r w:rsidR="00000000" w:rsidRPr="00000000" w:rsidDel="00000000">
              <w:rPr>
                <w:rtl w:val="0"/>
              </w:rPr>
              <w:t xml:space="preserve"> apmērā (kas ļautu atbalstīt publiskās ārtelpas attīstību tikai katrā otrajā pašvaldībā), secinām, ka nepieciešams rast kompromisu. Ar VARAM piedāvāto kompromisu maksimālajam ERAF finansējuma apmēram  800 000 </w:t>
            </w:r>
            <w:r w:rsidR="00000000" w:rsidRPr="00000000" w:rsidDel="00000000">
              <w:rPr>
                <w:i w:val="1"/>
                <w:rtl w:val="0"/>
              </w:rPr>
              <w:t xml:space="preserve">euro</w:t>
            </w:r>
            <w:r w:rsidR="00000000" w:rsidRPr="00000000" w:rsidDel="00000000">
              <w:rPr>
                <w:rtl w:val="0"/>
              </w:rPr>
              <w:t xml:space="preserve"> kopumā tiktu nodrošināta vismaz 27-32 projektu īstenošana jeb vismaz vienas publiskās ārtelpas attīstība aptuveni 2/3 no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kopējās projekta izmaksas (nepieciešamības gadījumā) pašvaldības var paredzēt arī lielākas.  Kopējās izmaksas  ir atkarīgas no projektā iekļautās publiskās ārtelpas atrašanās vietas un izvēlētā tās attīstības risinājuma, proti, tās nav tiešā veidā sasaistāmas ar pašvaldības lielumu vai pašvaldības iedzīvotāju skaitu. Ievērojot minēto, VARAM neatbalsta atšķirīgas pieejas noteikšanu vai pašvaldību gradēšanu, proti, VARAM ierosina nodrošināt vienlīdzīgu pieeju attiecīgo būvdarbu vai labiekārtošanas darbu izmaksu segšanai nepieciešamo investīciju piesaistīšanā gan valstspilsētu pašvaldībām, gan novadu pašvaldībām (pilsētām un pagastiem), neatkarīgi no to administratīvās teritorijas iedalījuma.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 minimālais attiecināmo izmaksu apmērs nav mazāks par 200 000 (ieskaitot)</w:t>
            </w:r>
            <w:r w:rsidR="00000000" w:rsidRPr="00000000" w:rsidDel="00000000">
              <w:rPr>
                <w:i w:val="1"/>
                <w:rtl w:val="0"/>
              </w:rPr>
              <w:t xml:space="preserve"> euro</w:t>
            </w:r>
            <w:r w:rsidR="00000000" w:rsidRPr="00000000" w:rsidDel="00000000">
              <w:rPr>
                <w:rtl w:val="0"/>
              </w:rPr>
              <w:t xml:space="preserve">, un projekta iesnieguma maksimālais ERAF finansējums ir 800 000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 minimālais attiecināmo izmaksu apmērs nav mazāks par 200 000</w:t>
            </w:r>
            <w:r w:rsidR="00000000" w:rsidRPr="00000000" w:rsidDel="00000000">
              <w:rPr>
                <w:i w:val="1"/>
                <w:rtl w:val="0"/>
              </w:rPr>
              <w:t xml:space="preserve"> euro</w:t>
            </w:r>
            <w:r w:rsidR="00000000" w:rsidRPr="00000000" w:rsidDel="00000000">
              <w:rPr>
                <w:rtl w:val="0"/>
              </w:rPr>
              <w:t xml:space="preserve">, un projekta iesnieguma maksimālais ERAF finansējums ir 560 000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MK noteikumu projektu bija izsūtījus visām pašvaldībām atzinumu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Lielākajam vairākumam par šo MK noteikumu punktu komentāru vai iebildumu nebija ,bet esam saņēmuši 4 pašvaldību iebildes par finansējuma maksimālo finansējumu, kā arī attiecināmo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Jūs par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publiskās ārtelpas attīstības iespējas nepieciešamajā apjomā un kvalitātē, lūdzam noteikt augstāku maksimālo attiecināmo izmaksu apmēru vienam projektam, nosakot to 650 000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nenoteikt ERAF finansējuma izmaksu ierobežojumu uz vienu m2, kā tas ir ietverts projekta iesniegumu vērtēšanas kritēriju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kvalificēties atbalstam pašvaldībām, kuras plāno publiskās ārtelpas investīciju projektus, t.sk. pašvaldības līdzfinansējuma nodrošināšanu mazākā apjomā, lūdzam noteikt zemāku minimālo attiecināmo izmaksu apmēru vienam projektam, nosakot to 100 000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nenoteikt ERAF finansējuma izmaksu ierobežojumu uz vienu m2, kā tas ir ietverts projekta iesniegumu vērtēšanas kritēriju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16. punktā noteikto ERAF finansējuma ierobežojumu 560 000 euro apmērā un izskatīt iespēju paaugstināt vienam projektu iesniegumam noteikto maksimālo ERAF finansējumu par vismaz 100 000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16.punnktu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 minimālais attiecināmo izmaksu apmērs nav mazāks par 200 000 euro, un projekta iesnieguma maksimālais ERAF finansējums ir 660 000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un ieviest gradāciju (lotes) starp nacionālas un reģionālas nozīmes pilsētu  projektiem, kuru attīstībai paredzamā “telpa” viennozīmīgi atšķirsies no mazākas nozīmes pilsētas vajadzībām, vienlaikus tā “apkalpo” daudz intensīvāku un plašāku vietējo un reģionālo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koriģēt maksimālo ERAF finansējuma apjomu līdz 1 000 000 mlj.euro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minimālais attiecināmo izmaksu apmērs nav mazāks par 200 000 euro, un projekta iesnieguma maksimālais ERAF finansējums valstpilsētām ir 1 000 000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"Ieteikums: veikt izmaiņas 16.punktā palielinot maksimālo ERAF finansējumu vienam projektam vismaz 1 000 000EUR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skatāms strapinstitūciju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iepriekšējo izziņas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ņemot vērā diskusijās ar pašvaldībām izteiktos viedokļus par plānotajiem projektiem un tiem plānoto finansējuma apjomu, kas krietni pārsniedz 200 000 </w:t>
            </w:r>
            <w:r w:rsidR="00000000" w:rsidRPr="00000000" w:rsidDel="00000000">
              <w:rPr>
                <w:i w:val="1"/>
                <w:rtl w:val="0"/>
              </w:rPr>
              <w:t xml:space="preserve">euro</w:t>
            </w:r>
            <w:r w:rsidR="00000000" w:rsidRPr="00000000" w:rsidDel="00000000">
              <w:rPr>
                <w:rtl w:val="0"/>
              </w:rPr>
              <w:t xml:space="preserve">, kā arī, lai mazinātu administratīvo slogu, projekta minimālais attiecināmo izmaksu apmērs netiek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 minimālais attiecināmo izmaksu apmērs nav mazāks par 200 000 (ieskaitot)</w:t>
            </w:r>
            <w:r w:rsidR="00000000" w:rsidRPr="00000000" w:rsidDel="00000000">
              <w:rPr>
                <w:i w:val="1"/>
                <w:rtl w:val="0"/>
              </w:rPr>
              <w:t xml:space="preserve"> euro</w:t>
            </w:r>
            <w:r w:rsidR="00000000" w:rsidRPr="00000000" w:rsidDel="00000000">
              <w:rPr>
                <w:rtl w:val="0"/>
              </w:rPr>
              <w:t xml:space="preserve">, un projekta iesnieguma maksimālais ERAF finansējums ir 800 000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kas pēc projekta iesnieguma apstiprināšanas un civiltiesiskā līguma vai vienošanās par projekta īstenošanu noslēgšanas ir finansējuma saņēmējs, pasākuma ietvaros var būt pašvaldība, tās izveidota iestāde vai pašvaldības kapitālsabiedrība, kas veic pašvaldības deleģēto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19.punktā ietvertais formulējums “pašvaldības kapitālsabiedrība, kas veic pašvaldības deleģēto pārvaldes uzdevumu izpildi” ir interpretējams plašāk, nekā gramatiski normā minēts. Līdz ar to lūdzam precizēt MK noteikumu projekta 19.punktu, nosakot, ka “Projekta iesniedzējs, kas pēc projekta iesnieguma apstiprināšanas un civiltiesiskā līguma vai vienošanās par projekta īstenošanu noslēgšanas ir finansējuma saņēmējs, pasākuma ietvaros ir pašvaldība, pašvaldības izveidota iestāde vai pašvaldības kapitālsabiedrība, kas veic pašvaldības deleģēto pārvaldes uzdevumu izpildi, sniedz pakalpojumus ar vispārēju tautsaimniecisku nozīmi vai pilda citus no pašvaldības funkcijām izrietošus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normām ir jābūt iespējami precīzām, lai nepieļautu dažādus skaidrojumus. MK noteikumu projekta 19. punktā paredzētie projektu iesniegumu iesniedzēji ir izvēlēti atbilstoši MK noteikumu mērķim un nosacījumam, ka šo noteikumu ietvaros netiek paredzēts sniegt komercdarbības atbalstu, izņemot komercdarbības atbalstu ūdenssaimniecības un (vai) siltumapgādes sabiedrisko pakalpojumu sniedzējam. Atbalsts ūdenssaimniecības un (vai) siltumapgādes sabiedrisko pakalpojumu sniedzējam šo noteikumu ietvaros ir paredzēts tikai un vienīgi tik daudz, cik tas ir saistīts ar MK noteikumu mērķi – pašvaldības publiskās ārtelpas infrastruktūras attīstīšana. Atbilstoši MK noteikumu projekta 20. punktam sabiedrisko (ūdenssaimniecības un (vai) siltumapgādes) pakalpojumu sniedzēju var piesaistīt projektam par sadarbības partneri ūdenssaimniecības un siltumapgādes pieslēgumu ierīkošanai un to saistītās jaudas palielināšanai publiskās tualetes un publiski pieejama dzeramā ūdens ieguves vietas ierīkošanai vai citiem pasākumiem, kas nepieciešami publiskās ārtelpas attīstīšanai. Savukārt, ja sabiedrisko pakalpojumu sniedzējam pašvaldība ir deleģējusi pārvaldes uzdevumu veikšanu, tad atbilstoši deleģējuma apjomam šāds sabiedrisko pakalpojumu sniedzējs varēs būt projekta iesnieguma iesniedzējs. Norādām, ka sabiedriskie pakalpojumi ir komercdarbība nevis pārvaldes uzdevumi, kurus iespējams deleģēt.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kas pēc projekta iesnieguma apstiprināšanas un civiltiesiskā līguma vai vienošanās par projekta īstenošanu noslēgšanas ir finansējuma saņēmējs, pasākuma ietvaros var būt pašvaldība, tās izveidota iestāde vai pašvaldības kapitālsabiedrība, kas veic pašvaldības deleģēto pārvaldes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kas pēc projekta iesnieguma apstiprināšanas un civiltiesiskā līguma vai vienošanās par projekta īstenošanu noslēgšanas ir finansējuma saņēmējs, pasākuma ietvaros var būt pašvaldība, tās izveidota iestāde vai pašvaldības kapitālsabiedrība, kas veic pašvaldības deleģēto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19.punktā ietvertais formulējums “pašvaldības kapitālsabiedrība, kas veic pašvaldības deleģēto pārvaldes uzdevumu izpildi” ir interpretējams plašāk, nekā gramatiski normā minēts. Līdz ar to lūdzam precizēt MK noteikumu projekta 19.punktu, nosakot, ka “Projekta iesniedzējs, kas pēc projekta iesnieguma apstiprināšanas un civiltiesiskā līguma vai vienošanās par projekta īstenošanu noslēgšanas ir finansējuma saņēmējs, pasākuma ietvaros ir pašvaldība, pašvaldības izveidota iestāde vai pašvaldības kapitālsabiedrība, kas veic pašvaldības deleģēto pārvaldes uzdevumu izpildi, sniedz pakalpojumus ar vispārēju tautsaimniecisku nozīmi vai pilda citus no pašvaldības funkcijām izrietošus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kas pēc projekta iesnieguma apstiprināšanas un civiltiesiskā līguma vai vienošanās par projekta īstenošanu noslēgšanas ir finansējuma saņēmējs, pasākuma ietvaros ir pašvaldība, pašvaldības izveidota iestāde vai pašvaldības kapitālsabiedrība, kas veic pašvaldības deleģēto pārvaldes uzdevumu izpildi, sniedz pakalpojumus ar vispārēju tautsaimniecisku nozīmi vai pilda citus no pašvaldības funkcijām izrietošus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kas pēc projekta iesnieguma apstiprināšanas un civiltiesiskā līguma vai vienošanās par projekta īstenošanu noslēgšanas ir finansējuma saņēmējs, pasākuma ietvaros var būt pašvaldība, tās izveidota iestāde vai pašvaldības kapitālsabiedrība, kas veic pašvaldības deleģēto pārvaldes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pasākuma ietvaros var būt pašvaldība, tās izveidota iestāde vai pašvaldības kapitālsabiedrība, kas veic pašvaldības deleģēto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projekta iesniedzējs var būt publiski privāta kapitālsabiedrība, kuras kapitāla daļas pieder vienai vai vairākām pašvaldībām un publiskām personām, kas veic pašvaldības deleģēto pārvaldes uzdevumu izpildi. Piemēram, reģionālās slimnīcām ir noslēgti līgumi par pašvaldības deleģētā pārvaldes uzdevuma izpildi un tās kapitāla daļas pieder nevis vienai, bet vairākām pašvaldībām un publiskai personai (piem., Rīgas Stradiņa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atbalsta pretendenta loka neizslēgtu kapitālsabiedrības, kas pieder vairākām pašvaldībām un publiskai personai un kas veic pašvaldības deleģēto pārvaldes uzdevumu izpildi, kā arī novērstu termina interpretācijas risku, rosinām Noteikumu projekta 19.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pasākuma ietvaros var būt pašvaldība, tās izveidota iestāde vai kapitālsabiedrība, kurā kapitāla daļas pieder vienai vai vairākām pašvaldībām vai publiskām personām un kas veic pašvaldības deleģēto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pasākumam pieejamo ierobežoto finansējumu un pasākuma mērķi – attīstīt publiski pieejamu ārtelpu, kā arī lai mazinātu mērķorientētas infrastruktūras riskus, MK noteikumu projekts paredz, ka projekta iesniedzējs pasākuma ietvaros var būt pašvaldība, tās izveidota iestāde vai pašvaldības kapitālsabiedrība, kas veic pašvaldības deleģēto pārvaldes uzdevumu izpildi. Pasākuma ietvaros nav paredzēts atbalsts publiski privātām kapitālsabiedrībām, kuras kapitāla daļas pieder vienai vai vairākām pašvaldībām un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pašvaldību kapitālsabiedrības tiek atbalstītas, jo tās pilda deleģētos labiekārtošanas uzdevumus, kas izriet no Pašvaldību likuma 4.panta pirmās daļas 2.punktā noteiktās pašvaldības autonomās funkcijas, kas netiek deleģēta publiski privātām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kas pēc projekta iesnieguma apstiprināšanas un civiltiesiskā līguma vai vienošanās par projekta īstenošanu noslēgšanas ir finansējuma saņēmējs, pasākuma ietvaros var būt pašvaldība, tās izveidota iestāde vai pašvaldības kapitālsabiedrība, kas veic pašvaldības deleģēto pārvaldes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ūdenssaimniecības un (vai) siltumapgādes sabiedrisko pakalpojumu sniedzējam piešķirtās ekskluzīvās vai īpašās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21.5.apakšpunkta un 22.6.apakšpunkta redakciju atbilstoši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4.panta c)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precizētos MK noteikumu projekta 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ūdenssaimniecības un (vai) siltumapgādes sabiedrisko pakalpojumu sniedzējam piešķirto jebkādu to ekskluzīvo vai īpašo tiesību būtību, kuras uzņēmumam piešķīrusi piešķīrējiestāde;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informāciju par iespēju saņemt atlīdzības (kompensācijas) maksājumus – investīcijas sabiedrisko ūdenssaimniecības un (vai) siltumapgādes pakalpojumu sniegšanas infrastruktūrā – un nosacījumus atlīdzības (kompensācijas) maksājumu aprēķināšanai, kontrolei un pārskatīšanai, kā arī atlīdzības (kompensācijas) maksājumu pārmaksas novēršanai un atmaksāšanai;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noteikumu projekta anotācijā izvērsti skaidrot noteikumu projekta 21.6. punkta tvērumu. Norādām, ka 21.6. apakšpunktā tiek atrunāti pakalpojuma līguma nosacījumi. Viena no pakalpojuma līguma būtiskām sastāvdaļām ir samaksa par sniegto pakalpojumu (pakalpojuma līguma slēgšanu regulē Civillikuma 2212.-2229. pants). Attiecīgi no 21.6. punkta nav skaidrs, kāpēc līgumā ir jāietver informācija  par iespēju saņemt atlīdzības (kompensācijas) maksājumus. Proti, nav skaidrs, vai noteikumu projekta ietvaros par sniegto pakalpojumu sadarbības partneris var nesaņemt maksu par sniegto pakalpojumu, kā arī vai 21.6. punktā minētais atlīdzības (kompensācijas) maksājums atbilstoši Civillikuma 2223. pantam ir uzskatāms par pakalpojuma līguma maksu. Ja 21.6. punktā minētais atlīdzības (kompensācijas) maksājums atbilstoši Civillikuma 2223. pantam nav uzskatāms par pakalpojuma līguma maksu, tad nav saprotams pamatojums un mērķis sadarbības partnerim ir saņemt 21.6. punktā minētos atlīdzības (kompensācijas)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21.6.apakšpunkts tiek iekļauts saistībā ar noteikumu projekta 47.punktu, kurš nosaka, ka, ja projektā tiek iekļautas darbības, kas ir saistītas ar sabiedriskā pakalpojuma sniegšanu, projekta iesniedzējs iesniedz sadarbības iestādē vispārējas tautsaimnieciskas nozīmes pakalpojuma pilnvarojuma uzlicēja apliecinājumu par šo noteikumu projekta  21.6. vai 22.7. apakšpunktā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 vai apliecinājumu par sabiedriskajiem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informāciju par iespēju saņemt atlīdzības (kompensācijas) maksājumus – investīcijas sabiedrisko ūdenssaimniecības un (vai) siltumapgādes pakalpojumu sniegšanas infrastruktūrā – un nosacījumus atlīdzības (kompensācijas) maksājumu aprēķināšanai, kontrolei un pārskatīšanai, kā arī atlīdzības (kompensācijas) maksājumu pārmaksas novēršanai un atmaksāšanai;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informāciju par iespēju saņemt atlīdzības (kompensācijas) maksājumus – investīcijas sabiedrisko ūdenssaimniecības un (vai) siltumapgādes pakalpojumu sniegšanas infrastruktūrā – un nosacījumus atlīdzības (kompensācijas) maksājumu aprēķināšanai, kontrolei un pārskatīšanai, kā arī atlīdzības (kompensācijas) maksājumu pārmaksas novēršanai un atmaksāšanai;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21.6. punktā izvērtēt pieturzīmes iekavas lietojumu. Iekavu lietošana var padarīt tiesību normu neskaidru un apgrūtināt tās viennozīmīgu uztveri. Norādām, ka iekavās ietvertais teksts var ne tikai padarīt tiesību aktu neskaidru, bet var arī sašaurināt vai paplašināt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punktā iekavas ir nepieciešamas, jo tajās iekļautais teksts paskaidro iepriekš minētā nozīmi šo noteikumu ietvaros. Iekava “(vai)” nepieciešama, jo projekta ietvaros var nebūt nepieciešamība vienlaikus pēc abu – ūdensapgādes un siltumapgādes infrastruktūras izbūves, bet arī tikai pēc vienas no tām. Līdzīga pieeja ir piemērota arī citos VARAM atbildības jomu ES fondu īstenošanas noteikumos, piemēram, MK 10.11.2015. noteikumos Nr. 645 (par SAM 5.6.2.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informāciju par iespēju saņemt atlīdzības (kompensācijas) maksājumus – investīcijas sabiedrisko ūdenssaimniecības un (vai) siltumapgādes pakalpojumu sniegšanas infrastruktūrā – un nosacījumus atlīdzības (kompensācijas) maksājumu aprēķināšanai, kontrolei un pārskatīšanai, kā arī atlīdzības (kompensācijas) maksājumu pārmaksas novēršanai un atmaksāšanai;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ūdenssaimniecības un (vai) siltumapgādes sabiedrisko pakalpojumu sniedzējam piešķirtās ekskluzīvās vai īpašās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21.5.apakšpunkta un 22.6.apakšpunkta redakciju atbilstoši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4.panta c)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21.5. un 22.6.apakšpunkts.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ūdenssaimniecības un (vai) siltumapgādes sabiedrisko pakalpojumu sniedzējam piešķirto jebkādu to ekskluzīvo vai īpašo tiesību būtību, kuras uzņēmumam piešķīrusi piešķīrējiestāde;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informāciju par iespējām saņemt atlīdzības (kompensācijas) maksājumus – investīcijas sabiedrisko pakalpojumu sniegšanas infrastruktūrā – un atlīdzības (kompensācijas) maksājumu aprēķināšanas, kontroles un pārskatīšanas, kā arī pārmaksas novēršanas un atmaksāšanas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noteikumu projekta 22.7. punktu ņemt vērā TM iebildumus par noteikumu projekta 21.6.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22.7.apakšpunkts tiek iekļauts saistībā ar MK noteikumu projekta 47.punktu, kurš nosaka, ka, ja projektā tiek iekļautas darbības, kas ir saistītas ar sabiedriskā pakalpojuma sniegšanu, projekta iesniedzējs iesniedz sadarbības iestādē vispārējas tautsaimnieciskas nozīmes pakalpojuma pilnvarojuma uzlicēja apliecinājumu par šo noteikumu projekta 21.6. vai 22.7. apakšpunktā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 vai apliecinājumu par sabiedriskajiem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informāciju par iespējām saņemt atlīdzības (kompensācijas) maksājumus – investīcijas sabiedrisko pakalpojumu sniegšanas infrastruktūrā – un atlīdzības (kompensācijas) maksājumu aprēķināšanas, kontroles un pārskatīšanas, kā arī pārmaksas novēršanas un atmaksāšanas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ūdenssaimniecības un (vai) siltumapgādes sabiedrisko pakalpojumu sniedz pašvaldība vai tās iestāde, pašvaldība pieņem lēmumu par ūdenssaimniecības un (vai) siltumapgādes sabiedrisko pakalpojumu sniegšanu. Lēmumā norāda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47.punktu papildināt ar atsauci arī uz piegādes līgumu noslēgšanu (šobrīd aptverti tikai būvdarbu un pakalpojuma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minētā noteikumu projekta norma paredz, ka projekta īstenošanai nepieciešamos iepirkumus saskaņā ar normatīvajiem aktiem publisko iepirkumu jomā veic tikai finansējuma saņēmējs, bet noteikumu projekts paredz iespēju arī piesaistīt sadarbības partnerus, aicinām vērtēt, vai minētā noteikumu projekta norma nebūtu papildināma arī ar atsauci uz sadarbības partneriem, tādējādi aptverot visus projekta ietvaros potenciāli veicamos iepirkumus.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ūdenssaimniecības un (vai) siltumapgādes sabiedrisko pakalpojumu sniedz pašvaldība vai tās iestāde, pašvaldība pieņem lēmumu par ūdenssaimniecības un (vai) siltumapgādes sabiedrisko pakalpojumu sniegšanu. Lēmumā norāda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teritorijas labiekārtošana un ar to saistītie pasākumi, tai skaitā dzeramā ūdens brīvkrānu ierīkošana un pasākumi, kas veicina oglekļa dioksīda piesaisti;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publiskās ārtelpas attīstīšanas pilsētu funkcionālajās teritorijās atbalstāmajās darbībās ietvert arī kultūras, sporta un izklaides vērtību attīstīšanu, tādēļ rosinām Noteikumu projekta 24.1.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teritorijas labiekārtošana un ar to saistītie pasākumi, tai skaitā kultūras, sporta un izklaides vērtību un iespēju attīstīšana un viedo tehnoloģiju izmantošana dzīves kvalitātes uzlabošanai, dzeramā ūdens brīvkrānu ierīkošana un pasākumi, kas veicina oglekļa dioksīda piesaisti;”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teritorijas labiekārtošana un ar to saistītie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teritorijas labiekārtošana un ar to saistītie pasākumi, tai skaitā dzeramā ūdens brīvkrānu ierīkošana un pasākumi, kas veicina oglekļa dioksīda piesaisti;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“V. Atbalstāmo darbību un izmaksu attiecināmības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teritorijas labiekārtošana un ar to saistītie pasākumi, tai skaitā mobilitātes un pieejamības nodrošināšana, dzeramā ūdens brīvkrānu ierīkošana un pasākumi, kas veicina oglekļa dioksīda piesaisti;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mobilitāti, skaidrojam, ka atbalsts tiek paredzēts vietās pie mobilitātes punktiem, kā arī projektu ietvaros ir attiecināmas veloceliņu izbūves, brauktuvju pārbūves un piebrauktuvju izbūves izmaksas, lai nodrošinātu piekļuvi attīstāmajai publiskajai ārtelpai.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teritorijas labiekārtošana un ar to saistītie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teritorijas labiekārtošana un ar to saistītie pasākumi, tai skaitā dzeramā ūdens brīvkrānu ierīkošana un pasākumi, kas veicina oglekļa dioksīda piesaisti;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 ka  publiskās ārtelpas attīstīšanas pilsētu funkcionālajās teritorijās atbalstāmajās darbībās jāietvert arī kultūras, sporta un izklaides vērtību attīstīšanu, tādēļ rosinām Noteikumu projekta 24.1.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teritorijas labiekārtošana un ar to saistītie pasākumi, tai skaitā kultūras, sporta un izklaides vērtību un iespēju attīstīšana un viedo tehnoloģiju izmantošana dzīves kvalitātes uzlabošanai, dzeramā ūdens brīvkrānu ierīkošana un pasākumi, kas veicina oglekļa dioksīda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Jānodrošina arī atbalstāmo darbību  pieejamība un līdz ar to arī iedzīvotāju 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teritorijas labiekārtošana un ar to saistītie pasākumi, tai skaitā kultūras, sporta un izklaides vērtību un iespēju attīstīšana un viedo tehnoloģiju izmantošana dzīves kvalitātes uzlabošanai,kā arī to mobilitātes un pieejamības nodrošināšana,  dzeramā ūdens brīvkrānu ierīkošana un pasākumi, kas veicina oglekļa dioksīda piesaisti;”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MK noteikumu projekta punktā norādītas būtiskākās atbalstāmās darbības, savukārt konkrētas attiecināmās izmaksas, ko var paredzēt projektā, tiek norādītas MK noteikumu attiecināmo izmaksu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teritorijas labiekārtošana un ar to saistītie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tiešās attiecināmās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Ja piemērot vienkāršotās izmaksas papildus jau paredzētajam nav iespējams, lūdzam sniegt argumentētu pamatojumu anotācijā, ņemot vērā, ka vienkāršoto izmaksu izvērtējumā “Vienkāršoto izmaksu piemērošanas iespējas 2021.-2027. gada ES fondu plānošanas periodā” attiecīgās investīcijas novērtējumā ir norādīts, ka ir iespējams piemērot vienkāršotās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tiešās attiecināmās izmaksas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ūdenssaimniecības (dzeramā ūdens ieguves, sagatavošanas un piegādes infrastruktūra, sadzīves notekūdeņu savākšanas, attīrīšanas un novadīšanas infrastruktūra, izņemot dūņu pārstrādi un apsaimniekošanu), siltumapgādes un elektroenerģijas infrastruktūras būvniecība vai pārbūve (jaudas palielināšana) publiskās tualetes un publiski pieejama dzeramā ūdens ieguves vietas (brīvkrāna) ierīkošanai vai citiem pasākumiem, kas nepieciešami publiskās ārtelpas attīstīšanai, piemēram,  apgaismojuma, videonovērošanas un elektrouzlādes punktu ierīkošanai digitālo ierīču uzlādei un mikromobilitātes  atbalstam (izņemot bezemisiju transportlīdzekļa darbībai paredzētās uzlādes infrastruktūras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25.2. punktā izvērtēt pieturzīmes iekavas lietojumu. Iekavu lietošana var padarīt tiesību normu neskaidru un apgrūtināt tās viennozīmīgu uztveri. Norādām, ka iekavās ietvertais teksts var ne tikai padarīt tiesību aktu neskaidru, bet var arī sašaurināt vai paplašināt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punktā iekavas ir nepieciešamas, jo tajās iekļautais teksts paskaidro iepriekš minētā nozīmi šo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publiskas ārtelpas labiekārtošana, ietverot “zaļās” un “zilās” infrastruktūras attīstību,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11. panta 4. daļa nosaka, ka ārtelpas labiekārtojuma elements ir ainavas un pilsētvides dizaina elements (tai skaitā mazā arhitektūras forma) un cita ar zemi vai gultni saistīta ķermeniska lieta, kura radusies būvdarbu rezultātā un kurai nav nosakāms būves lietošanas veids atbilstoši normatīvajiem aktiem par būvju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09.05.20217. noteikumu Nr. 253 “Atsevišķu inženierbūvju būvnoteikumi” 6.3.4. apakšpunktā noteikts, ka labiekārtojuma elementi ir soliņi, celiņi, vaļēja terase (kas nav saistīta ar ēku)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25.3.14. apakšpunktā noteiktais ierobežojums attiecas uz visu noteikumu projekta 25.3. apakšpunkta apakšpunktos minēto labiekārtojuma elementu (piemēram, žogi, soliņi un galdi, velosipēdu novietnes, atkritumu šķirošanas tvertnes u.c., kā arī 25.3.15. apakšpunktā minētie labiekārtojuma elementi, piemēram, rotaļlaukumu aprīkojums, brīvdabas sporta rīki u.c.) uzstādīšanu, papildus pieskaitot vizuālās mākslas objektu un to uzstādīšanas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noteikuma projekta 25.3.14. apakšpunktu ar to apakšpunktu uzskaitījumu, kuros minēti attiecīgie labiekārtojuma elementi, uz kuriem attiecas noteikumu projekta 25.3.14. apakšpunktā noteiktais uzstādīšanas izmaksu ierobežojums.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publiskas ārtelpas labiekārtošana, ietverot "zaļās" un "zilās" infrastruktūras attīstību,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25.3.2. vājstrāvu tīklu izbūve vai esošo vājstrāvu tīklu pārbūve, kas nepieciešama projekta teritorijas labiekārtošanai un drošības nodrošināšanai, tai skaitā apgaismojumam, videonovērošanai un elektrouzlādes punktu ierīkošana digitālo ierīču uzlādei un mikromobilitātes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vājstrāvu tīkli neietver apgaismojuma tīklus un elektrouzlādes punktus, jāpapildina punkts par elektrotīklu izbūvi vai pārbūvi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elektrotīklu un vājstrāvu tīklu izbūve vai esošo tīklu pārbūve, kas nepieciešama projekta teritorijas labiekārtošanai un drošības nodrošināšanai, tai skaitā apgaismojumam, videonovērošanai un elektrouzlādes punktu ierīkošana digitālo ierīču uzlādei un mikromobilitātes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26.2.2. elektrotīklu un vājstrāvu tīklu izbūve vai esošo vājstrāvu tīklu pārbūve, kas nepieciešama projekta teritorijas labiekārtošanai un drošības nodrošināšanai, tai skaitā apgaismojumam, videonovērošanai un elektrouzlādes punktu ierīkošana digitālo ierīču uzlādei un mikromobilitātes atbalstam (izņemot bezemisiju transportlīdzekļa darbībai paredzētās uzlādes infrastruktūras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25.3.3. 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lai nodrošinātu piekļuvi attīstāmajai publiskajai ārtelpai, ir attiecināmas līdz 30 procentiem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finasējuma ietvaros nepieciešams ietvērt arī tiltu izbīuvi un pārbūuvi, lai nodoršinātu projektu savietojamību un savienotu vidi, kas tiek izmanpotta rekreācijas nolūkos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23.3.3." 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tiltu izbūvi un pārbūvi, lai nodrošinātu piekļuvi attīstāmajai publiskajai ārtelpai, ir attiecināmas līdz 50 procentiem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pašvaldība uzskata, ka nav precīzi formulēts, jo nav skaidrs vai promenādes izbūve (kur kustība atļauta tikai līdz īpašumam) ir atbalstāma vai tā tiek uzskatīta par piebrauktuvi, lūgums precizēt vai promenādes izbūve ir iekļaujama attiecināmās izmaksās vai arī tā uzskatāma par brauktuvi. Lūdzam skaidrot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70% atbalstīt promenādes pārbūvi, ja tas ir saistīts ar labiekārtojamo ārtelpu un lai nodrošinātu piekļuvi attīstāmajai publiskajai ārtelpai un nodrošinātu pabeigtību.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23.3.3." 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tiltu izbūvi un pārbūvi, lai nodrošinātu piekļuvi attīstāmajai publiskajai ārtelpai, ir attiecināmas līdz 50 -70 procentiem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redakciju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publisko ārtelpu primāri būtu nepieciešams attīstīt pie mobilitātes punktiem, pie ēkām, kur tiek sniegti valsts vai pašvaldību pakalpojumi, pie ēkām, kurās tiek veikta saimnieciskā darbība, un vietās, kur paredzētas darbības, kas palielinās sabiedrisko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pasākuma mērķis ir saistīts ar publisko ārtelpu, tad gājēju vai velosipēdu, vai apvienoto gājēju un velosipēdu tilta izbūves izmaksas var attiecināt, ja tas ir parka, skvēra vai citas projekta ietvaros attīstāmās publiskās ārtelpas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promenādes izbūvi, skaidrojam, ka promenādes izbūves izmaksas ir iekļautas MK noteikumu projekta 25.2.5.apakšpunktā un tām nav noteikts procentuālais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procentuālais ierobežojums ir attiecināms uz MK noteikumu projekta 25.2.3.apakšpunktā iekļautajām piekļuvēm, tas ir, brauktuvju pārbūvei un piebrauktuvju izbūvei (pa kuru pārvietojās ar transporta līdzekļiem), lai nodrošinātu piekļuvi attīstāmajai publiskajai ārtelpai, savukārt promenāde ir pastaigai paredzēts ceļš ar dekoratīviem stādījumiem.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26.2.3. 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lai nodrošinātu piekļuvi attīstāmajai publiskajai ārtelpai, ir attiecināmas līdz 50 procentiem no projekta kopējām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25.3.4. krastu nostiprināšana un labiekārtošana pie publiskajiem ūdeņiem, tai skaitā peldvietās;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laipu izbūve virs ūdens un krastā pie ezera ir iespējama. Būtu aktuāli, lai drīkst izbūvēt gājēju laipas ezera krastā un virs ūdens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25.3.4. krastu nostiprināšana un labiekārtošana pie publiskajiem ūdeņiem vai citām ūdens tilpēm, kas atrodas publiskajās  teritorijās, piekļuves nodrošināšana un gājēju infrastruktūras izbūve krasta zonā un ūdenstilpes teritorijā.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redakciju un skaidrojumu anotācijā par projektu ietvaros attiecināmajām labiekārtojuma elementu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publisko ārtelpu primāri būtu nepieciešams attīstīt pie mobilitātes punktiem, pie ēkām, kur tiek sniegti valsts vai pašvaldību pakalpojumi, pie ēkām, kurās tiek veikta saimnieciskā darbība, un vietās, kur paredzētas darbības, kas palielinās sabiedrisko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26.2.4. krastu nostiprināšana un labiekārtošana pie publiskajiem ūdeņiem, tai skaitā peldvietās;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25.3.5. gājēju kustībai nepieciešamā infrastruktūra, ievērojot universālā dizaina principus, un velosipēdu ceļi, kas ir parka, skvēra, promenādes vai citas projekta ietvaros attīstāmās teritorijas daļa, vai nodrošina piekļuvi publiskajiem ūdeņiem;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finansējuma ietvaros nepieciešams ietvert arī vienkāršas konstrukcijas gājēju tiltu būvniecību, kas daudzos gadījumos tiek izmantots gan kā būtisks pārvietošanas veids parkos ar nelieliem dabiski vai mākslīgi veidotām ūdenskrātuvēm, gan teritorijām funkcionālās pilsētu teritorijās pie dabiskām ūdenstilpnēm (upēm, ezeriem) ar dabiski veidotām attekām. Bieži vien tā ir vide, kas tiek izmantota pilsētu rekreācijas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25.3.5. ar vārdu “…gājēju tilti, un velosipēdu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redakciju un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pamatojumu izziņas 27.punktā.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26.2.5. gājēju kustībai nepieciešamās infrastruktūras attīstīšana, ievērojot universālā dizaina principus, velosipēdu ceļu attīstīšana un gājēju vai velosipēdu, vai apvienoto gājēju un velosipēdu tilta izbūve, kas ir parka, skvēra, promenādes vai citas projekta ietvaros attīstāmās teritorijas daļa, vai nodrošina piekļuvi publiskajiem ūdeņiem;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25.3.5. gājēju kustībai nepieciešamā infrastruktūra, ievērojot universālā dizaina principus, un velosipēdu ceļi, kas ir parka, skvēra, promenādes vai citas projekta ietvaros attīstāmās teritorijas daļa, vai nodrošina piekļuvi publiskajiem ūdeņiem;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“V. Atbalstāmo darbību un izmaksu attiecināmības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25.3.5. gājēju kustībai nepieciešamā infrastruktūra, ievērojot universālā dizaina principus: gājēju tilts, velosipēdu ceļi, kas ir parka, skvēra, promenādes vai citas projekta ietvaros attīstāmās teritorijas daļa, vai nodrošina piekļuvi publiskajiem ūdeņiem;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redakciju un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pamatojumu izziņas 27.punktā.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26.2.5. gājēju kustībai nepieciešamās infrastruktūras attīstīšana, ievērojot universālā dizaina principus, velosipēdu ceļu attīstīšana un gājēju vai velosipēdu, vai apvienoto gājēju un velosipēdu tilta izbūve, kas ir parka, skvēra, promenādes vai citas projekta ietvaros attīstāmās teritorijas daļa, vai nodrošina piekļuvi publiskajiem ūdeņiem;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25.3.5. gājēju kustībai nepieciešamā infrastruktūra, ievērojot universālā dizaina principus, un velosipēdu ceļi, kas ir parka, skvēra, promenādes vai citas projekta ietvaros attīstāmās teritorijas daļa, vai nodrošina piekļuvi publiskajiem ūdeņiem;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finansējuma ietvaros nepieciešams ietvert arī vienkāršas konstrukcijas gājēju tiltu būvniecību, kas daudzos gadījumos tiek izmantots gan kā būtisks pārvietošanas veids parkos ar nelieliem dabiski vai mākslīgi veidotām ūdenskrātuvēm, gan teritorijām funkcionālās pilsētu teritorijās pie dabiskām ūdenstilpnēm (upēm, ezeriem) ar dabiski veidotām attekām. Bieži vien tā ir vide, kas tiek izmantota pilsētu rekreācijas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25.3.5. "gājēju kustībai nepieciešamā infrastruktūra, ievērojot universālā dizaina principus, tajā skaitā gājēju tilti un velosipēdu ceļi, kas ir parka, skvēra, promenādes vai citas projekta ietvaros attīstāmās teritorijas daļa, vai nodrošina piekļuvi publiskajiem ūdeņiem;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25.3.5 punktu  ar “un pašvaldības ielas izbūve/rekonstrukcija, kas nodrošina piekļuvi publiskajiem ūdeņiem”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25.3.3. punktā ar “brauktuvi” ir saprotama pašvaldības ielas pārbūve.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25.3.5. "gājēju kustībai nepieciešamā infrastruktūra, ievērojot universālā dizaina principus, tajā skaitā pašvaldības ielas izbūve/rekonstrukcija , gājēju tilti un velosipēdu ceļi, kas ir parka, skvēra, promenādes vai citas projekta ietvaros attīstāmās teritorijas daļa, vai nodrošina piekļuvi publiskajiem ūdeņiem;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redakciju un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pamatojumu izziņas 27.punktā.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25.2.3.apakšpunktā ar “brauktuves pārbūvi” ir saprotama pašvaldības ielas daļas pārbūve, lai nodrošinātu piekļuvi attīstāmajai publiskajai ārtelpai.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26.2.5. gājēju kustībai nepieciešamās infrastruktūras attīstīšana, ievērojot universālā dizaina principus, velosipēdu ceļu attīstīšana un gājēju vai velosipēdu, vai apvienoto gājēju un velosipēdu tilta izbūve, kas ir parka, skvēra, promenādes vai citas projekta ietvaros attīstāmās teritorijas daļa, vai nodrošina piekļuvi publiskajiem ūdeņiem;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25.3.11. soliņi un galdi lietošanai ārtelpā;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25.3.12.punktā norādīts, ka atbalstāma arī soliņu un galdu uzstādīšana ārtelpā, nav minēts par lapenēm, grila vietām un pontonu laipām..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25.3.12. punktu papildinot un iekļaujot lapenes, grila vietas un pontonu laipas.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soliņi, galdi,lapenes, grila vietas un pontonu laipas lietošanai ārtelpā;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redakciju un attiecīgu skaidrojumu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26.2.12. soliņu un galdu lietošanai ārtelpā iegāde un uzstādīšana;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25.3.13. atkritumu šķirošanas tvertnes, tai skaitā pazemē iebūvētas tvertnes;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MK noteikumu projekta 25.3.13.apakšpunktā paredzētās atkritumu šķirošanas tvertnes, tai skaitā pazemē iebūvētas tvertnes, ir daļa no publiskās ārtelpas infrastruktūras. Skaidrojam, ka, ja tā ir infrastruktūra, kas tiek izbūvēta atkritumu savākšanas nodrošināšanai un ko parasti izbūvē uzņēmums, kurš izvēlēts tirgū un nodoršina atkritumu savākšanu, tad šādu izmaksu segšana jāvērtē komercdarbības atbalsta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26.2.14. atkritumu šķirošanas tvertņu iegāde un uzstādīšana, tai skaitā pazemē iebūvētas tvertnes, kas ir daļa no publiskās ārtelpas infrastruktūras;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25.3.15. citi labiekārtošanas darbi, piemēram, rotaļlaukumu izveide, brīvdabas sporta rīku izvietošana, elektrouzlādes punktu ierīkošana digitālo ierīču uzlādei un mikromobilitātes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detalizētākus publiskās ārtelpas labiekārtošanas atbalsta nosacījumus, rosinām papildināt Noteikumu projekta 25.3.15.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“25.3.15. citi labiekārtošanas darbi, piemēram, rotaļlaukumu un brīvdabas aktīvās atpūtas laukumu izveide, brīvdabas sporta rīku izvietošana, elektrouzlādes punktu ierīkošana digitālo ierīču uzlādei un mikromobilitātes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26.2.17. citu ārtelpas labiekārtošanas darbu veikšanas un normatīvajos aktos par atsevišķu inženierbūvju būvnoteikumiem noteikto atsevišķo labiekārtojuma elementu iegādes un uzstādīšanas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25.3.2. </w:t>
            </w:r>
            <w:r w:rsidR="00000000" w:rsidRPr="00000000" w:rsidDel="00000000">
              <w:rPr>
                <w:rtl w:val="0"/>
              </w:rPr>
              <w:t xml:space="preserve">apakšpunktā</w:t>
            </w:r>
            <w:r w:rsidR="00000000" w:rsidRPr="00000000" w:rsidDel="00000000">
              <w:rPr>
                <w:rtl w:val="0"/>
              </w:rPr>
              <w:t xml:space="preserve"> minētās izmaksas ir attiecināmas, ja pēc ieguldījumu veikšanas vājstrāvu tīkli, apgaismojuma elementi, videonovērošanas kameras un elektrouzlādes punktu aprīkojums paliek finansējuma saņēmēja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apgaismojuma un elektrouzlādes punktu izbūvei nepieciešams izbūvēt/ pārbūvēt elektrotīklus, jāiekļauj nosacījums par šo tīklu piederību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26.2.2. </w:t>
            </w:r>
            <w:r w:rsidR="00000000" w:rsidRPr="00000000" w:rsidDel="00000000">
              <w:rPr>
                <w:rtl w:val="0"/>
              </w:rPr>
              <w:t xml:space="preserve">apakšpunktā</w:t>
            </w:r>
            <w:r w:rsidR="00000000" w:rsidRPr="00000000" w:rsidDel="00000000">
              <w:rPr>
                <w:rtl w:val="0"/>
              </w:rPr>
              <w:t xml:space="preserve"> minētās izmaksas ir attiecināmas, ja pēc ieguldījumu veikšanas elektrotīkli un vājstrāvu tīkli, apgaismojuma elementi, videonovērošanas kameras un elektrouzlādes punktu aprīkojums paliek finansējuma saņēmēja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24.5. </w:t>
            </w:r>
            <w:r w:rsidR="00000000" w:rsidRPr="00000000" w:rsidDel="00000000">
              <w:rPr>
                <w:rtl w:val="0"/>
              </w:rPr>
              <w:t xml:space="preserve">apakšpunktā</w:t>
            </w:r>
            <w:r w:rsidR="00000000" w:rsidRPr="00000000" w:rsidDel="00000000">
              <w:rPr>
                <w:rtl w:val="0"/>
              </w:rPr>
              <w:t xml:space="preserve"> minētās atbalstāmās darbības attiecināmās izmaksas saskaņā ar Eiropas Parlamenta un Padomes 2021. gada 24. jūnija Regulas (ES) </w:t>
            </w:r>
            <w:r w:rsidR="00000000" w:rsidRPr="00000000" w:rsidDel="00000000">
              <w:rPr>
                <w:rtl w:val="0"/>
              </w:rPr>
              <w:t xml:space="preserve">Nr.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vienoto izmaksu likmi piecu procentu apmērā no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minētajām tiešajām attiecināmajām izmaksām, kas neietver šo noteikumu </w:t>
            </w:r>
            <w:r w:rsidR="00000000" w:rsidRPr="00000000" w:rsidDel="00000000">
              <w:rPr>
                <w:rtl w:val="0"/>
              </w:rPr>
              <w:t xml:space="preserve">25.7. </w:t>
            </w:r>
            <w:r w:rsidR="00000000" w:rsidRPr="00000000" w:rsidDel="00000000">
              <w:rPr>
                <w:rtl w:val="0"/>
              </w:rPr>
              <w:t xml:space="preserve">apakšpunktā</w:t>
            </w:r>
            <w:r w:rsidR="00000000" w:rsidRPr="00000000" w:rsidDel="00000000">
              <w:rPr>
                <w:rtl w:val="0"/>
              </w:rPr>
              <w:t xml:space="preserve"> minētās tiešās attiecināmās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vai izmaksas ir skaidri nodalāmas un nepastāv izmaksu un funkciju pārklāšanās ar likmē iekļaujamām izmaksām un izmaksām, kas tiks attiecinātas kā faktiskās par citām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25.5. </w:t>
            </w:r>
            <w:r w:rsidR="00000000" w:rsidRPr="00000000" w:rsidDel="00000000">
              <w:rPr>
                <w:rtl w:val="0"/>
              </w:rPr>
              <w:t xml:space="preserve">apakšpunktā</w:t>
            </w:r>
            <w:r w:rsidR="00000000" w:rsidRPr="00000000" w:rsidDel="00000000">
              <w:rPr>
                <w:rtl w:val="0"/>
              </w:rPr>
              <w:t xml:space="preserve"> minētās atbalstāmās darbības attiecināmās izmaksas saskaņā ar regulas </w:t>
            </w:r>
            <w:r w:rsidR="00000000" w:rsidRPr="00000000" w:rsidDel="00000000">
              <w:rPr>
                <w:rtl w:val="0"/>
              </w:rPr>
              <w:t xml:space="preserve">Nr. 2021/1060</w:t>
            </w:r>
            <w:r w:rsidR="00000000" w:rsidRPr="00000000" w:rsidDel="00000000">
              <w:rPr>
                <w:rtl w:val="0"/>
              </w:rPr>
              <w:t xml:space="preserve">  55. panta 1. punktu projekta iesniegumā plāno kā vienu izmaksu pozīciju, piemērojot vienoto izmaksu likmi piecu procentu apmērā no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minētajām tiešajām attiecināmajām izmaksām, kas neietver šo noteikumu </w:t>
            </w:r>
            <w:r w:rsidR="00000000" w:rsidRPr="00000000" w:rsidDel="00000000">
              <w:rPr>
                <w:rtl w:val="0"/>
              </w:rPr>
              <w:t xml:space="preserve">26.7. </w:t>
            </w:r>
            <w:r w:rsidR="00000000" w:rsidRPr="00000000" w:rsidDel="00000000">
              <w:rPr>
                <w:rtl w:val="0"/>
              </w:rPr>
              <w:t xml:space="preserve">apakšpunktā</w:t>
            </w:r>
            <w:r w:rsidR="00000000" w:rsidRPr="00000000" w:rsidDel="00000000">
              <w:rPr>
                <w:rtl w:val="0"/>
              </w:rPr>
              <w:t xml:space="preserve"> minētās tiešās attiecināmās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24.5. </w:t>
            </w:r>
            <w:r w:rsidR="00000000" w:rsidRPr="00000000" w:rsidDel="00000000">
              <w:rPr>
                <w:rtl w:val="0"/>
              </w:rPr>
              <w:t xml:space="preserve">apakšpunktā</w:t>
            </w:r>
            <w:r w:rsidR="00000000" w:rsidRPr="00000000" w:rsidDel="00000000">
              <w:rPr>
                <w:rtl w:val="0"/>
              </w:rPr>
              <w:t xml:space="preserve"> minētās atbalstāmās darbības attiecināmās izmaksas plāno kā vienu izmaksu pozīciju, piemērojot vienoto izmaksu likmi 20 procentu apmērā no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minētajām tiešajām attiecināmajām izmaksām, kas neietver šo noteikumu </w:t>
            </w:r>
            <w:r w:rsidR="00000000" w:rsidRPr="00000000" w:rsidDel="00000000">
              <w:rPr>
                <w:rtl w:val="0"/>
              </w:rPr>
              <w:t xml:space="preserve">25.7. </w:t>
            </w:r>
            <w:r w:rsidR="00000000" w:rsidRPr="00000000" w:rsidDel="00000000">
              <w:rPr>
                <w:rtl w:val="0"/>
              </w:rPr>
              <w:t xml:space="preserve">apakšpunktā</w:t>
            </w:r>
            <w:r w:rsidR="00000000" w:rsidRPr="00000000" w:rsidDel="00000000">
              <w:rPr>
                <w:rtl w:val="0"/>
              </w:rPr>
              <w:t xml:space="preserve"> minētās tiešās attiecināmās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MK noteikumu projekta 27.punktā noteikto likmes apmēru, to saskaņojot ar vadošo iestādi un papildinot anotācijas aprakstu. Papildus lūdzam anotācijā sniegt informāciju, vai izmaksas ir skaidri nodalāmas un nepastāv izmaksu un funkciju pārklāšanās ar likmē iekļaujamām izmaksām un izmaksām, kas tiks attiecinātas kā faktiskās par citām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MK noteikumu projekta 27.punktu punktu papildināt ar atsauci uz Regulas pantu, atbilstoši kuram šī likme piemērojama.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vienotās likmes apmērs paredzēts, lai pašvaldībām būtu iespēja piesaistīt kvalificētus speciālistus, ja tas ir nepieciešams, projekta kvalitatīvas projekta īstenošanas nodrošināšanai. Skaidrojam, ka ES fondu 2014–2020 plānošanas perioda pieredze rāda, ka pašvaldības pieejamo ES fonda finansējumu maksimāli iegulda tieši infrastruktūras attīstībā. Piemēram, 3.3.1.SAM, 5.6.2.SAM un 13.1.3.3. pasākuma ietvaros no 230 apstiprinātajiem projektiem tikai 14 projektos iekļautas projekta vadības izmaksas. Projekta vadības izmaksas variē no 0,22% līdz 2,48% no kopējām attiecināmajām izmaksām. Līdz ar to secināms, ka līdz šim pašvaldību infrastruktūras projektos projektu vadības izmaksas nav bijušas plaši izmantotas, un gadījumos, kur tādas ir iekļautas, tās veido mazu proporciju no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ES fondu 2021-2027.gada plānošanas perioda projektu ieviešanā tiek noteikti jauni aspekti, kurus nepieciešams izprast un piemērot, attiecīgi, pašvaldībām varētu būt nepieciešamība piesaistīt atbilstošu projekta vadības personālu (piemēram, DNSH, klimatdrošināšana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25.5. </w:t>
            </w:r>
            <w:r w:rsidR="00000000" w:rsidRPr="00000000" w:rsidDel="00000000">
              <w:rPr>
                <w:rtl w:val="0"/>
              </w:rPr>
              <w:t xml:space="preserve">apakšpunktā</w:t>
            </w:r>
            <w:r w:rsidR="00000000" w:rsidRPr="00000000" w:rsidDel="00000000">
              <w:rPr>
                <w:rtl w:val="0"/>
              </w:rPr>
              <w:t xml:space="preserve"> minētās atbalstāmās darbības attiecināmās izmaksas saskaņā ar regulas </w:t>
            </w:r>
            <w:r w:rsidR="00000000" w:rsidRPr="00000000" w:rsidDel="00000000">
              <w:rPr>
                <w:rtl w:val="0"/>
              </w:rPr>
              <w:t xml:space="preserve">Nr. 2021/1060</w:t>
            </w:r>
            <w:r w:rsidR="00000000" w:rsidRPr="00000000" w:rsidDel="00000000">
              <w:rPr>
                <w:rtl w:val="0"/>
              </w:rPr>
              <w:t xml:space="preserve">  55. panta 1. punktu projekta iesniegumā plāno kā vienu izmaksu pozīciju, piemērojot vienoto izmaksu likmi piecu procentu apmērā no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minētajām tiešajām attiecināmajām izmaksām, kas neietver šo noteikumu </w:t>
            </w:r>
            <w:r w:rsidR="00000000" w:rsidRPr="00000000" w:rsidDel="00000000">
              <w:rPr>
                <w:rtl w:val="0"/>
              </w:rPr>
              <w:t xml:space="preserve">26.7. </w:t>
            </w:r>
            <w:r w:rsidR="00000000" w:rsidRPr="00000000" w:rsidDel="00000000">
              <w:rPr>
                <w:rtl w:val="0"/>
              </w:rPr>
              <w:t xml:space="preserve">apakšpunktā</w:t>
            </w:r>
            <w:r w:rsidR="00000000" w:rsidRPr="00000000" w:rsidDel="00000000">
              <w:rPr>
                <w:rtl w:val="0"/>
              </w:rPr>
              <w:t xml:space="preserve"> minētās tiešās attiecināmās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netiešās attiecināmās izmaksas ir finansējuma saņēmēja projekta vadības personāla administratīvās izmaksas, kuras plāno kā vienu izmaksu pozīciju, piemērojot netiešo izmaksu vienoto likmi 15 procentu apmērā no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minētajām personāla izmaksām, ko aprēķina tikai tām izmaksām, kas radušās uz darba tiesisko attiecību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28.punkta beigu daļu "ko aprēķina tikai tām izmaksām, kas radušās uz darba tiesisko attiecību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netiešās attiecināmās izmaksas ir finansējuma saņēmēja projekta vadības personāla administratīvās izmaksas, kuras plāno kā vienu izmaksu pozīciju, piemērojot netiešo izmaksu vienoto likmi 15 procentu apmērā no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minētajām personāla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Neparedzētie izdevumi nepārsniedz piecus procentus no projekta kopējām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iekļaut informāciju attiecībā uz neparedzētajiem izdevumiem- attiecīgi skaidri sniedzot pamatojumu, kāpēc konkrētajā pasākumā nosaka procentuālo neparedzēto izdevumu tieši tādā apmērā. Lai arī izziņā ir norādīts, ka minētais Finanšu ministrijas komentārs ir ņemts vērā, tomēr vēršam uzmanību, ka anotācija nav atbilstoši papildināta ar pamatojumu neparedzēto izmaksu ierobežojuma sliekšņa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Neparedzētie izdevumi nepārsniedz piecus procentus no projekta kopējām tiešajām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Neparedzētie izdevumi nepārsniedz piecus procentus no projekta kopējām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vadlīnijām Nr.1.2. "Vadlīnijas attiecināmo izmaksu noteikšanai Eiropas Savienības kohēzijas politikas programmas 2021.-2027.gada plānošanas periodā" katrā specifiskajā atbalsta mērķī (SAM) minētais procentuālais apmērs ir jāizvērtē individuāli, atkarībā no tā, cik apjomīgus un sarežģītus projektus paredzēts īstenot attiecīgajā SAM, taču tas kopumā nedrīkst pārsniegt 5 % no kopējo tiešo attiecināmo izmaksu summas. Ņemot vērā iepriekš minēto, lūdzam anotācijā iekļaut pamatojumu, kāpēc konkrētajā SAM nosaka procentuālo neparedzēto izdevumu tieši tādā apmērā, nepieciešamības gadījumā to pārvērtējot.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papildinājumus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Neparedzētie izdevumi nepārsniedz piecus procentus no projekta kopējām tiešajām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Pievienotās vērtības nodokļa maksājumi, kas tiešā veidā saistīti ar projektu, ir attiecināmās izmaksas, ja tos nevar atgūt atbilstoši normatīvajiem aktiem par pievienotās vērtības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Vadlīniju Nr.1.2. "Vadlīnijas attiecināmo izmaksu noteikšanai Eiropas Savienības kohēzijas politikas programmas 2021.-2027.gada plānošanas periodā" 19.1.apakšpunktā noteikto, proti, ka saskaņā ar Kopīgo noteikumu regulas 64.panta 1.punkta c) apakšpunktu pievienotais vērtības nodoklis (turpmāk- PVN) ir attiecināms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Projektiem, kuru kopējās izmaksas ir mazākas par 5 milj. EUR (ieskaitot PVN). Savukārt gadījumos, kad finansējuma saņēmējs ir valsts atbalsta (t.sk. de minimis) saņēmējs PVN tiešajām attiecināmajām izmaksām var tikt attiecināms tikai tādā gadījumā,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Projektiem, kuru kopējās izmaksas ir vismaz 5 milj. EUR (ieskaitot PVN), ja tas nav atgūstams saskaņā ar attiecīgās valsts tiesību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 saņēmēju veiktas investīcijas Finanšu instrumentu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izvērtēt, vai MK noteikumu projekta 30.punkta redakcija nebūtu precizējama, piemēram, šādi: Pievienotās vērtības nodokļa maksājumi, kas tiešā veidā saistīti ar projektu, uzskatāmi par attiecināmām izmaksām saskaņā ar Regulas Nr.2021/1060 64.panta 1.punkta c)apakšpunktā ietvertajiem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Pievienotās vērtības nodokļa maksājumi, kas tiešā veidā saistīti ar projektu, ir uzskatāmi par attiecināmām izmaksām saskaņā ar regulas </w:t>
            </w:r>
            <w:r w:rsidR="00000000" w:rsidRPr="00000000" w:rsidDel="00000000">
              <w:rPr>
                <w:rtl w:val="0"/>
              </w:rPr>
              <w:t xml:space="preserve">Nr. 2021/1060</w:t>
            </w:r>
            <w:r w:rsidR="00000000" w:rsidRPr="00000000" w:rsidDel="00000000">
              <w:rPr>
                <w:rtl w:val="0"/>
              </w:rPr>
              <w:t xml:space="preserve"> 64. panta 1. punkta "c" apakšpunktā ietvertajiem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minētās elektroenerģijas un ūdenssaimniecības infrastruktūras izmaksas ir attiecināmas, ja atbalstītie infrastruktūras objekti pēc projekta īstenošanas ir attiecīgi sadales sistēmas operatora vai sabiedrisko pakalpojumu sniedzēju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šajā punktā norādītās informācijas izriet, ka atbalstītie infrastruktūras objekti pēc projekta īstenošanas ir attiecīgi sadales sistēmas operatora īpašumā, taču ņemot vērā, ka 44.punktā noteikts, ka pasākuma ietvaros netiek atbalstītas darbības, kurām atbalsts ir kvalificējams kā komercdarbības atbalsts. informācija ir pretrunīga un neviennozīmīga attiecībā pret valsts atbalsta nosacījumiem, kas atrunāti Regulas Nr.651/2014 48.pantā, ar ko paredz ieguldījumu atbalstu energoinfrastruktūrai. Lūgums šo precizēt un/vai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minētās ūdenssaimniecības un siltumapgādes infrastruktūras izmaksas ir attiecināmas, ja atbalstītie infrastruktūras objekti pēc projekta īstenošanas ir sabiedrisko pakalpojumu sniedzēju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uzkrāj datus par projekta ietekmi uz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un nepārprotami norādīt, kādi dati par projekta ietekmi ir jāuzkrāj finansējuma saņēmējam, jo no piedāvātās punkta redakcijas un anotācijas tas nav viennozīmīgi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uzkrāj datus par projektā sasniegto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rādītāju;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37.2.1. vienlīdzība, iekļaušana, nediskriminācija un pamattiesību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LM/TM vadlīnijām [1], lūdzam rast iespēju noteikumu projektā iekļaut konkrētus horizontālā principa "Vienlīdzība, iekļaušana, nediskriminācija un pamattiesību ievērošana” rādītājus. Attiecīgi šie rādītāji tiks iekļauti Kohēzijas politikas vadības un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skatīt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uzkrāj datus par horizontālā principa "Vienlīdzība, iekļaušana, nediskriminācija un pamattiesību ievērošana"rādītājiem: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objektu skaits, kuros ar ERAF ieguldījumiem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konsultatīva rakstura pasākumu par būvētās vides, IT risinājumu, IT tehnoloģiju piekļūstamību personām ar dažādiem funkcionāliem traucējumiem (piemēram, vides piekļūstamības ekspertu konsultācijas būvprojekta izstrādes un pabeigšanas posmā)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37.2.1.apakšpunkts.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sniedz sadarbības iestādei informāciju par šo noteikumu </w:t>
            </w:r>
            <w:r w:rsidR="00000000" w:rsidRPr="00000000" w:rsidDel="00000000">
              <w:rPr>
                <w:rtl w:val="0"/>
              </w:rPr>
              <w:t xml:space="preserve">37.2. </w:t>
            </w:r>
            <w:r w:rsidR="00000000" w:rsidRPr="00000000" w:rsidDel="00000000">
              <w:rPr>
                <w:rtl w:val="0"/>
              </w:rPr>
              <w:t xml:space="preserve">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 rezultāta rādītāja vērtības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un nepārprotami norādīt, kas ir tie dati, kas ir jāuzkrāj finansējuma saņēmējam un ko tas iesniedz sadarbības iestādei par horizontālo principu rādītājiem klimatdrošināšanā, energoefektivitāte pirmajā vietā un nenodarīt būtisku kaitējumu. Anotācijā ir iekļauti vispārēji nosacījumi, lai tiktu ievēroti iepriekš minētie horizontālie principi, bet nav definēti uzkrājamie dati vai norāde uz vadlīnijām, kur ir skaidri nodefinēti sasniedzamie rādītāji un uzkrājamie dati, ņemot vērā pasākuma specifiku. Vēršam uzmanību, ka datu uzkrāšanai par horizontālo principu ievērošanu ir nepieciešams nodrošināt arī KPVIS funkcionalitāti, tāpēc ir nepieciešami precīzi dati, kas būs jāievada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līmenī obligāti norādāmie dati ir paredzēti MK noteikumu projekta 11. punktā. Savukārt dati, ko uzkrāj par projekta ietekmi uz horizontālo principu rādītājiem ir papildu dati, ko projektu iesniedzējs atzīmēs KPVIS datu laukos gadījumā, ja attiecīgajā projektā šādi dati būs pieejami (MK noteikumu projekta punktā norādīta atzīme – ja attiecināms). Ievērojot minēto un to, ka, piemēram, attiecībā uz HP "Klimatdrošināšana" atbildīgā iestāde ir Klimata un enerģētikas ministrija, tad atbildība par attiecīgo KPVIS datu lauku definēšanu būtu attiecīgās iepriekš minētās ministrijas pārziņā.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 sniedz sadarbības iestādei informāciju par šo noteikumu </w:t>
            </w:r>
            <w:r w:rsidR="00000000" w:rsidRPr="00000000" w:rsidDel="00000000">
              <w:rPr>
                <w:rtl w:val="0"/>
              </w:rPr>
              <w:t xml:space="preserve">38.2. </w:t>
            </w:r>
            <w:r w:rsidR="00000000" w:rsidRPr="00000000" w:rsidDel="00000000">
              <w:rPr>
                <w:rtl w:val="0"/>
              </w:rPr>
              <w:t xml:space="preserve">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 iznākuma rādītāja vērtības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Īstenojot projektu, finansējuma saņēmējs nodrošina informācijas un publicitātes pasākumus saskaņā ar Eiropas Parlamenta un Padomes 2021. gada 24. jūnija Regulu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projekta 39.punktu, paredzot, ka finansējuma saņēmējs nodrošina informācijas un publicitātes pasākumus saskaņā ar regulas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Īstenojot projektu, finansējuma saņēmējs nodrošina informācijas un publicitātes pasākumus saskaņā ar regulas </w:t>
            </w:r>
            <w:r w:rsidR="00000000" w:rsidRPr="00000000" w:rsidDel="00000000">
              <w:rPr>
                <w:rtl w:val="0"/>
              </w:rPr>
              <w:t xml:space="preserve">Nr. 2021/1060</w:t>
            </w:r>
            <w:r w:rsidR="00000000" w:rsidRPr="00000000" w:rsidDel="00000000">
              <w:rPr>
                <w:rtl w:val="0"/>
              </w:rPr>
              <w:t xml:space="preserve"> 47. pantu un 50. pantu un normatīvajiem aktiem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publiskas personas īpašumā, ja īpašuma turējuma tiesības projekta iesniedzējs ir ieguvis uz termiņu, kas nav īsāks par pieciem gadiem no projekta noslēguma maksājuma veikšanas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41.3.apakšpunktā noteikts, ka pasākuma ietvaros ieguldījumus infrastruktūrā, izņemot šo noteikumu 31.punktā minēto gadījumu par elektroenerģijas infrastruktūras īpašumtiesībām, var veikt publiskas personas īpašumā, ja īpašuma turējuma tiesības projekta iesniedzējs ir ieguvis uz termiņu, kas nav īsāks par pieciem gadiem no projekta noslēguma maksājuma veikšanas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42.punktu īpašuma vai turējuma tiesības attiecībā uz atbalstītajiem infrastruktūras objektiem nemaina, un ieguldījums paliek Latvijas Republikas teritorijā vismaz piecus gadus pēc projekta noslēguma maksājuma veikšanas finansējuma saņēmējam un īpašuma vai turējuma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anotācijā skaidrot, ko sevī ietver īpašuma turējuma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līdzīga satura Ministru kabineta noteikumos ir ietverts nosacījums, ka projekta iesniedzējs ir persona, kuras īpašumā, turējumā, lietošanā vai valdījumā atrodas objekts un ka objekti, kuros plānotas investīcijas, atrodas projekta iesniedzēja īpašumā, turējumā vai valdījumā (piemēram, Ministru kabineta 2020.gada 10.marta noteikumi Nr.130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 15.un 32.punkts). Ņemot vērā minēto lūdzam izvērtēt, vai nebūtu precizējams MK noteikumu projekta 41.3.apakšpunkts un 42.punkts.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41.3. apakšpunkts  un 42.punkts.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publiskas personas īpašumā vai valdījumā esošā īpašumā, ja valdījuma tiesības ir iegūtas uz termiņu, kas nav īsāks par pieciem gadiem no dienas, kad veikts projekta noslēguma maksājums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pamatojoties uz finansējuma saņēmēja rakstisku avansa pieprasījumu un izvērtējot plānotā avansa apmēru, tā pamatojumu un spēju to izlietot deviņu mēnešu laikā (piemēram, projekta iesniedzējam ir pabeigts būvdarbu iepirkums vai noslēgts būvdarbu līgums), var piešķirt finansējuma saņēmējam avansu pēc civiltiesiskā līguma vai vienošanās par projekta īstenošanu noslēgšanas, ievērojot, ka avansa un starpposma maksājumu kopsumma nepārsniedz 90 procentus no projektam piešķirtā ERAF finansējuma un pašvaldības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43.punktu, nosakot, ka avanss jāizlieto sešu mēnešu laikā saimnieciskā gada ietvaros, nodrošinot atbildīgu finanšu plānošanu, lai nerastos situācijas, kad neizlietots avanss uz nākamā gada sākumu rada negatīvu ietekmi uz valsts kopbudžeta deficītu. Vēršam uzmanību, ka garāks avansu apgūšanas termiņš kopumā būtiski neveicinās naudas plūsmas intensificēšanu, un var radīt risku n+3 mērķu izpildei. Ātrāku naudas plūsmu varētu nodrošināt, paredzot avansa izmaksāšanu pa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43.punktu papildināt ar maksimālo avansa apmēru, kas precizētajā MK noteikumu projekta redakcijā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paredzēts avanss līdz 50% no projekta ERAF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vadlīniju “Vadlīnijas Ministru kabineta noteikumu par specifiskā atbalsta mērķa īstenošanu izstrādei Eiropas Savienības fondu 2021.—2027. gada plānošanas periodā” 41. punktu, MK noteikumos var tikt noteikts garāks termiņš, ja piešķirtā avansa izmantošanai nepieciešams vairāk nekā seši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kopumā būtiski kavējas ES kohēzijas politikas programmas 2021.-2027. gadam SAM un pasākumu uzsākšana un FM aicina intensificēt ES fondu apguvi un valsts budžeta izpildi, VARAM ieskatā 5.1.1.3. pasākums, kas ir neatbalsta pasākums, ir viens no ātrāk īstenotajiem pasākumiem. Vēršam uzmanību, ka šis pasākums ir ļoti gaidīts visās pašvaldībās un pašvaldības jau izstrādā tehniskos projektus būvdarbiem (atklātas projektu iesniegumu atlases ietvaros tiks piešķirti papildu punkti augstas gatavības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izlietošanas termiņš noteikts, ņemot vērā plānoto atlases laika grafiku un to, ka infrastruktūras būvniecība ir cieši saistīta ar sezonalitāti  - ziemas sezonā ir ierobežota būvdarbu veikšana ārtelpā, kad aktīvi būvdarbi nenotiek, tāpēc nepieciešams plānot ilgāku laiku avansa izlietošanai, iekļaujot arī aktīvās būvdarbu sezonas mēnešus, tādējādi veicinot ikgadējo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avanss tiks izmaksāts tikai tad, ja norādītajā termiņā ir iespējams to apgūt, piemēram, projekta iesniedzējam ir pabeigts būvdarbu iepirkums vai noslēgts būvdarbu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 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pamatojoties uz finansējuma saņēmēja rakstisku avansa pieprasījumu un izvērtējot plānotā avansa apmēru, tā pamatojumu un spēju to izlietot deviņu mēnešu laikā (piemēram, projekta iesniedzējam ir pabeigts būvdarbu iepirkums vai noslēgts būvdarbu līgums), var piešķirt finansējuma saņēmējam avansu pēc civiltiesiskā līguma vai vienošanās par projekta īstenošanu noslēgšanas, ievērojot, ka avansa un starpposma maksājumu kopsumma nepārsniedz 90 procentus no projektam piešķirtā ERAF finansējuma un pašvaldības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budžeta līdzekļu plānošanas kārtībai Eiropas Savienības fondu projektu īstenošanai un maksājumu veikšanai 2021.-2027.gada plānošanas periodā, veicot avansa un starpposma maksājumus, ievēro nosacījumu, ka to kopsumma nedrīkst pārsniegt 90% no projektam piešķirtā Eiropas Savienības fonda finansējuma un, ja tas paredzēts projektā, valsts budžeta līdzfinansējuma kopsummas. Aicinām precizēt vai skaidrot, kāpēc paredzēts kopummas apjoms ietverot pašvaldības budžeta līdzfinansējumu, nevis valsts budžeta līdzfinansējuma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43.punkts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 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pamatojoties uz finansējuma saņēmēja rakstisku avansa pieprasījumu un izvērtējot plānotā avansa apmēru, tā pamatojumu un spēju to izlietot sešu mēnešu laikā saimnieciskā gada ietvaros (projekta iesniedzējam ir pabeigts būvdarbu iepirkums vai noslēgts būvdarbu līgums), var piešķirt finansējuma saņēmējam avansu līdz 50 procentiem no projektam piešķirtā ERAF finansējuma pēc civiltiesiskā līguma vai vienošanās par projekta īstenošanu noslēgšanas.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paredzēts avansa maksājums, kuru iespējams izmaksāt pa daļām, lūdzam iekļaut avansa un starpposma maksājuma kopsummas maksimimālo apmēru, ņemot vērā normatīvajā aktā "Valsts budžeta līdzekļu plānošanas kārtība Eiropas Savienības fondu projektu īstenošanai un maksājumu veikšanai 2021.-2027.gada plānošanas periodā" noteikto (šobrīd ir saskaņošanas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un starpposma maksājuma kopsumma, kas nepārsniedz 90% no ERAF finansējuma un pašvaldības līdzfinansējuma kopsummas, noteikta, ņemot vērā nepieciešamību intensificēt budžeta līdzekļa apguvi un n+3 principa izpildi ES fondu finansējuma plānošanā.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43. punkts ir precizēts, nosakot piešķirtā avansa apmēra izlietošanu deviņu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intensificētu 2023. gada budžeta izpildi, pasākuma projektu iesniegumu atlases ietvaros avansi varētu tikt izmaksāti indikatīvi jau š.g. decembrī. Avansa izlietošanas termiņš noteikts, ņemot vērā, ka infrastruktūras būvniecība ir cieši saistīta ar sezonalitāti  - ziemas sezonā ir ierobežota būvdarbu veikšana, kad aktīvi būvdarbi nenotiek, tāpēc nepieciešams plānot ilgāku laiku avansa izlietošanai, iekļaujot arī aktīvās būvdarbu sezonas mēnešus, tādējādi veicinot ikgadējo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 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pamatojoties uz finansējuma saņēmēja rakstisku avansa pieprasījumu un izvērtējot plānotā avansa apmēru, tā pamatojumu un spēju to izlietot sešu mēnešu laikā saimnieciskā gada ietvaros (projekta iesniedzējam ir pabeigts būvdarbu iepirkums vai noslēgts būvdarbu līgums), var piešķirt finansējuma saņēmējam avansu līdz 50 procentiem no projektam piešķirtā ERAF finansējuma pēc civiltiesiskā līguma vai vienošanās par projekta īstenošanu noslēgšanas.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maksājuma ierobežojums līdz 50% palielina pašvaldību nepieciešamību piesaistīt aizņēmuma resursus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aizņemšanās apjoma palielināšana projektu īstenošanai atstātu negatīvu ietekmi uz valdības sektora kopējo parāda apjomu, ietekmējot valsts kopējos finanšu stabilitātes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Ministru kabineta noteikumu projekta 43.punktu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pamatojoties uz finansējuma saņēmēja rakstisku avansa pieprasījumu un izvērtējot plānotā avansa apmēru, tā pamatojumu un spēju to izlietot sešu mēnešu laikā saimnieciskā gada ietvaros (projekta iesniedzējam ir pabeigts būvdarbu iepirkums vai noslēgts būvdarbu līgums), var piešķirt finansējuma saņēmējam avansu līdz 90 procentiem no projektam piešķirtā ERAF finansējuma pēc civiltiesiskā līguma vai vienošanās par projekta īstenošanu noslēgšanas.”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un starpposma maksājuma kopsumma, kas nepārsniedz 90% no ERAF noteikta, ņemot vērā nepieciešamību intensificēt budžeta līdzekļa apguvi un n+3 principa izpildi ES fondu finansējuma plānošanā.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papildinājumi veikti arī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 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Pasākuma ietvaros netiek atbalstītas darbības, kurām atbalsts ir kvalificējams kā komercdarbības atbalsts. Ja ar saimniecisko darbību nesaistīts projekts tā ieviešanas gaitā vai uzraudzības periodā pēc tā pabeigšanas kļūst par projektu, kas saistīts ar saimniecisku darbību, kurai sniegtais atbalsts būtu kvalificējams kā komercdarbības atbalsts, finansējuma saņēmējs no privātā finansējuma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44.punkta pirmo teikumu, ņemot vērā, ka šo noteikumu ietvarā (MK noteikumu projekta 21., 22. un 23.punkts) ir paredzēts komercdarbības atbalsts sabiedrisko pakalpojumu sniedzējam. Lūdzam precizēt šo punktu, novēršot pretrunu. Vienlaikus lūdzam otrajā teikumā sniegt atsauci uz punktu, kas paredz segt izmaksas tādām darbībām, kas nav komercdarbības atbalsts sabiedrisko pakalpojumu sniedzējam.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Pasākuma ietvaros netiek atbalstītas darbības, kurām atbalsts ir kvalificējams kā komercdarbības atbalsts, izņemot komercdarbības atbalstu ūdenssaimniecības un (vai) siltumapgādes sabiedrisko pakalpojumu sniedzējam. Ja ar saimniecisko darbību nesaistīts projekts, kura attiecināmās izmaksas atbilst jebkurām šo noteikumu </w:t>
            </w:r>
            <w:r w:rsidR="00000000" w:rsidRPr="00000000" w:rsidDel="00000000">
              <w:rPr>
                <w:rtl w:val="0"/>
              </w:rPr>
              <w:t xml:space="preserve">26.2. </w:t>
            </w:r>
            <w:r w:rsidR="00000000" w:rsidRPr="00000000" w:rsidDel="00000000">
              <w:rPr>
                <w:rtl w:val="0"/>
              </w:rPr>
              <w:t xml:space="preserve">apakšpunktā</w:t>
            </w:r>
            <w:r w:rsidR="00000000" w:rsidRPr="00000000" w:rsidDel="00000000">
              <w:rPr>
                <w:rtl w:val="0"/>
              </w:rPr>
              <w:t xml:space="preserve"> minētajām izmaksām, tā ieviešanas gaitā vai uzraudzības periodā, kas atbilst pamatlīdzekļu amortizācijas periodam, pēc tā pabeigšanas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Pasākuma ietvaros netiek atbalstītas darbības, kurām atbalsts ir kvalificējams kā komercdarbības atbalsts. Ja ar saimniecisko darbību nesaistīts projekts tā ieviešanas gaitā vai uzraudzības periodā pēc tā pabeigšanas kļūst par projektu, kas saistīts ar saimniecisku darbību, kurai sniegtais atbalsts būtu kvalificējams kā komercdarbības atbalsts, finansējuma saņēmējs no privātā finansējuma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44.punkts ietver nelikumīga valsts atbalsta atgūšanu, ja ar saimniecisko darbību nesaistīts projekts tā ieviešanas gaitā vai uzraudzības periodā pēc tā pabeigšanas kļūst par projektu, kas saistīts ar saimniecisku darbību, kurai sniegtais atbalsts būtu kvalificējams kā komercdarbības atbalsts. Vēršam uzmanību, ka tas vai izveidotā infrastruktūras projekts nekļūst par projektu, kas saistīts ar saimniecisku darbību, kurai sniegtais atbalsts būtu kvalificējams kā komercdarbības atbalsts, ir jānodrošina tās amortizācijas periodā. Turklāt noteikumos nav skaidrots, cik ilgs ir uzraudzības periods. Ņemot vērā iepriekš minēto lūdzam precizēt MK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punktu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Pasākuma ietvaros netiek atbalstītas darbības, kurām atbalsts ir kvalificējams kā komercdarbības atbalsts, izņemot komercdarbības atbalstu ūdenssaimniecības un (vai) siltumapgādes sabiedrisko pakalpojumu sniedzējam. Ja ar saimniecisko darbību nesaistīts projekts, kura attiecināmās izmaksas atbilst jebkurām šo noteikumu </w:t>
            </w:r>
            <w:r w:rsidR="00000000" w:rsidRPr="00000000" w:rsidDel="00000000">
              <w:rPr>
                <w:rtl w:val="0"/>
              </w:rPr>
              <w:t xml:space="preserve">26.2. </w:t>
            </w:r>
            <w:r w:rsidR="00000000" w:rsidRPr="00000000" w:rsidDel="00000000">
              <w:rPr>
                <w:rtl w:val="0"/>
              </w:rPr>
              <w:t xml:space="preserve">apakšpunktā</w:t>
            </w:r>
            <w:r w:rsidR="00000000" w:rsidRPr="00000000" w:rsidDel="00000000">
              <w:rPr>
                <w:rtl w:val="0"/>
              </w:rPr>
              <w:t xml:space="preserve"> minētajām izmaksām, tā ieviešanas gaitā vai uzraudzības periodā, kas atbilst pamatlīdzekļu amortizācijas periodam, pēc tā pabeigšanas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Pasākuma ietvaros netiek atbalstītas darbības, kurām atbalsts ir kvalificējams kā komercdarbības atbalsts. Ja ar saimniecisko darbību nesaistīts projekts tā ieviešanas gaitā vai uzraudzības periodā pēc tā pabeigšanas kļūst par projektu, kas saistīts ar saimniecisku darbību, kurai sniegtais atbalsts būtu kvalificējams kā komercdarbības atbalsts, finansējuma saņēmējs no privātā finansējuma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projekta 44.punkts ietver nelikumīga valsts atbalsta atgūšanu, ja ar saimniecisko darbību nesaistīts projekts tā ieviešanas gaitā vai uzraudzības periodā pēc tā pabeigšanas kļūst par projektu, kas saistīts ar saimniecisku darbību, kurai sniegtais atbalsts būtu kvalificējams kā komercdarbības atbalsts. Lūdzam papildināt MK noteikumu projektu arī ar normu, kas paredz nelikumīga valsts atbalsta atgūšanu gadījumos, ja finansējuma saņēmējam tiek sniegts valsts atbalsts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tiek pārkāptas šajos noteikumos noteiktās komercdarbības atbalsta piešķiršanas prasības vispārējas tautsaimnieciskas nozīmes pakalpojuma sniegšanai, atbalsta saņēmējam ir pienākums atmaksāt sadarbības iestādei visu projekta ietvaros saņemto nelikumīgo komercdarbības atbalstu kopā ar procentiem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Pasākuma ietvaros netiek atbalstītas darbības, kurām atbalsts ir kvalificējams kā komercdarbības atbalsts, izņemot komercdarbības atbalstu ūdenssaimniecības un (vai) siltumapgādes sabiedrisko pakalpojumu sniedzējam. Ja ar saimniecisko darbību nesaistīts projekts, kura attiecināmās izmaksas atbilst jebkurām šo noteikumu </w:t>
            </w:r>
            <w:r w:rsidR="00000000" w:rsidRPr="00000000" w:rsidDel="00000000">
              <w:rPr>
                <w:rtl w:val="0"/>
              </w:rPr>
              <w:t xml:space="preserve">26.2. </w:t>
            </w:r>
            <w:r w:rsidR="00000000" w:rsidRPr="00000000" w:rsidDel="00000000">
              <w:rPr>
                <w:rtl w:val="0"/>
              </w:rPr>
              <w:t xml:space="preserve">apakšpunktā</w:t>
            </w:r>
            <w:r w:rsidR="00000000" w:rsidRPr="00000000" w:rsidDel="00000000">
              <w:rPr>
                <w:rtl w:val="0"/>
              </w:rPr>
              <w:t xml:space="preserve"> minētajām izmaksām, tā ieviešanas gaitā vai uzraudzības periodā, kas atbilst pamatlīdzekļu amortizācijas periodam, pēc tā pabeigšanas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finansējuma saņēmējam tiek sniegts valsts atbalsts saskaņā ar </w:t>
            </w:r>
            <w:r w:rsidR="00000000" w:rsidRPr="00000000" w:rsidDel="00000000">
              <w:rPr>
                <w:rtl w:val="0"/>
              </w:rPr>
              <w:t xml:space="preserve">Eiropas Komisijas 2011. gada 20. decembra lēmumu Nr. 2012/21/ES par Līguma par Eiropas Savienības darbību 106. panta</w:t>
            </w:r>
            <w:r w:rsidR="00000000" w:rsidRPr="00000000" w:rsidDel="00000000">
              <w:rPr>
                <w:rtl w:val="0"/>
              </w:rPr>
              <w:t xml:space="preserve"> 2. punkta piemērošanu valsts atbalstam attiecībā uz kompensāciju par sabiedriskajiem pakalpojumiem dažiem uzņēmumiem, kuriem uzticēts sniegt pakalpojumus ar vispārēju tautsaimniecisku nozīmi, valsts atbalsta saņēmējs un vispārējas tautsaimnieciskas nozīmes pakalpojuma pilnvarojuma uzlicējs nodrošina dokumentu glabāšanu 10 gadus pēc pilnvarojuma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45. un 46. punktā norādītas atsauces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lēmumi ir individuāli tiesību akti, kas rada tiesības un uzliek pienākumus to adresātam. Lēmumi ir tieši piemērojami tiesību akti. Tomēr ne vienmēr lēmumi attiecas tikai uz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Lēmuma 13. pants nosaka, ka šis lēmums ir adresēts dalībvalstīm. Šādā gadījumā dalībvalstīm ir jāvērtē, vai lēmums satur tādas normas, kas attiecas arī uz privātpersonām. Ja lēmums šādas normas satur, tad dalībvalstīm, līdzīgi kā saistībā ar direktīvu pārņemšanu, ir savlaicīgi jāsasniedz lēmumā noteiktais mērķis, lēmumā iekļautos nosacījumus iestrādājot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2. pants nosaka, ka šo lēmumu piemēro valsts atbalstam attiecībā uz kompensāciju par sabiedrisko pakalpojumu sniegšanu, kas piešķirta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noteikumu projekta 45. un 46. punktu secināms, ka noteikumu projektā noteikts, ka finansējuma saņēmējam ir jāiesniedz sadarbības iestādei vispārējas tautsaimnieciskas nozīmes pakalpojuma pilnvarojuma uzlicēja/u apliecinājumus, kurā noteikts, ka vispārējas tautsaimnieciskas nozīmes pakalpojuma pilnvarojuma uzlicējiem ir jānodrošina atlīdzības (kompensācijas) maksājumu kontroli un pārskatīšanu, kā arī atlīdzības (kompensācijas) maksājumu pārmaksas novēršanu un atgūšanu atbilstoši Lēmumam vai apliecinājumu par sabiedriskajiem ūdenssaimniecības pakalpojumiem paredzēto kopējo maksājumu kontroli un pārskatīšanu, kā arī atlīdzības (kompensācijas) maksājumu pārmaksas novēršanu un atgūšanu, ievērojot Lēmumā noteikto pārbaužu regularitāti. Noteikumu projekta 21. punktā norādīts, ka projekta sadarbības partneri ir ūdenssaimniecības un (vai) siltumapgādes sabiedrisko pakalpojumu sniedzējs. Attiecīgi 21. punktā minētie sadarbības partneri var būt juridiskas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iepriekš minētie sadarbības partneri var būt arī juridiskas personas, attiecīgi šajā gadījumā Lēmums ir adresēts dalībvalstīm, bet dalībvalstij adresētajā lēmumā, iespējams, ir ietvertas normas, kas noteikumu projektā tiek attiecināmas arī uz juridiskajām personām. Lai tikai dalībvalstij saistošā lēmumā ietvertos nosacījumus piemērotu attiecībās ar privātpersonām, t.sk. juridiskajām personām, tie jāpārņem privātpersonām saistošos nacionālajos normatīvajos aktos. Attiecīgi lūdzam izvērtēt, vai noteikumu projekta 45. un 46. punktā uzliktais pienākums juridiskām personām ievērot Lēmumā noteiktos nosacījumus ir pamatots. Ja noteikumu projekta 2. punktā uzliktais pienākums juridiskām personām ievērot Lēmuma noteikto ir pamatots un nepieciešamas, tad Lēmums jāpārņem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45. un 46. punktā svītrot atsauces uz iepriekš minēto Lēmumu un nepieciešamības gadījumā attiecīgā Lēmuma normas, kuras nepieciešams padarīt saistošas juridiskajām personām, pārņemt (iestrādāt) noteikumu projektā līdzīgi kā Eiropas Savienības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norādām, ka TM ir vairākkārt sniegusi padziļinātus skaidrojumus par atsaucēm uz Eiropas Komisijas lēmumu Nr. 2012/21/ES lietošanu Ministru kabineta noteikumos (piemēram, TMvest_210121_VARAM_par atsaucēm uz lēmumu.docx). Lūdzam šajā plānošanas periodā ņemt vērā sniegtos skaidrojumus, tādējādi veicinot ātrāku un efektīvāku projektu saskaņošanu.  Nepieciešamības gadījumā lūdzam organizēt sanāksmi ar FM, kurā vienotos par nepieciestajām darbībām, lai turpmāk projektu saskaņošana netiktu apgrūtināta ar šī jautājuma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precizētos MK noteikumu projekta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uz kura pamata tika piešķirts komercdarbības atbalsts, tiek saglabāta un nodrošināta pieejamība visai nepieciešamajai informācijai, lai noteiktu, vai piešķirtais atbalsts ir saderīgs ar šajos noteikumos noteiktajām komercdarbības atbalsta piešķiršanas prasībām vispārējas tautsaimnieciskas nozīmes pakalpojumu 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Nr.617 “Tiesību akta projekta sākotnējās ietekmes izvērtēšanas kārtība” 14.punktā noteikto, izstrādājot sākotnējās ietekmes novērtējumu (anotāciju), ir jāizvērtē arī normatīvā akta ietekme uz tautsaimniecību. Attiecīgi lūdzam papildināt anotāciju ar informāciju par normatīvā akta ietekmi uz tautsaimniecību, norādot pēc iespējas izmērāmus rādītājus, kā arī novērtējot konkrētus aspektus par plānoto ieguldījumu sagaidāmo ietekmi un efektivitāti, t.sk. faktiski sagaidāmos rezultātus pēc investīciju īstenošanas.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punktā noteikts, ka Projekta iesnieguma minimālais attiecināmo izmaksu apmērs nav mazāks par 200 000 euro, un projekta iesnieguma maksimālais ERAF finansējums ir 800 000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minēts, ka ERAF finansējums plānots no 300 000 euro līdz 800 000 euro (maksimālais pieejamais ERAF finansējums), līdz ar to nepieciešams novērst neatbilstību starp noteikumu projektā un anotācijas projektā sniegto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(KPR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punktā noteikts, ka Projekta iesnieguma minimālais attiecināmo izmaksu apmērs nav mazāks par 200 000 euro, un projekta iesnieguma maksimālais ERAF finansējums ir 800 000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minēts, ka ERAF finansējums plānots no 300 000 euro līdz 800 000 euro (maksimālais pieejamais ERAF finansējums), līdz ar to nepieciešams novērst neatbilstību starp noteikumu projektā un anotācijas projektā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sadaļas "Atbalstāmās darbības un izmaksas" attiecīgo daļu ar šādiem vienkāršoto izmaksu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Apraksts, ka likmes aprēķins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Taisnīgs – vienkāršoto izmaksu aprēķiniem jābalstās uz datiem/ normatīvajiem aktiem un izmaksas nevar paredzēt pārmērīgi augstas vai zemas.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Objektīvs – vienkāršoto izmaksu aprēķiniem jāpauž vienāda attieksme pret jebkuru FS vai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Pārbaudāms – vienkāršoto izmaksu aprēķiniem jābūt dokumentāli pierādāmiem un pārbaudāmiem.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noteikts – likmes piemērošanas nosacījumi ir iepriekš noteikti un ieinteresētajām personām 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Lūgums norādīt likmes aprēķinam un tā pamatošanai izmantotos normatīvos aktus un informācijas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Lūgums norādīt Izmaksu un/ vai Ministru kabineta noteikumu par SAM īstenošanu punktu uzskaitījumu no kuriem rēķināms vienotās personāla likmes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42.punktā izteikto iebildumu, ņemot vērā, ka tas nav ņemts vērā pēc būtības. Attiecīgi atkārtoti lūdzam anotācijā norādīt, kādi dati finansējuma saņēmējam ir jāuzkrāj un jāiesniedz sadarbības iestādei par horizontālajiem principiem "Klimatnodrošināšana", "Energoefektivitāte pirmajā vietā un "Nenodarīt būtisku kaitējumu", lai gan finansējuma saņēmējam, gan sadarbības iestādei būtu skaidrs par uzkrājamajiem datiem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vai finansējuma saņēmējam būs pienākums uzkrāt datus arī par fiziskām personām, ņemot vērā, ka noteikumu projekts paredz, ka finansējuma saņēmējs uzkrāj datus par projekta ietekmi uz horizontālo principu rādītājiem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skat. papildināto MK noteikumu projektu – norādīta informācija par LM horizontālā principa “Vienlīdzība, iekļaušana, nediskriminācija un pamattiesību ievērošana” rādītāja uzkrājamiem datiem, kas ir objektu skaits un konsultatīva rakstura pasākumi (netiek paredzēta personas datu uzkrāšana par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dati, ko uzkrāj par projekta ietekmi uz horizontālo principu rādītājiem nav obligāti norādāmie dati, bet gan papildu dati, ko projektu iesniedzējs atzīmēs KPVIS datu laukos gadījumā, ja attiecīgajā projektā šādi dati būs pieejami (MK noteikumu punktā norādīta atzīme – ja attiecināms). Ievērojot minēto un to, ka, piemēram, attiecībā uz horizontālo principu "Klimatdrošināšana" atbildīgā iestāde ir Klimata un enerģētikas ministrija, tad atbildība par attiecīgo KPVIS datu lauku definēšana būtu  Klimata un enerģētikas ministrijas pārziņā. Vēršam uzmanību, ka attiecīgās atbildīgās ministrijas vēl turpina vadlīniju izstrādi un FM kā ES fondu vadošai iestādei ir iespējams vienoties ar iepriekšminētajām ministrijām par horizontāli aizpildāmajiem datu laukiem, kurus norāda vadlīnijās un CFLA norāda KPVIS. Skaidrojam, ka attiecībā uz LM situācija ir atšķirīga, jo LM ir izstrādājusi (un ar FM kā vadošo iestādi saskaņojusi) vadlīnijas “Horizontālais princips “Vienlīdzība, iekļaušana, nediskriminācija un pamattiesību ievērošana” vadlīnijas īstenošanai un uzraudzībai (2021-2027)”, kuras atbildīgās iestādes izmanto, izstrādājot MK noteikumu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anotāciju atbilstoši Ministru kabineta 2009. gada 7. aprīļa noteikumu Nr. 300 „Ministru kabineta kārtības rullis” 3. punktam, kas noteic, ka Ministru kabineta noteikumu projektam pievieno anotāciju, kurā aizpildīta vismaz sadaļa par tiesību akta projekta nepieciešamību, tas ir, anotācijas I. sadaļa, bet pārējās anotācijas sadaļas aizpilda, ja tiesību akta projekts skar attiecīgajā anotācijas sadaļā minētos jautājumus. Norādām, ka Tieslietu ministrijai nav iespējams precīzi izvērtēt, kuras noteikumu projekta normas ir pārņemtas atbilstoši attiecīgo Eiropas Savienības tiesību aktu normām. Turklāt svarīgi pie noteikumu projekta norādīt, kāpēc papildu Eiropas Savienības normām noteikumu projektā ir ietvertas normas no nacionālajiem tiesību aktiem. Lai noteikumu projekts nebūtu pretrunā Eiropas Savienības prasībām, skaidri jānorāda juridiskais pamats, kas ļauj dalībvalstīm pieņemt papildu normas. Ņemot vērā minēto, Tieslietu ministrija varēs sniegt precīzu izvērtējumu par noteikumu projekta atbilstību Eiropas Savienības tiesību aktiem pēc anotācijas precizēšanas.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8., 8.1.8., 8.1.9., 8.1.10., 8.1.12., un 8.2.sadaļu ar informāciju par pasākuma 5.1.1.3.  ietekmi uz horizontālo principu “Vienlīdzība, iekļaušana, nediskriminācija un pamattiesību ievērošana” (turpmāk - HP) atbilstoši Labklājības ministrijas un Tieslietu ministrijas izstrādātajām vadlīnijām horizontālā principa “Vienlīdzība, iekļaušana, nediskriminācija un pamattiesību ievērošana” īstenošanai un uzraudzībai (turpmāk - vadlīnijas) (skatīt šeit: https://www.lm.gov.lv/lv/vadlinijas-horizontala-principa-vienlidziba-ieklausana-nediskriminacija-un-pamattiesibu-ieverosana-istenosanai-un-uzraudzibai-2021-2027, skat.vadlīniju 5.3. sadaļu "MK noteikumu anotācijas aizpildīšana"), iekļaujot vismaz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SAM/pasākuma ietekmi uz HP (saskaņā ar vadlīnijām 5.1.1.3.  pasākumam ir netieša ietekme uz HP (skat. vadlīniju 1.pielikumu);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vispārīgām un specifiskām HP darbībām, kuras ir jāparedz SAM ietvaros (skat. vispārīgo un specifisko HP darbību piemērus vadlīniju 7. sadaļā) un kas novērš diskrimināciju, veicina dzimumu līdztiesību, nodrošina piekļūstamību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HP rādītājiem (skat. vadlīniju 4.pielikumu).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informāciju par pasākuma ietekmi uz iedzīvotāju sociālo situāciju atbilstoši Vadlīnijām tiesību akta projekta sākotnējās ietekmes novērtēšanai un novērtējuma ziņojuma sagatavošanai, https://tai.mk.gov.lv/anotacija.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rast iespēju norādīt, ka pasākuma ietvaros tiks attīstīta piekļūstama publiskā infrastruktūra,  kas visiem iedzīvotājiem, īpaši personām ar invaliditāti un sociālās atstumtības pakļautiem iedzīvotājiem, mazinās sociālo atstumtību un dos iespēju īstenot savas tiesības un izmantot iespējas, kā arī tiks novērsti šķēršļi, kas to liedz, piemēram, vides nepieejamība, sabiedrības aizspriedumi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informācijas sniegšanu par horizontālo principu "Vienlīdzība, iekļaušana, nediskriminācija un pamattiesību ievērošana", aicinām svītrot esošo tekstu, jo tas attiecas uz sadaļu 8.2. "Cita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pasākuma īstenošanai ir netieša  pozitīva ietekme uz personu ar invaliditāti vienlīdzīgām iespējām un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paredz, ka publiskās peldvietas, publiskās tualetes un dzeramā ūdens ieguves vietas, soliņi un galdiņi ārtelpā u.c. publiskā infrastruktūra tiks veidota, ievērojot universālā dizaina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publiskās ārtelpas piekļūstamību personām ar invaliditāti, vecāka gadagājuma cilvēkiem, ģimenēm ar bērniem,  noteikumu projekts paredz attiecināmās izmaksas vides pieejamības ekspertu konsultācijām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īstenošanā tiek paredzētas darbības, kas veicina personu ar invaliditāti vienlīdzīgas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informāciju publiskajā telpā, t.sk. tīmeklī, tiks nodrošināts, ka to saturs ir piekļūstams cilvēkiem ar funkcionāliem traucējumiem, izmantojot vairākus sensoros (redze, dzirde, tauste);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invaliditāti, t.sk. bērnu,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būvnormatīvā LBN 200-21 noteiktajam,  projekta ietvaros tiks īstenotas labās prakses darbības, kas īpaši veicina vides piekļūstamību cilvēkiem ar funkcionāliem traucējumiem.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pasākuma ietekmes uz dzimumu līdztiesību aprakstu atbilstoši LM/TM vadlīnijām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ir netieša pozitīva ietekme uz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publisko infrastruktūru un ievērojot universālā dizaina principus, tiks veidota droša un ērta vide arī vecākiem ar maziem bērniem, vecāka gadagājuma cilvēkiem. Veidojot videi draudzīgu apgaismojumu, tai skaitā inovatīvus apgaismojuma risinājumus, vienlaikus tiks veicināta pārvietošanās drošība gan no ērtības un gan drošības kopumā, kas ir īpaši svarīgi sievietēm. Piemēram, labs apgaismojums mazinās riskus vardarbībai pret sievietēm, aizskaršanai/apdraudējumam. Tas būtu attiecināms arī uz vecāko paaudzi un jauniešiem.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5.1.1.3. pasākuma ietekmi uz horizontālo principu "Vienlīdzība, iekļaušana, nediskriminācija un pamattiesību ievērošana".  Vienlaikus ierosinām sadaļas pēdējo atkāpi svītrot un pārnest uz sadaļu "8.1.9. uz personu ar invaliditāti vienlīdzīgām iespējām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pasākumam ir netieša pozitīva ietekme uz horiozntālo principu "Vienlīdzība, iekļaušana, nediskriminācija un pamattiesību ievērošana".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kvalitātes kritēriju, par kura izpildi projekta iesniedzējam tiek piešķirti 0,5 punkti, proti, ja projekta iesniegumā tiek paredzētas vismaz  3 vispārīgas un 3 specifiskas horizontālā principa darbības, un vismaz 2 horizontālā principa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5.1 prioritātes “Reģionu līdzsvarota attīstība”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pēc būtības saskaņo noteikumu projektu un atbalsta projekta tālāku virzību, vienlaikus izsakot šādu priekšlikumu. Vēlamies akcentēt teritorijas labiekārtošanas būtisko lomu tūrisma veicināšanā, jo īpaši vietējā tūrismā reģionos. Tādēļ aicinām nodrošināt, ka noteikumu ietvaros tiek nodrošināta arī tūrisma infrastruktūras uzlabošana - vietējā un starptautiskā, tas nozīmē tūrisma objektu pieejamība un rekreācijas infrastruktūras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kohēzijas politikas programmā 2021.–2027.gadam noteikto, pasākuma ietvaros ir atbalstāmi integrēti ieguldījumi publiskajā ārtelpā (piem., parks, skvērs, promenāde, publiski pieejama atpūtas zona, t.sk. Baltijas jūras piekrastē), identificējot primāri svarīgās vietas, kur ieguldījumi var sniegt vislielāko atdevi, palielināt sabiedrības drošību vai uzlabot dzīves vides kvalitāti, kas var ietvert multifunkcionālus risinājumus, zaļo un zilo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ārtelpa var tikt izmantota arī rekreācijai un izziņai.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publisko ārtelpu primāri būtu nepieciešams attīstīt pie mobilitātes punktiem, pie ēkām, kur tiek sniegti valsts vai pašvaldību pakalpojumi, pie ēkām, kurās tiek veikta saimnieciskā darbība, un vietās, kur paredzētas darbības, kas palielinās sabiedrisko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kopējo finansējumu un katram plānošanas reģionam pieejamo finansējumu pasākuma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plānoto un pieejamo kopējo finansējumu un katra plānošanas reģiona teritorijā pieejamo finansējumu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plānoto un pieejamo kopējo finansējumu un katra plānošanas reģiona teritorijā pieejamo finansējumu pasākuma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kopējo finansējumu un katrā plānošanas reģionā teritorijā pieejamo finansējumu pasākuma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(turpmāk – projekts) iesniedzējiem un projekta sadarbības partneriem (ja tos pieaicina);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paredz arī regulējumu, kas attiecas uz finansējuma saņēmēju, lūdzam papildināt noteikumu projekta 1.4.apakšpunktu ar vārdiem "finansējuma saņēmējam" aiz vārda "iesniedzējam".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(turpmāk – projekts) iesniedzējiem, finansējuma saņēmējiem un projekta sadarbības partneriem (ja tos pieaicina);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Pasākumu īsteno atklātas projektu iesniegumu atlases veidā katra plānošanas reģiona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īsteno atklātas projektu iesniegumu atlases veidā katra plānošanas reģiona teritorijas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īsteno atklātas projektu iesniegumu atlases veidā katra plānošanas reģiona teritorijas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Pasākumu īsteno atklātas projektu iesniegumu atlases veidā katra plānošanas reģiona teritorijas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pašvaldību attīstības programmās paredzētie projekti, kurus īsteno pilsētu funkcionālajās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norādīt nepieciešamās informācijas saturu un apjomu šī punkta izpildei, tas ir, attīstības programmai.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sagatavos “Vadlīnijas mobilitātes punktu iekļaušanai plānošanas reģionu un pašvaldību attīstības programmās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5.1.1.3. pasākuma „Publiskās ārtelpas attīstība” ietvaros”, kur tiks norādīta informācija, kas par projektiem iekļaujama pašvaldību attīstības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pašvaldību attīstības programmās paredzētie projekti, kurus īsteno pilsētu funkcionālajās teritorijās.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pašvaldību attīstības programmās paredzētie projekti, kurus īsteno pilsētu funkcionālajās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norādīt nepieciešamās informācijas saturu un apjomu šī punkta izpildei, tas ir, attīstības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sagatavos “Vadlīnijas mobilitātes punktu iekļaušanai plānošanas reģionu un pašvaldību attīstības programmās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5.1.1.3. pasākuma „Publiskās ārtelpas attīstība” ietvaros”, kur tiks norādīta informācija, kas par projektiem iekļaujama pašvaldību attīstības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pašvaldību attīstības programmās paredzētie projekti, kurus īsteno pilsētu funkcionālajās teritorijās.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MK noteikumu projekta izpratnē ar publisko ārtelpu saprot arī gājēju ielas, kas ietilptu MK noteikumu projekta 25.2.5.punktā lietotajā terminā “gājēju kustības infrastruktūra”. Vēršam uzmanību, ka gājēju iela kā termins tiek izmantots plašāk kā MK noteikumu projekta 9.punktā minētie ārtelpas piemēri - bulvāris, pasāža, promenāde.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9.punkts nosaka, ka publiskā ārtelpa var būt arī citas vietas, ja tās ir nodotas publiskai lietošanai. Attiecīgi, arī gājēju iela varētu tikt uzskatīta par publisko ārtelpu, līdzīgi kā promenāde vai bulvāris, ja tā ir nodota publiskai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publiskie ūdeņi šo noteikumu izpratnē. Vai tie ir tikai tie, kas ir Civillikuma pielikumā (Publisko ezeru un upju saraksts, Pielikums 16.09.2021. likuma redakcijā, kas stājas spēkā 11.10.2021.), vai tomēr šajā gadījumā tas skatāms plašāk un saprotams kā vienkārši publiski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6.punktā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- 16.03.2023.)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MK noteikumu projekta izpratnē ar publisko ārtelpu saprot arī gājēju ielas, kas ietilptu MK noteikumu projekta 25.2.5.punktā lietotajā terminā “gājēju kustības infrastruktūra”. Vēršam uzmanību, ka gājēju iela kā termins tiek izmantots plašāk kā MK noteikumu projekta 9.punktā minētie ārtelpas piemēri - bulvāris, pasāža, promenāde.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76.punktā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ārtelpa šo noteikumu izpratnē ir sabiedrībai brīvi vai daļēji pieejamas teritorijas un telpas, ko veido bulvāri, laukumi, publisku ēku pagalmi, pasāžas, krastmalas, promenādes, parki, mežaparki, skvēri, publiskie ūdeņi un citas vietas, kas nodotas publiskai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salāgot MK noteikumu projektā lietot terminoloģiju, ņemot vērā, ka šobrīd esošajā redakcijā tiek lietoti dažādi termini "atvērtā zona", "publiskā teritorija" un "publiskā ārtelpa", vai skaidrot, kā šie termini atšķiras, nepieciešamības gadījumā veicot atbilstošus precizējumus.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tiek lietots termins “publiskā ārtelpa”, savukārt termins “atvērtā zona” un “publiskā teritorija” tiek lietots tikai programmā noteiktā iznākuma rādītāja nosaukumā – jaunizveidotas vai atjaunotas atvērtās zonas (publiskās teritorijas) pilsētvidē – 117 666 m2.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Pasākumu īsteno līdz 2026.gada 31.decembrim, sasniedzot programmas iznākuma rādītāju - jaunizveidotas vai atjaunotas atvērtās zonas (publiskās teritorijas) pilsētvidē – 117 666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MK noteikumu projekta 11.punktā lietotais termins “publiskās teritorijas” saprot to pašu, ko MK noteikumu 9.punktā definē kā terminu “publiska ārtelpa”.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ar MK noteikumu projekta 11.punktā lietoto terminu “publiskās teritorijas” saprot to pašu, ko MK noteikumu projekta  9.punktā definē kā terminu “publiska ārtelpa”.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papildu informāciju izziņas 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Pasākumu īsteno līdz 2026.gada 31.decembrim, sasniedzot programmas iznākuma rādītāju - jaunizveidotas vai atjaunotas atvērtās zonas (publiskās teritorijas) pilsētvidē – 117 666 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Pasākumu īsteno līdz 2026.gada 31.decembrim, sasniedzot programmas iznākuma rādītāju - jaunizveidotas vai atjaunotas atvērtās zonas (publiskās teritorijas) pilsētvidē – 117 666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MK noteikumu projekta 11.punktā lietotais termins “publiskās teritorijas” saprot to pašu, ko MK noteikumu 9.punktā definē kā terminu “publiska ārtelpa”.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80.punktā.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Pasākumu īsteno līdz 2026.gada 31.decembrim, sasniedzot programmas iznākuma rādītāju - jaunizveidotas vai atjaunotas atvērtās zonas (publiskās teritorijas) pilsētvidē – 117 666 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Nodrošinot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noteikto, plānošanas reģiona pārstāvis piedalās projektu iesniegumu vērtēšanas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1.3.punkta "Pašreizējā situācija" pēdējo rindkopu, norādot plānošanas reģiona pārstāvja lomu vērtēšanas komisijā, t.i., pārstāvis būs ar balss tiesībām vai novērotāja statusā.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Nodrošinot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noteikto, plānošanas reģiona pārstāvis piedalās projektu iesniegumu vērtēšanas komisijā.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plānotais un pieejamais kopējais finansējums ir ne mazāks kā 27 840 000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23 664 000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4 176 000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finansējuma sadalījuma starp plānošanas reģioniem atbilstību MK apstiprinātājām Reģionālās politikas pamatnostādnēm 2021.-2027. gadam 3.1. nodaļā noteiktajam finansējuma sadalījuma koeficientam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finansējums katram plānošanas reģionam tiek noteikts pēc iekšzemes kopprodukta uz 1 iedzīvotāju apgrieztās proporcijas jauno PR robežās, aprēķinā izmantojot Centrālās statistikas pārvaldes 2020.gada datus, kas ir jaunākie pieejamie dati un no Centrālās statistikas pārvaldes datubāzes izgūti 09.01.2023.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plānotais un pieejamais kopējais finansējums ir ne mazāks kā 27 840 000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23 664 000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4 176 000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plānotais finansējums ir ne mazāks kā 27 840 000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23 664 000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4 176 000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14.punkta apakšpunktos norādīto finansējuma sadalījumu, ņemot vērā, ka tas kopsummā veido 23 664 001 euro, kas ir par vienu euro lielāks nekā MK noteikumu projekta 14.punkta ievaddaļā norādītais pasākumam pieejamais Eiropas Reģionālās attīstības fonda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plānotais un pieejamais kopējais finansējums ir ne mazāks kā 27 840 000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23 664 000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4 176 000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plānotais finansējums ir ne mazāks kā 27 840 000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23 664 000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4 176 000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1.3.apakšpunktu un 14.punkta ievadu šādā redakcijā “pasākumam plānotais un pieejamais kopējais finansējums”, ņemot vērā, ka pasākuma ietvaros nav paredzēts elastības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informācijas izsekojamībai, lūdzam papildināt anotāciju ar informāciju, kura  Eiropas Savienības kohēzijas politikas programmas 2021.–2027.gadam (Programma) 5.1.1.specifiskā atbalsta mērķa “Vietējās teritorijas integrētās sociālās, ekonomiskās un vides attīstības un kultūras mantojuma, tūrisma un drošības veicināšana pilsētu funkcionālajās teritorijās” pasākuma ietvaros tiks noteikts elastības finansējums, lai prioritātes un fonda līmenī būtu iespējams nodrošināt Programmā noteikto elastības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projekta anotācijas sadaļas “1.3. Pašreizējā situācija, problēmas un risinājumi” apakšsadaļa “Projekta īstenošanas nosacījumi” papildināta ar jaunu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nav paredzēts elastības finansējums, savukārt, lai prioritātes un fonda līmenī būtu iespējams nodrošināt 5.1.1.speficiskā atbalsta mērķa “Vietējās teritorijas integrētās sociālās, ekonomiskās un vides attīstības un kultūras mantojuma, tūrisma un drošības veicināšana pilsētu funkcionālajās teritorijās” noteikto elastības finansējuma apjomu, elastības finansējumu ir paredzēts 5.1.1.specifiskā atbalsta mērķa 5.1.1.1. pasākumam “Infrastruktūra uzņēmējdarbības atbalstam”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plānotais un pieejamais kopējais finansējums ir ne mazāks kā 27 840 000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23 664 000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4 176 000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 minimālais attiecināmo izmaksu apmērs nav mazāks par 200 000</w:t>
            </w:r>
            <w:r w:rsidR="00000000" w:rsidRPr="00000000" w:rsidDel="00000000">
              <w:rPr>
                <w:i w:val="1"/>
                <w:rtl w:val="0"/>
              </w:rPr>
              <w:t xml:space="preserve"> euro</w:t>
            </w:r>
            <w:r w:rsidR="00000000" w:rsidRPr="00000000" w:rsidDel="00000000">
              <w:rPr>
                <w:rtl w:val="0"/>
              </w:rPr>
              <w:t xml:space="preserve">, un projekta iesnieguma maksimālais ERAF finansējums ir 800 000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2021/1060 53. panta 2. punktam, darbības vai projekti, kas ir daļa no darbības, kuri saņem atbalstu no KF, ERAF vai ESF+ un kuru kopējās izmaksas nepārsniedz EUR 200 000 (ieskaitot) visas izmaksas tiek segtas ar vienu vienību, fiksētās summas maksājumu vai vienoto likmju veidā, izņemot darbības, kurām atbalsts kvalificējams kā komercdarbības (izņemot de minimis) atbalsts. Līdz ar to rosinām MK noteikumu projektā veikt redakcionālus precizējumus, piemēram, norādot, "nav mazāks par 200 000 euro ieskaitot". Lūdzam veikt redakcionālus precizējumus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 minimālais attiecināmo izmaksu apmērs nav mazāks par 200 000 (ieskaitot)</w:t>
            </w:r>
            <w:r w:rsidR="00000000" w:rsidRPr="00000000" w:rsidDel="00000000">
              <w:rPr>
                <w:i w:val="1"/>
                <w:rtl w:val="0"/>
              </w:rPr>
              <w:t xml:space="preserve"> euro</w:t>
            </w:r>
            <w:r w:rsidR="00000000" w:rsidRPr="00000000" w:rsidDel="00000000">
              <w:rPr>
                <w:rtl w:val="0"/>
              </w:rPr>
              <w:t xml:space="preserve">, un projekta iesnieguma maksimālais ERAF finansējums ir 800 000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pasākuma ietvaros var būt pašvaldība, tās izveidota iestāde vai pašvaldības kapitālsabiedrība, kas veic pašvaldības deleģēto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(KPR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atbalsta pretendenta loka neizslēgtu kapitālsabiedrības, kas pieder vairākām pašvaldībām un publiskai personai un kas veic pašvaldības deleģēto pārvaldes uzdevumu izpildi, kā arī novērstu termina interpretācijas risku, iesakām precizēt Noteikumu projekta 19.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pasākuma ietvaros var būt pašvaldība, tās izveidota iestāde vai kapitālsabiedrība, kurā kapitāla daļas pieder vienai vai vairākām pašvaldībām vai publiskām personām un kas veic pašvaldības deleģēto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pasākumam pieejamo ierobežoto finansējumu un pasākuma mērķi – attīstīt publiski pieejamu ārtelpu, kā arī lai mazinātu mērķorientētas infrastruktūras riskus, MK noteikumu projekts paredz, ka projekta iesniedzējs pasākuma ietvaros var būt pašvaldība, tās izveidota iestāde vai pašvaldības kapitālsabiedrība, kas veic pašvaldības deleģēto pārvaldes uzdevumu izpildi. Pasākuma ietvaros nav paredzēts atbalsts publiski privātām kapitālsabiedrībām, kuras kapitāla daļas pieder vienai vai vairākām pašvaldībām un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pašvaldību kapitālsabiedrības tiek atbalstītas, jo tās pilda deleģētos labiekārtošanas uzdevumus, kas izriet no Pašvaldību likuma 4.panta pirmās dalās 2.punktā noteiktās pašvaldības autonomās funkcijas, kas netiek deleģēta publiski privātām kapitālsabiedrībām.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kas pēc projekta iesnieguma apstiprināšanas un civiltiesiskā līguma vai vienošanās par projekta īstenošanu noslēgšanas ir finansējuma saņēmējs, pasākuma ietvaros var būt pašvaldība, tās izveidota iestāde vai pašvaldības kapitālsabiedrība, kas veic pašvaldības deleģēto pārvaldes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pasākuma ietvaros var būt pašvaldība, tās izveidota iestāde vai pašvaldības kapitālsabiedrība, kas veic pašvaldības deleģēto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projekta iesniedzējs var būt</w:t>
            </w:r>
            <w:r w:rsidR="00000000" w:rsidRPr="00000000" w:rsidDel="00000000">
              <w:rPr>
                <w:b w:val="1"/>
                <w:rtl w:val="0"/>
              </w:rPr>
              <w:t xml:space="preserve"> publiski privāta kapitālsabiedrība</w:t>
            </w:r>
            <w:r w:rsidR="00000000" w:rsidRPr="00000000" w:rsidDel="00000000">
              <w:rPr>
                <w:rtl w:val="0"/>
              </w:rPr>
              <w:t xml:space="preserve">, kuras kapitāla daļas pieder vienai vai vairākām pašvaldībām un publiskām personām, kas veic pašvaldības deleģēto pārvaldes uzdevumu izpildi. Piemēram, reģionālās slimnīcām ir noslēgti līgumi par pašvaldības deleģētā pārvaldes uzdevuma izpildi un tās kapitāla daļas pieder nevis vienai, bet vairākām pašvaldībām un publiskai personai (piem., Rīgas Stradiņa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atbalsta pretendenta loka neizslēgtu kapitālsabiedrības, kas pieder vairākām pašvaldībām un publiskai personai un kas veic pašvaldības deleģēto pārvaldes uzdevumu izpildi, kā arī novērstu termina interpretācijas risku, rosinām Noteikumu projekta 19.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pasākuma ietvaros var būt pašvaldība, tās izveidota iestāde vai kapitālsabiedrība, kurā kapitāla daļas pieder vienai vai vairākām pašvaldībām vai publiskām personām un kas veic pašvaldības deleģēto pārvaldes uzdevumu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pasākuma ietvaros var būt pašvaldība, tās izveidota iestāde vai kapitālsabiedrība, kurā kapitāla daļas pieder vienai vai vairākām pašvaldībām vai publiskām personām un kas veic pašvaldības deleģēto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pasākumam pieejamo ierobežoto finansējumu un pasākuma mērķi – attīstīt publiski pieejamu ārtelpu, kā arī lai mazinātu mērķorientētas infrastruktūras riskus, MK noteikumu projekts paredz, ka projekta iesniedzējs pasākuma ietvaros var būt pašvaldība, tās izveidota iestāde vai pašvaldības kapitālsabiedrība, kas veic pašvaldības deleģēto pārvaldes uzdevumu izpildi. Pasākuma ietvaros nav paredzēts atbalsts publiski privātām kapitālsabiedrībām, kuras kapitāla daļas pieder vienai vai vairākām pašvaldībām un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pašvaldību kapitālsabiedrības tiek atbalstītas, jo tās pilda deleģētos labiekārtošanas uzdevumus, kas izriet no Pašvaldību likuma 4.panta pirmās daļas 2.punktā noteiktās pašvaldības autonomās funkcijas, kas netiek deleģēta publiski privātām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kas pēc projekta iesnieguma apstiprināšanas un civiltiesiskā līguma vai vienošanās par projekta īstenošanu noslēgšanas ir finansējuma saņēmējs, pasākuma ietvaros var būt pašvaldība, tās izveidota iestāde vai pašvaldības kapitālsabiedrība, kas veic pašvaldības deleģēto pārvaldes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elektroenerģijas, ūdenssaimniecības un siltumapgādes pieslēgumu ierīkošana un to saistītās jaudas palielināšana;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24.2. punkts nosaka, ka projektā iekļauj šādas atbalstāmās darbības, kas ietver investīcijas publiskās ārtelpas attīstībai - elektroenerģijas, ūdenssaimniecības un siltumapgādes pieslēgumu ierīkošana un to saistītās jaudas palielināšana publiskās tualetes un publiski pieejama dzeramā ūdens ieguves vietas ierīkošanai, vai citiem pasākumiem, kas nepieciešami publiskās ārtelpas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attiecināmā darbībā var tikt iekļautas projekta aktivitātes saistībā ar individuālu mājsaimniecību pieslēgumu ierīkošanu izbūvētam centralizētās ūdensapgādes vai notekūdeņu savākšanas tīklam?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atbalsts tiek sniegts publiskās ārtelpas attīstībai, attiecīgi individuālu mājsaimniecību pieslēgumu ierīkošana izbūvētam centralizētās ūdensapgādes vai notekūdeņu savākšanas tīklam netiek attiecināta.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elektroenerģijas, ūdenssaimniecības un siltumapgādes pieslēgumu ierīkošana un to saistītās jaudas palielināšana;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elektroenerģijas, ūdenssaimniecības un siltumapgādes pieslēgumu ierīkošana un to saistītās jaudas palielināšana publiskās tualetes un publiski pieejama dzeramā ūdens ieguves vietas ierīkošanai, vai citiem pasākumiem, kas nepieciešami publiskās ārtelpas attīstīšanai;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punkts nosaka, ka projektā iekļauj šādas atbalstāmās darbības, kas ietver investīcijas publiskās ārtelpas attīstībai - elektroenerģijas, ūdenssaimniecības un siltumapgādes pieslēgumu ierīkošana un to saistītās jaudas palielināšana publiskās tualetes un publiski pieejama dzeramā ūdens ieguves vietas ierīkošanai, vai citiem pasākumiem, kas nepieciešami publiskās ārtelpas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 vai attiecināmā darbībā var tikt iekļautas projekta aktivitātes saistībā ar individuālu mājsaimniecību pieslēgumu ierīkošanu izbūvētam centralizētās ūdensapgādes vai notekūdeņu savākšanas tīklam?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skaidrojumu Izziņā.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atbalsts tiek sniegts publiskās ārtelpas attīstībai, attiecīgi individuālu mājsaimniecību pieslēgumu ierīkošana izbūvētam centralizētās ūdensapgādes vai notekūdeņu savākšanas tīklam netiek attiecināta.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elektroenerģijas, ūdenssaimniecības un siltumapgādes pieslēgumu ierīkošana un to saistītās jaudas palielināšana;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tiešās attiecināmās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11. panta 4. daļa nosaka, ka ārtelpas labiekārtojuma elements ir ainavas un pilsētvides dizaina elements (tai skaitā mazā arhitektūras forma) un cita ar zemi vai gultni saistīta ķermeniska lieta, kura radusies būvdarbu rezultātā un kurai nav nosakāms būves lietošanas veids atbilstoši normatīvajiem aktiem par būvju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09.05.20217. noteikumu Nr. 253 “Atsevišķu inženierbūvju būvnoteikumi” 6.3.4. apakšpunktā noteikts, ka labiekārtojuma elementi ir soliņi, celiņi, vaļēja terase (kas nav saistīta ar ēku)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25.3.14. apakšpunktā noteiktais izmaksu ierobežojums ir attiecināms uz labiekārtojuma elementu uzstādīšanu kopumā, t. i., vai  25.3.8., 25.3.9., 25.3.11. – 25.3.13. un 25.3.15. apakšpunktos noteikto attiecināmo pozīciju izmaksas kopā nedrīkst pārsniegt 10% no kopējām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25.3.14. apakšpunktā noteiktais izmaksu ierobežojums ir attiecināms uz labiekārtojuma elementu uzstādīšanu kopumā, t. i., vai  25.3.8., 25.3.9., 25.3.11. – 25.3.13. un 25.3.15. apakšpunktos noteikto attiecināmo pozīciju izmaksas kopā nedrīkst pārsniegt 10% no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25.2.16.apakšpunktu.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tiešās attiecināmās izmaksas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projekta iesnieguma pamatojošās dokumentācijas sagatavošanas izmaksas, būvuzraudzības, autoruzraudzības, būvprojekta tehniskā projekta vai skiču projekta stadijā izmaksas, energosertifikācijas un energoaudita izmaksas, un vides pieejamības ekspertu un ainavu arhitektu konsultāciju izmaksas, kopā ir attiecināmas līdz 10 procentiem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25.1.punktu ar noteikumu projekta anotāciju. Norādām, ka noteikumu projekta anotācijā minēts, ka Eiropas Jaunā Bauhaus principu "estētika" paredzēts nodrošināt, projekta izstrādē un īstenošanā pieaicinot kvalificētus speciālistus arhitektūras vai ainavu arhitektūras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25.1.apakšpunktā ir minēti tikai ainavu arhitekti, jo arhitekti jau tiek piesaistīti projekta pamatojošās dokumentācijas, būvprojekta u.tml. dokumentu izstrādē, kas ir minēti MK noteikumu projekta 25.1.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projekta iesnieguma pamatojošās dokumentācijas sagatavošanas izmaksas, būvuzraudzības, autoruzraudzības, būvprojekta tehniskā projekta vai skiču projekta stadijā izmaksas, energosertifikācijas un energoaudita izmaksas, un vides pieejamības ekspertu un ainavu arhitektu konsultāciju izmaksas, kopā ir attiecināmas līdz 10 procentiem no projekta kopējām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25.3.3. 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lai nodrošinātu piekļuvi attīstāmajai publiskajai ārtelpai, ir attiecināmas līdz 30 procentiem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(KPR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palielināt procentuālās projekta kopējās attiecināmās izmaksas līdz 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lai nodrošinātu piekļuvi attīstāmajai publiskajai ārtelpai, ir attiecināmas līdz 50 procentiem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pasākuma mērķi, tomēr aicinām lielāko finansējuma daļu ieguldīt tieši publiskās ārtelpas attīstīšanai.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26.2.3. 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lai nodrošinātu piekļuvi attīstāmajai publiskajai ārtelpai, ir attiecināmas līdz 50 procentiem no projekta kopējām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25.3.6. lietusūdeņu savākšanas un novadīšanas sistēmas, tai skaitā ūdenscaurlaidīgi segumi ietvēm, laukumiem, un citi dabā balstīti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25.3.6. punkts nosaka, ka projekta tiešās attiecināmās izmaksas ir lietusūdeņu savākšanas un novadīšanas sistēmas, tai skaitā ūdenscaurlaidīgi segumi ietvēm, laukumiem, un citi dabā balstīti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projekta attiecināmās izmaksās varam iekļaut pašvaldības nozīmes koplietošanas ūdensnotekas atjaunošanu? Vai projekta attiecināmās izmaksās varam iekļaut pašvaldības nozīmes koplietošanas ūdensnotekas atjaunošanu arī tās teritorijā ārpus pilsētas robežas, ja tā ir vienota hidroloģiskā sistēma un tās atjaunošana augštecē ārpus pilsētas robežas pozitīvi ietekmē hidroloģisko režīmu lejtecē pilsētas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skiaidrot Izziņā.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mērķis ir publiskās ārtelpas attīstīšana pilsētu funkcionālajās teritorijās, attiecīgi projektā var iekļaut tādas darbības, kas ietver investīcijas konkrētās pašvaldības (projekta iesniedzēja) īpašumā esošas publiskās ārtelpas attīstībai, tajā skaitā  lietusūdeņu savākšanas un novadīšanas sistēmai, kas ir saistīta ar projekta mērķi un nepieciešama projektā paredzētās publiskās ārtelpas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nozīmes koplietošanas ūdensnotekas atjaunošana nevar būt projekta pamatmērķis, vienlaikus attīstot projektā paredzēto publisko ārtelpu un izbūvējot tai nepieciešamās lietusūdeņu savākšanas un novadīšanas sistēmas, risinājumi var ietvert arī izbūvētās infrastruktūras koplietošanu (vienlaikus vēršam uzmanību, ka publiskās ārtelpas attīstības projekti ir ar saimniecisko darbību nesaistīti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nav paredzēti sadarbības projekti. Attiecīgi investīcijas plāno konkrētās pašvaldības (finansējuma saņēmēja) robežās.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26.2.6. lietusūdeņu savākšanas un novadīšanas sistēmu attīstīšana, tai skaitā ūdenscaurlaidīgi segumi ietvēm, laukumiem, un citi dabā balstīti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25.3.11. soliņi un galdi lietošanai ārtelpā;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(KPR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MK 09.05.20217. noteikumu Nr. 253 “Atsevišķu inženierbūvju būvnoteikumi” 6.3.4. apakšpunktā noteikto, precizēt publiskas ārtelpas labiekārtošanai paredzētos elementus.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soliņi, galdi un nojumes lietošanai ārtelpā;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25.2.17.apakšpunktu un attiecīgi papildinājumus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26.2.12. soliņu un galdu lietošanai ārtelpā iegāde un uzstādīšana;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25.3.14. labiekārtojuma elementu uzstādīšanas izmaksas ir attiecināmas līdz 10 procentiem no projekta kopējām attiecināmajām izmaksām, tai skaitā vizuālās mākslas un dizaina objektu izmaksas, ja tie vienlaikus ir arī funkcionāli izmantojami;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25.3.14. apakšpunktā noteiktais ierobežojums attiecas uz visu noteikumu projekta 25.3. apakšpunkta apakšpunktos minēto labiekārtojuma elementu (piemēram, žogi, soliņi un galdi, velosipēdu novietnes, atkritumu šķirošanas tvertnes u.c., kā arī 25.3.15. apakšpunktā minētie labiekārtojuma elementi, piemēram, rotaļlaukumu aprīkojums, brīvdabas sporta rīki u.c.) uzstādīšanu, papildus pieskaitot vizuālās mākslas objektu un to uzstādīšanas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noteikuma projekta 25.3.14. apakšpunktu ar to apakšpunktu uzskaitījumu, kuros minēti attiecīgie labiekārtojuma elementi, uz kuriem attiecas noteikumu projekta 25.3.14. apakšpunktā noteiktais uzstādīšanas izmaksu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kurā apakšpunktā tvar tikt  paredzētas strūklakas izbūves izmaksa, vai uz to  arī tiek attiecināti līdz 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noteikuma projekta 25.3.14. apakšpunktu ar to apakšpunktu uzskaitījumu, kuros minēti attiecīgie labiekārtojuma elementi, uz kuriem attiecas noteikumu projekta 25.3.14. apakšpunktā noteiktais uzstādīšanas izmaksu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25.2.16. un 25.2.17.apakšpunkts.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strūklaka tiek paredzēta kā objekts ar māksliniecisko vērtību, tad uz to attiecas 10% izmaksu ierobežojums, savukārt, ja tā netiek plānota kā objekts ar māksliniecisko vērtību, bet tiek plānota kā atsevišķs labiekārtojuma elements, tai netiek piemērots procentuāls ierobežojums.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26.2.16. teritorijas labiekārtošanas ietvaros paredzētās vizuālās mākslas un dizaina objektu iegādes un uzstādīšanas izmaksas ir attiecināmas līdz 10 procentiem no projekta kopējām attiecināmajām izmaksām, ja tie vienlaikus ir arī funkcionāli izmantojami;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25.3.15. citi labiekārtošanas darbi, piemēram, rotaļlaukumu izveide, brīvdabas sporta rīku izvietošana, elektrouzlādes punktu ierīkošana digitālo ierīču uzlādei un mikromobilitātes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(KPR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esošo redakciju ar "brīvdabas aktīvās atpūtas laukumi"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labiekārtošanas darbi, piemēram, rotaļlaukumu un brīvdabas aktīvās atpūtas laukumu izveide, brīvdabas sporta rīku izvietošana, elektrouzlādes punktu ierīkošana digitālo ierīču uzlādei un mikromobilitātes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25.2.16 un 25.2.17.apakšpunktu un skaidrojumu anotācijā par projektu ietvaros attiecināmajām labiekārtojuma elementu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publisko ārtelpu primāri būtu nepieciešams attīstīt pie mobilitātes punktiem, pie ēkām, kur tiek sniegti valsts vai pašvaldību pakalpojumi, pie ēkām, kurās tiek veikta saimnieciskā darbība, un vietās, kur paredzētas darbības, kas palielinās sabiedrisko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Ministru kabineta 2014.gada 19.augusta noteikumiem Nr.500 “Vispārīgie būvnoteikumi”, brīvdabas aktīvās atpūtas laukumi ir klasificējami kā inženierbūve, attiecīgi to būvniecībai piemērojami Ministru kabineta 2017. gada 9. maija noteikumi Nr. 253 “Atsevišķu inženierbūvju būvnoteikumi”. Ievērojot minēto, brīvdabas aktīvās atpūtas laukumi var tikt plānoti projektu ietvaros kā labiekārtojuma elementi.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26.2.17. citu ārtelpas labiekārtošanas darbu veikšanas un normatīvajos aktos par atsevišķu inženierbūvju būvnoteikumiem noteikto atsevišķo labiekārtojuma elementu iegādes un uzstādīšanas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25.3.15. citi labiekārtošanas darbi, piemēram, rotaļlaukumu izveide, brīvdabas sporta rīku izvietošana, elektrouzlādes punktu ierīkošana digitālo ierīču uzlādei un mikromobilitātes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detalizētākus publiskās ārtelpas labiekārtošanas atbalsta nosacījumus, rosinām papildināt Noteikumu projekta 25.3.15.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“25.3.15. citi labiekārtošanas darbi, piemēram, rotaļlaukumu un brīvdabas aktīvās atpūtas laukumu izveide, brīvdabas sporta rīku izvietošana, elektrouzlādes punktu ierīkošana digitālo ierīču uzlādei un mikromobilitātes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“25.3.15. citi labiekārtošanas darbi, piemēram, rotaļlaukumu un brīvdabas aktīvās atpūtas laukumu izveide, brīvdabas sporta rīku izvietošana, elektrouzlādes punktu ierīkošana digitālo ierīču uzlādei un mikromobilitātes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 Skat. skaidrojumu izziņas 66.punktā.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26.2.17. citu ārtelpas labiekārtošanas darbu veikšanas un normatīvajos aktos par atsevišķu inženierbūvju būvnoteikumiem noteikto atsevišķo labiekārtojuma elementu iegādes un uzstādīšanas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projekta informācijas un publicitātes pasākumu izmaksas atbilstoši normatīvajiem aktiem par kārtību, kādā Eiropas Savienības fondu ieviešanā 2021.-2027.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25.6.apakšpunktu, izsakot to šādā redakcijā: "projekta informācijas un publicitātes pasākumu izmaksas atbilstoši  Eiropas Parlamenta un Padomes 2021. gada 24. jūnija Regulas (ES) Nr. 2021/1060,ar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pantu un 50. pantu un kārtībai, kādā Eiropas Savienības fondu vadībā iesaistītās institūcijas nodrošina šo fondu ieviešanu 2021.–2027.gada plānošanas periodā". Papildus lūdzam ietvert anotācijā skaidrojumu, ka tiks nodrošinātas arī Eiropas Savienības fondu 2021.–2027. gada plānošanas perioda un Atveseļošanas fonda komunikācijas un dizaina vadlīnijās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projekta informācijas un publicitātes pasākumu izmaksas atbilstoši  Eiropas Parlamenta un Padomes 2021. gada 24. jūnija Regulas (ES) Nr. 2021/1060,ar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pantu un 50. pantu un kārtībai, kādā Eiropas Savienības fondu vadībā iesaistītās institūcijas nodrošina šo fondu ieviešanu 2021.–2027.gada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projekta informācijas un publicitātes pasākumu izmaksas atbilstoši  Eiropas Parlamenta un Padomes 2021. gada 24. jūnija Regulas (ES) </w:t>
            </w:r>
            <w:r w:rsidR="00000000" w:rsidRPr="00000000" w:rsidDel="00000000">
              <w:rPr>
                <w:rtl w:val="0"/>
              </w:rPr>
              <w:t xml:space="preserve">Nr.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pantam un 50. pantam un normatīvajiem aktiem par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Neparedzētie izdevumi nepārsniedz piecus procentus no projekta kopējām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41.punktā uzskaitīts kādos īpašumos pasākuma ietvaros var veikt ieguldījumus infrastruktūrā, izņemot šo MK  noteikumu projekta 31.punktā minēto gadījumu par elektroenerģijas infrastruktūras īpašumtiesībām.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31.punktu šo noteikumu 25.2 apakšpunktā minētās elektroenerģijas un ūdenssaimniecības infrastruktūras izmaksas ir attiecināmas, ja atbalstītie infrastruktūras objekti pēc projekta īstenošanas ir attiecīgi sadales sistēmas operatora vai sabiedrisko pakalpojumu sniedzēju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31.punktā ir minēta gan elektroenerģijas, gan ūdenssaimniecības infrastruktūra, lūdzam vērtēt vai attiecīgi nav jāpapildina MK noteikumu projekta 41.punktu.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noteikumu projekta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Neparedzētie izdevumi nepārsniedz piecus procentus no projekta kopējām tiešajām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uzkrāj datus par projekta ietekmi uz horizontālo principu rādītājiem (ja attiecināms) un ievēro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37.2. un 37.4.apakšpunktu, tos izsakot šādā redakcijā, t.sk. precizējot anotāciju,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uzkrāj datus par projekta ietekmi uz horizontālo principu rādītājiem (ja attiecināms)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37.2.1.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37.2.1.1. objektu skaits, kuros ar ERAF ieguldījumiem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37.2.1.2. konsultatīva rakstura pasākumu par būvētās vides, informācijas un komunikācijas tehnoloģijas risinājumu, informācijas un komunikācijas tehnoloģiju piekļūstamību personām ar dažādiem funkcionāliem traucējumiem (piemēram, vides piekļūstamības ekspertu konsultācijas būvprojekta izstrādes un pabeigšanas posmā)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uzkrāj datus par projekta ietekmi uz horizontālo principu īstenošanu (ja attiecināms)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37.3.1.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37.3.2.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37.3.3.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sniedz sadarbības iestādei informāciju par šo noteikumu 37.2. apakšpunktā minēto horizontālo principu īstenošanu vienlaikus ar informāciju par šo noteikumu 11. punktā minētā iznākuma rādītāja vērtības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uzkrāj datus par projekta ietekmi uz horizontālo principu rādītājiem (ja attiecināms)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37.2.1.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37.2.1.1. objektu skaits, kuros ar ERAF ieguldījumiem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37.2.1.2. konsultatīva rakstura pasākumu par būvētās vides, informācijas un komunikācijas tehnoloģijas risinājumu, informācijas un komunikācijas tehnoloģiju piekļūstamību personām ar dažādiem funkcionāliem traucējumiem (piemēram, vides piekļūstamības ekspertu konsultācijas būvprojekta izstrādes un pabeigšanas posmā)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uzkrāj datus par projekta ietekmi uz horizontālo principu īstenošanu (ja attiecināms)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37.3.1.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37.3.2.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37.3.3.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sniedz sadarbības iestādei informāciju par šo noteikumu 37.2. apakšpunktā minēto horizontālo principu īstenošanu vienlaikus ar informāciju par šo noteikumu 11. punktā minētā iznākuma rādītāja vērtības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ievēro principu "Vienlīdzība, iekļaušana, nediskriminācija un pamattiesību ievērošana” un uzkrāj datus par projekta ietekmi uz horizontālo principu rādītājiem (ja attiecināms), tai skaitā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ne retāk kā reizi trijos mēnešos savā tīmekļvietnē ievieto aktuālo informāciju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nepieciešams noteikt aktuālās informācijas ievietošanu tīmekļvietnē tik bieži.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projekta 40.punkts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ne retāk kā reizi sešos mēnešos savā tīmekļvietnē ievieto aktuālo informāciju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pamatojoties uz finansējuma saņēmēja rakstisku avansa pieprasījumu un izvērtējot plānotā avansa apmēru, tā pamatojumu un spēju to izlietot deviņu mēnešu laikā (piemēram, projekta iesniedzējam ir pabeigts būvdarbu iepirkums vai noslēgts būvdarbu līgums), var piešķirt finansējuma saņēmējam avansu līdz 50 procentiem no projektam piešķirtā ERAF finansējuma pēc civiltiesiskā līguma vai vienošanās par projekta īstenošanu noslēgšanas, ievērojot, ka avansa un starpposma maksājumu kopsumma nepārsniedz 90 procentus no projektam piešķirtā ERAF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43.punktu, nosakot, ka finansējuma saņēmējs avansa pieprasījumu sagatavo un sadarbības iestāde avansa pieprasījumu apstiprina, ņemot vērā nosacījumu, ka plānotā avansa apmērs, tā pamatojums atbilst spējai to izlietot deviņu mēnešu laikā </w:t>
            </w:r>
            <w:r w:rsidR="00000000" w:rsidRPr="00000000" w:rsidDel="00000000">
              <w:rPr>
                <w:u w:val="single"/>
                <w:rtl w:val="0"/>
              </w:rPr>
              <w:t xml:space="preserve">saimnieciskā gada 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projekta 43.punkta redakciju, norādot, ka avansu var izmaksāt vairākos maksājumos, un aicinām izvērtēt un sniegt izvērstāku pamatojumu anotācijā par noteikumu projekta 43.punktā noteikto avansa apmēru, ņemot vērā, ka saskaņā ar ES struktūrfondu un Kohēzijas fonda 2014.-2020.gada plānošanas perioda pieredzi, vidēji apstiprinātā avansu summa sasniedza 33,7 % no finansējuma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 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pamatojoties uz finansējuma saņēmēja rakstisku avansa pieprasījumu un izvērtējot plānotā avansa apmēru, tā pamatojumu un spēju to izlietot deviņu mēnešu laikā (piemēram, projekta iesniedzējam ir pabeigts būvdarbu iepirkums vai noslēgts būvdarbu līgums), var piešķirt finansējuma saņēmējam avansu pēc civiltiesiskā līguma vai vienošanās par projekta īstenošanu noslēgšanas, ievērojot, ka avansa un starpposma maksājumu kopsumma nepārsniedz 90 procentus no projektam piešķirtā ERAF finansējuma un pašvaldības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 punkta redakciju un svītrot vārdus "[..] un pašvaldības līdzfinansējuma kopsummas",  jo uzskatām punkts nav izpildāms no Finansējuma devēja un projekta ieviešanas uzraugošās iestādes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pamatojoties uz finansējuma saņēmēja rakstisku avansa pieprasījumu un izvērtējot plānotā avansa apmēru, tā pamatojumu un spēju to izlietot deviņu mēnešu laikā (piemēram, projekta iesniedzējam ir pabeigts būvdarbu iepirkums vai noslēgts būvdarbu līgums), var piešķirt finansējuma saņēmējam avansu pēc civiltiesiskā līguma vai vienošanās par projekta īstenošanu noslēgšanas, ievērojot, ka avansa un starpposma maksājumu kopsumma nepārsniedz 90 procentus no projektam piešķirtā ERAF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43.punkts.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 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finansējuma saņēmējam tiek sniegts valsts atbalsts saskaņā ar </w:t>
            </w:r>
            <w:r w:rsidR="00000000" w:rsidRPr="00000000" w:rsidDel="00000000">
              <w:rPr>
                <w:rtl w:val="0"/>
              </w:rPr>
              <w:t xml:space="preserve">Eiropas Komisijas 2011. gada 20. decembra lēmumu Nr. 2012/21/ES par Līguma par Eiropas Savienības darbību 106. panta</w:t>
            </w:r>
            <w:r w:rsidR="00000000" w:rsidRPr="00000000" w:rsidDel="00000000">
              <w:rPr>
                <w:rtl w:val="0"/>
              </w:rPr>
              <w:t xml:space="preserve"> 2. punkta piemērošanu valsts atbalstam attiecībā uz kompensāciju par sabiedriskajiem pakalpojumiem dažiem uzņēmumiem, kuriem uzticēts sniegt pakalpojumus ar vispārēju tautsaimniecisku nozīmi, valsts atbalsta saņēmējs un vispārējas tautsaimnieciskas nozīmes pakalpojuma pilnvarojuma uzlicējs nodrošina dokumentu glabāšanu 10 gadus pēc pilnvarojuma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punktu tā, lai būtu skaidri saprotams, ka 10 gadi dokumentu glabāšanai jāskatās pēc tā pilnvarojuma, uz kura pamata tika piešķirts valsts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46.punktu.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uz kura pamata tika piešķirts komercdarbības atbalsts, tiek saglabāta un nodrošināta pieejamība visai nepieciešamajai informācijai, lai noteiktu, vai piešķirtais atbalsts ir saderīgs ar šajos noteikumos noteiktajām komercdarbības atbalsta piešķiršanas prasībām vispārējas tautsaimnieciskas nozīmes pakalpojumu 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projektā tiek iekļautas darbības, kas ir saistītas ar sabiedriskā pakalpojuma sniegšanu, projekta iesniedzējs vai finansējuma saņēmējs iesniedz sadarbības iestādē vispārējas tautsaimnieciskas nozīmes pakalpojuma pilnvarojuma uzlicēja apliecinājumu par šo noteikumu </w:t>
            </w:r>
            <w:r w:rsidR="00000000" w:rsidRPr="00000000" w:rsidDel="00000000">
              <w:rPr>
                <w:rtl w:val="0"/>
              </w:rPr>
              <w:t xml:space="preserve">21.6.</w:t>
            </w:r>
            <w:r w:rsidR="00000000" w:rsidRPr="00000000" w:rsidDel="00000000">
              <w:rPr>
                <w:rtl w:val="0"/>
              </w:rPr>
              <w:t xml:space="preserve"> vai </w:t>
            </w:r>
            <w:r w:rsidR="00000000" w:rsidRPr="00000000" w:rsidDel="00000000">
              <w:rPr>
                <w:rtl w:val="0"/>
              </w:rPr>
              <w:t xml:space="preserve">22.7. </w:t>
            </w:r>
            <w:r w:rsidR="00000000" w:rsidRPr="00000000" w:rsidDel="00000000">
              <w:rPr>
                <w:rtl w:val="0"/>
              </w:rPr>
              <w:t xml:space="preserve">apakšpunktā</w:t>
            </w:r>
            <w:r w:rsidR="00000000" w:rsidRPr="00000000" w:rsidDel="00000000">
              <w:rPr>
                <w:rtl w:val="0"/>
              </w:rPr>
              <w:t xml:space="preserve"> minētās atlīdzības (kompensācijas) maksājumu kontroli un pārskatīšanu, kā arī atlīdzības (kompensācijas) maksājumu pārmaksas novēršanu un atgūšanu, ievērojot </w:t>
            </w:r>
            <w:r w:rsidR="00000000" w:rsidRPr="00000000" w:rsidDel="00000000">
              <w:rPr>
                <w:rtl w:val="0"/>
              </w:rPr>
              <w:t xml:space="preserve">Eiropas Komisijas 2011. gada 20. decembra lēmumā Nr. 2012/21/ES par Līguma par Eiropas Savienības darbību 106. panta</w:t>
            </w:r>
            <w:r w:rsidR="00000000" w:rsidRPr="00000000" w:rsidDel="00000000">
              <w:rPr>
                <w:rtl w:val="0"/>
              </w:rPr>
              <w:t xml:space="preserve"> ​​​​​​​ 2. punkta piemērošanu valsts atbalstam attiecībā uz kompensāciju par sabiedriskajiem pakalpojumiem dažiem uzņēmumiem, kuriem uzticēts sniegt pakalpojumus ar vispārēju tautsaimniecisku nozīmi, 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w:t>
            </w:r>
            <w:r w:rsidR="00000000" w:rsidRPr="00000000" w:rsidDel="00000000">
              <w:rPr>
                <w:rtl w:val="0"/>
              </w:rPr>
              <w:t xml:space="preserve">Eiropas Komisijas 2011. gada 20. decembra lēmumā Nr. 2012/21/ES par Līguma par Eiropas Savienības darbību 106. panta</w:t>
            </w:r>
            <w:r w:rsidR="00000000" w:rsidRPr="00000000" w:rsidDel="00000000">
              <w:rPr>
                <w:rtl w:val="0"/>
              </w:rPr>
              <w:t xml:space="preserve"> ​​​​​​​ 2. punkta piemērošanu valsts atbalstam attiecībā uz kompensāciju par sabiedriskajiem pakalpojumiem dažiem uzņēmumiem, kuriem uzticēts sniegt pakalpojumus ar vispārēju tautsaimniecisku nozīmi,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46.punktu, ja projektā tiek iekļautas darbības, kas ir saistītas ar sabiedriskā pakalpojuma sniegšanu, projekta iesniedzējs vai finansējuma saņēmējs iesniedz sadarbības iestādē vispārējas tautsaimnieciskas nozīmes pakalpojuma pilnvarojuma uzlicēja apliecinājumu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19.punktā noteikts, kas var būt projekta iesniedzējs, bet noteikumu projektā nav definēts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46.punktā ir noteikts pienākums projekta iesniedzējam vai finansējuma saņēmējam, lūdzam papildināt  anotāciju ar skaidrojumu vai tās ir (var būt) dažādas personas un lūdzam attiecīgi vērtēt nepieciešamību MK noteikumu projektu papildināt ar finansējuma saņēmēja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projektā tiek iekļautas darbības, kas ir saistītas ar ūdenssaimniecības un (vai) siltumapgādes sabiedriskā pakalpojuma sniegšanu, projekta iesniedzējs iesniedz sadarbības iestādē vispārējas tautsaimnieciskas nozīmes pakalpojuma pilnvarojuma uzlicēja apliecinājumu par šo noteikumu </w:t>
            </w:r>
            <w:r w:rsidR="00000000" w:rsidRPr="00000000" w:rsidDel="00000000">
              <w:rPr>
                <w:rtl w:val="0"/>
              </w:rPr>
              <w:t xml:space="preserve">21.6.</w:t>
            </w:r>
            <w:r w:rsidR="00000000" w:rsidRPr="00000000" w:rsidDel="00000000">
              <w:rPr>
                <w:rtl w:val="0"/>
              </w:rPr>
              <w:t xml:space="preserve"> vai </w:t>
            </w:r>
            <w:r w:rsidR="00000000" w:rsidRPr="00000000" w:rsidDel="00000000">
              <w:rPr>
                <w:rtl w:val="0"/>
              </w:rPr>
              <w:t xml:space="preserve">22.7. </w:t>
            </w:r>
            <w:r w:rsidR="00000000" w:rsidRPr="00000000" w:rsidDel="00000000">
              <w:rPr>
                <w:rtl w:val="0"/>
              </w:rPr>
              <w:t xml:space="preserve">apakšpunktā</w:t>
            </w:r>
            <w:r w:rsidR="00000000" w:rsidRPr="00000000" w:rsidDel="00000000">
              <w:rPr>
                <w:rtl w:val="0"/>
              </w:rPr>
              <w:t xml:space="preserve">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 vai apliecinājumu par sabiedriskajiem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projekta īstenošanai nepieciešamo būvdarbu un pakalpojumu iepirkumu veic saskaņā ar normatīvajiem aktiem publisko iepirkumu jomā, īstenojot atklātu, pārredzamu, nediskriminējošu un konkurenci nodrošinošu konkursa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normas redakcijā lietoto formulējumu "konkursa procedūru". Atbilstoši Publisko iepirkumu likumam tas neietver iepirkumus, kas, piemēram, veikti PIL 9., 10. p. kārtībā, kā arī metu konkursu. Nepieciešamības gadījumā šo formulējumu varētu aizstāt ar "iepirkumu vai iepirkumu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49.punkts.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vai sadarbības partneris projekta īstenošanai nepieciešamo būvdarbu, pakalpojumu vai piegādes iepirkumu veic saskaņā ar normatīvajiem aktiem publisko iepirkumu jomā, īstenojot atklātu, pārredzamu, nediskriminējošu un konkurenci nodrošinošu iepirkumu vai iepirkumu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vai sadarbības partneris projekta īstenošanai nepieciešamo būvdarbu, pakalpojumu vai piegādes iepirkumu veic saskaņā ar normatīvajiem aktiem publisko iepirkumu jomā, īstenojot atklātu, pārredzamu, nediskriminējošu un konkurenci nodrošinošu iepirkumu vai iepirkumu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finansējuma saņēmējs izstrādā nosacījumus, kā tas pārliecinās par interešu konflikta neesamību,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 Kā arī, ņemot vērā finansējuma saņēmēju specifiku, aicinām noteikumu projektā iekļaut prasību, ka finansējuma saņēmējs un sadarbības partneris paraksta interešu konflikta neesamības apliecinājumu. Vēršam uzmanību, ka apliecinājumā obligāti ietver atsauci uz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pievienojot jaunu 24.punktu un jaunu 38.6.apakšpunktu, kā arī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vai sadarbības partneris projekta īstenošanai nepieciešamo būvdarbu, pakalpojumu vai piegādes iepirkumu veic saskaņā ar normatīvajiem aktiem publisko iepirkumu jomā, īstenojot atklātu, pārredzamu, nediskriminējošu un konkurenci nodrošinošu iepirkumu vai iepirkumu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netiks atbalstītas pabeigtas darbības, ņemot vērā MK noteikumu projekta 33.punktā noteikto, ka projektu izmaksas ir attiecināms pirms līguma vai vienošanās noslēgšanas, proti, izmaksas ir attiecināmas no projekta iesnieguma iesniegšanas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1.3. apakšsadaļas "Pašreizējā situācija, problēmas un risinājumi” apakšsadaļa “Atbalstāmās darbības un izmaksas” papildināta, izsakot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attiecināmas no projekta iesnieguma iesniegšanas brīža, izņemot projekta pamatojošās dokumentācijas sagatavošanas izmaksas, kas ir attiecināmas, ja tās veiktas pēc 2021. gada 1.janvāra. Projekta iesniegumā neiekļauj un finansējumu nepiešķir pabeigtām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inovatīvu iepirkumu nosacījumu piemērošanu MK noteikumu projektā vai skaidrot, kāpēc tas netiks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papildinājumu MK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finansējuma sadalījumu pa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apakšsadaļas “1.3. Pašreizējā situācija, problēmas un risinājumi” apakšsadaļa “Atbalstāmās darbības un izmaksas” papildināta, izsakot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pasākuma ietvaros plānotās atbalstāmās darbības atbilst ES kohēzijas politikas programmas 2021.–2027.gadam 5.1.prioritātes “Reģionu līdzsvarota attīstība” noteiktajam intervences kodam – 168 “Publisku vietu fiziska atjaunošana un drošība” (ERAF finansējums 23 664 000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no kādiem līdzekļiem tiks nodrošināta pasākuma rezultātu/ rādītāju ilgtspēja vai uzturēšana, ņemot vērā, ka investīcijas plānotas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apakšsadaļas “1.3. Pašreizējā situācija, problēmas un risinājumi” apakšsadaļa “Projekta īstenošanas nosacījumi” papildināta, izsakot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radīto rādītāju uzturēšana tiks nodrošināta finansējuma saņēmēja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biedrību, nodibinājumu, nevalstisko organizāciju iesaisti MK noteikumu projekta izstrādē, ņemot vērā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anotācijas 6.3. un 6.4.apakšsadaļa.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anotācijā skaidrot MK noteikumu projekta 25.3.3.apakšpunktā un 25.3.14.apakšpunktā noteikto izmaksu pozīciju ierobežojumus, tādejādi nodrošinot skaidru un nepārprotamu informācijas izsekojamību attiecīgu ierobežojumu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25.2.3.apakšpunktā un 25.2.16.apakšpunktā noteikti izmaksu pozīciju ierobežojumi, lai nodrošinātu, ka pasākuma ietvaros, kad ir ierobežots pieejamais finansējums, investīcijas tiktu koncentrētas uz pasākuma pamatmērķi –  publiskās ārtelpas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norādīt, ka horizontālā principa “Nenodarīt būtisku kaitējumu” novērtējumā iekļautā informācija tiks vērtēta, balstoties uz pasākuma vērtēšanas kritērijos noteikto, lai nodrošinātu, ka tiek novērsta vai mazināta pasākuma ietvaros atbalstāmo darbību ietekme uz vidi, vienlaikus nodrošinot skaidru un izsekojamu informāciju par minētā principa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"Pašreizējā situācija, problēmas un risinājumi" precizēt anotācijas aprakstu par personāla atlīdzības likmes pamatojumu, norādot aktuālās personāla amatu saimes un mēnešalgu grupas, kā arī indikatīvo personāla noslodzi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finansējuma sadalījuma starp plānošanas reģioniem atbilstību MK apstiprinātājām Reģionālās politikas pamatnostādnēm 2021.-2027. gadam 3.1. nodaļā noteiktajam finansējuma sadalījuma koeficientam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82.punktā.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Ministru kabineta noteikumu Nr.301 "Noteikumi par azbesta un azbesta izstrādājumu ražošanas radīto vides piesārņojumu un azbesta atkritumu apsaimniekošanu" datumu (2011.gada 19.aprīļa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noformēt atsauci uz  Eiropas Parlamenta un Padomes 2021.gada 24.jūnija  Regulu 2021/1060 atbilstoši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plānoto avansa un starpposma maksājuma kopsummu, ja plānots ,ka šī kopsumma  pārsniedz  90%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43.punkts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un starpposma maksājuma kopsumma, kas nepārsniedz 90% no ERAF finansējuma un pašvaldības līdzfinansējuma kopsummas, noteikta, ņemot vērā nepieciešamību intensificēt budžeta līdzekļa apguvi un n+3 principa izpildi ES fondu finansējuma plānošanā.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3.sadaļas punktu “Cita informācija” ar informāciju, ka finansējums projektu īstenošanai attiecībā uz Eiropas Reģionālās attīstības fonda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projektu īstenošanai attiecībā uz ERAF līdzfinansējuma nodrošināšanu tiks pieprasīts no valsts budžeta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46.punktu, ja projektā tiek iekļautas darbības, kas ir saistītas ar sabiedriskā pakalpojuma sniegšanu, projekta iesniedzējs vai finansējuma saņēmējs iesniedz sadarbības iestādē vispārējas tautsaimnieciskas nozīmes pakalpojuma pilnvarojuma uzlicēja apliecinājumu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19.punktā noteikts, kas var būt projekta iesniedzējs, bet noteikumu projektā nav definēts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46.punktā ir noteikts pienākums projekta iesniedzējam vai finansējuma saņēmējam, lūdzam papildināt  anotāciju ar skaidrojumu vai tās ir (var būt) dažādas personas un lūdzam attiecīgi vērtēt nepieciešamību MK noteikumu projektu papildināt ar finansējuma saņēmēja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apakšsadaļas “1.3. Pašreizējā situācija, problēmas un risinājumi” apakšsadaļa “Prasības projekta iesniedzējam” papildināta, izsakot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projekta iesniedzējs, kas pēc projekta iesnieguma apstiprināšanas un civiltiesiskā līguma vai vienošanās par projekta īstenošanu noslēgšanas ir finansējuma saņēmējs, var būt pašvaldība, tās izveidota iestāde, pašvaldības kapitālsabiedrība, kas veic pašvaldības deleģēto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MK noteikumos definētajiem horizontālā principa "Vienlīdzība, iekļaušana, nediskriminācija un pamattiesību ievērošana"  rādītājiem,  papildināt sadaļu ar vispārīgajām un specifiskajām horizontālā principa darbībām, kas veicinās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personu ar invaliditāti vienlīdzīgas iespējas un tiesības, projektu ietvaros paredzēts īstenot  specifiskas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projektēšanas laikā un pirms objekta nodošanas ekspluatācijā publiskajai infrastruktūrai tiks veikts vides un informācijas piekļūstamības pašnovērtējums un iegūto punktu skaits nav zemāks par 8 (LM vides un informācijas piekļūstamības pašnovērtējuma metodika pieejama šeit: https://www.lm.gov.lv/lv/vides-un-informacijas-pieklustamibas-pasnovertejums-saskana-ar-lbn-200-21);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invaliditāti, tsk. Bērnu,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īstenojot projekta komunikācijas aktivitātes, tiks izvēlēta valoda un vizuālie tēli, kas mazina diskrimināciju un stereotipu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informāciju publiskajā telpā, t.sk. tīmeklī, tiks nodrošināts, ka to saturs ir piekļūstams cilvēkiem ar funkcionāliem traucējumiem, izmantojot vairākus sensoros (redze, dzirde, tauste) kanālus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MK noteikumu projekta ietekmi uz horizontālajiem principiem “Vienlīdzība, iekļaušana, nediskriminācija un pamattiesību ievērošana”, “Klimatnodrošināšana” un “Energoefektivitāte pirmajā vietā” norādot, vai plānotajām investīcijām būs tieša, netieša, vai nebūs ietekmes, tādejādi nodrošinot informācijas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pārskatīt MK noteikumu projekta 37.2.apakšpunktu, ņemot vērā, ka horizontālajiem principiem “Klimatdrošināšana” un “Energoefektivitāte pirmajā vietā” MK noteikumu projektā nav noteikti konkrēti rādītāji, līdz ar to nav skaidrs, kādi dati finansējuma saņēmējam jāuzkrāj par šiem horizontālajiem principiem, kā arī (ja attiecināms) papildināt MK noteikumu projektu ar konkrētiem rādītājiem horizontāla principa “Vienlīdzība, iekļaušana, nediskriminācija un pamattiesību ievērošana” ievērošanai atbilstoši Labklājības ministrijas izstrādātajām vadlīnijām “Vienlīdzība, iekļaušana, nediskriminācija un pamattiesību ievērošana” vadlīnijas īstenošanai un uzraudzībai (2021-2027), ja ir konstatēta tieša ietekme uz šo horizontālo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tiek konstatēta tieša vai netieša ietekme arī uz kādu no horizontālajiem principiem “Klimatdrošināšana” un “Energoefektivitāte pirmajā vietā” aicinām izvērtēt iespēju papildināt MK noteikumu projektu ar informāciju par pasākumiem vai nosacījumiem, kas veicami, lai nodrošinātu attiecīgo horizontālo principu piemērošanu, ņemot vērā, ka atbildīgajai iestādei ES fondu Kohēzijas politikas vienotajā informācijas sistēmā būs jaievada informācija par ietekmi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projekta līmenī obligāti norādāmie dati ir paredzēti MK noteikumu projekta 11. punktā. Savukārt dati, ko uzkrāj par projekta ietekmi uz horizontālo principu rādītājiem, ir papildu dati, ko projektu iesniedzējs atzīmēs KPVIS datu laukos gadījumā, ja attiecīgajā projektā šādi dati būs pieejami (MK noteikumu projekta punktā norādīta atzīme – ja attiecināms). Ievērojot minēto un to, ka, piemēram, attiecībā uz HP "Klimatdrošināšana" atbildīgā iestāde ir Klimata un enerģētikas ministrija, tad atbildība par attiecīgo KPVIS datu lauku definēšanu būtu attiecīgās iepriekš minētās ministrijas pārziņā.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22-TA-3340</w:t>
    </w:r>
    <w:r>
      <w:br/>
    </w:r>
    <w:r w:rsidR="00000000" w:rsidRPr="00000000" w:rsidDel="00000000">
      <w:rPr>
        <w:rtl w:val="0"/>
      </w:rPr>
      <w:t xml:space="preserve">21.04.2023. 12.03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22-TA-3340</w:t>
    </w:r>
    <w:r>
      <w:br/>
    </w:r>
    <w:r w:rsidR="00000000" w:rsidRPr="00000000" w:rsidDel="00000000">
      <w:rPr>
        <w:rtl w:val="0"/>
      </w:rPr>
      <w:t xml:space="preserve">21.04.2023. 12.03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Izziņa_22-TA-3340.docx</dc:title>
</cp:coreProperties>
</file>

<file path=docProps/custom.xml><?xml version="1.0" encoding="utf-8"?>
<Properties xmlns="http://schemas.openxmlformats.org/officeDocument/2006/custom-properties" xmlns:vt="http://schemas.openxmlformats.org/officeDocument/2006/docPropsVTypes"/>
</file>