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Ietekmes uz ceļu satiksmes drošību novērtējuma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ceļu satiksmes drošību novērtējuma veikšanas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noteikumu projekta steidzama virzīšana. Proti, projekta anotācijā kā steidzamības pamatojums norādīts 2022. gada 27. janvāra oficiālais paziņojums pārkāpuma procedūras lietā Nr. 2021/0125, kurā norādīts, ka nav paziņots par visiem transponēšanas pasākumiem, kas nodrošinātu Eiropas Parlamenta un Padomes 2019. gada 23. oktobra Direktīvas (ES) 2019/1936, ar ko groza Direktīvu 2008/96/EK par ceļu infrastruktūras drošības pārvaldību (turpmāk - direktīva 2019/1936), īstenošanu. Ņemot vērā, ka paziņojums veikts 2022. gada janvārī, pašreizējā steidzamība ir novēlota. Attiecīgi lūdzam projektu virzīt vispārējā kārtībā vai skaidrot, kāpēc pašlaik steidzamība būtu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projekta steidzamība ir pamatota. Ņemot vērā, ka nav izdevies iekļauties termiņā, kas tika solīts ar Ministru kabineta 2022. gada 22. marta sēdē apstiprināto Latvijas Republikas nostāju uz Eiropas Komisijas 2022. gada 27. janvāra oficiālo paziņojumu pārkāpuma procedūras lietā Nr. 2022/0125 (Nr. 17 52. §)  ir riski saņemt argumentēto atzinumu un vēlāk arī finansiālas sankcijas, kuras var uzlikt Eiropas Savienības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ceļu satiksmes drošību novērtējuma veikšanas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ceļu tīkls – šo noteikumu izpratnē ceļu tīkls, kas minēts Eiropas Parlamenta un Padomes 2013. gada 11. decembra Regula (ES) Nr. </w:t>
            </w:r>
            <w:r w:rsidR="00000000" w:rsidRPr="00000000" w:rsidDel="00000000">
              <w:rPr>
                <w:rtl w:val="0"/>
              </w:rPr>
              <w:t xml:space="preserve">1315/2013</w:t>
            </w:r>
            <w:r w:rsidR="00000000" w:rsidRPr="00000000" w:rsidDel="00000000">
              <w:rPr>
                <w:rtl w:val="0"/>
              </w:rPr>
              <w:t xml:space="preserve"> </w:t>
            </w:r>
            <w:r w:rsidR="00000000" w:rsidRPr="00000000" w:rsidDel="00000000">
              <w:rPr>
                <w:rtl w:val="0"/>
              </w:rPr>
              <w:t xml:space="preserve"> par Savienības pamatnostādnēm Eiropas transporta tīkla attīstībai un ar ko atceļ Lēmumu Nr. 661/2010/ES II nodaļas 3. iedaļā un ilustrēts minētās regulas I pielikumā iekļautajās kartēs;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 apakšpunktā iekļauto atsauci uz Eiropas Parlamenta un Padomes 2013. gada 11. decembra Regulas (ES) Nr. 1315/2013 par Savienības pamatnostādnēm Eiropas transporta tīkla attīstībai un ar ko atceļ Lēmumu Nr. 661/2010/ES normām, lūdzam papildināt anotācijas 5.4. sadaļas 1. tabulu ar informāciju par minētās regulas normu ieviešanu noteikumu projekta 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ceļu tīkls – šo noteikumu izpratnē ceļu tīkls, kas minēts Eiropas Parlamenta un Padomes 2013. gada 11. decembra Regula (ES) Nr. </w:t>
            </w:r>
            <w:r w:rsidR="00000000" w:rsidRPr="00000000" w:rsidDel="00000000">
              <w:rPr>
                <w:rtl w:val="0"/>
              </w:rPr>
              <w:t xml:space="preserve">1315/2013</w:t>
            </w:r>
            <w:r w:rsidR="00000000" w:rsidRPr="00000000" w:rsidDel="00000000">
              <w:rPr>
                <w:rtl w:val="0"/>
              </w:rPr>
              <w:t xml:space="preserve"> </w:t>
            </w:r>
            <w:r w:rsidR="00000000" w:rsidRPr="00000000" w:rsidDel="00000000">
              <w:rPr>
                <w:rtl w:val="0"/>
              </w:rPr>
              <w:t xml:space="preserve"> par Savienības pamatnostādnēm Eiropas transporta tīkla attīstībai un ar ko atceļ Lēmumu Nr.661/2010/ES II nodaļas 3. iedaļā un ilustrēts minētās regulas I pielikumā iekļautajās kartēs;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ceļa posmā vairāk kā divos ceļa mezglos mainās mezgla veids, vai ceļa posmā tiek veikta vairāk kā divu krustojumu nojaukšana vai jaunu krustojumu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Direktīvas 2008/96/EK par ceļu infrastruktūras drošības pārvaldību (turpmāk - direktīva 2008/96/EK) 2. panta 9. punkts definē, ka “infrastruktūras projekts” ir jaunas ceļu infrastruktūras izveides vai būtisku esošā ceļu tīkla izmaiņu projekts, kas ietekmē satiksmes plūsmu. Attiecīgi lūdzam anotācijā izvērstāk skaidrot un pamatot noteikumu projekta 2.2. apakšpunktā ietvertos kritērijus, kas izvēlēti, lai konkretizētu "būtisku esošā ceļa tīkla izmaiņu projektu, kas ietekmē satiksmes plūsmu", un kritēriju atbilstību direktīvas mērķim. Proti, lūdzam skaidrot, kādēļ tieši šādi pārņemta attiecīgā direktīvas norma un kādēļ izvēlēti attiecīgie kritēriji (līdzīgi lūdzam skaidrot arī noteikumu projekta 4. punktu, kurā pārņemts direktīvas 2008/96/EK 3. panta 2. punkts). Papildus lūdzam skaidrot, kā minētais apakšpunkts (kontekstā ar 4. punktu) atbilst Ceļu satiksmes likuma 1. panta 6.</w:t>
            </w:r>
            <w:r w:rsidR="00000000" w:rsidRPr="00000000" w:rsidDel="00000000">
              <w:rPr>
                <w:vertAlign w:val="superscript"/>
                <w:rtl w:val="0"/>
              </w:rPr>
              <w:t xml:space="preserve">1</w:t>
            </w:r>
            <w:r w:rsidR="00000000" w:rsidRPr="00000000" w:rsidDel="00000000">
              <w:rPr>
                <w:rtl w:val="0"/>
              </w:rPr>
              <w:t xml:space="preserve"> punktam, kas, definējot ietekmes uz ceļu satiksmes drošību novērtējumu, neiekļauj norādi uz konkrētiem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Risinājumu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Ceļu satiksmes likuma 1. panta 6.1 punktu, informējam, ka termins ir pārņemts no Direktīvas 2008/96/EK 2. panta 3. punkta. Minētais termins nav pretrunā ar noteikumu projekta 4. punktu, jo stratēģiski salīdzinošu analīzi par to, kā jauni ceļi vai būtiskas esošā ceļu tīkla modifikācijas ietekmē ceļu tīkla drošības rādītāju var veikt tikai sākotnējā plānošanas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uz Tieslietu ministrijas 2022. gada 16. augusta iebildumu (izziņas 3. punkts) par projekta 2.2. apakšpunkta (kontekstā ar 4. punktu) atbilstību Ceļu satiksmes likuma 1. panta 6.</w:t>
            </w:r>
            <w:r w:rsidR="00000000" w:rsidRPr="00000000" w:rsidDel="00000000">
              <w:rPr>
                <w:vertAlign w:val="superscript"/>
                <w:rtl w:val="0"/>
              </w:rPr>
              <w:t xml:space="preserve">1</w:t>
            </w:r>
            <w:r w:rsidR="00000000" w:rsidRPr="00000000" w:rsidDel="00000000">
              <w:rPr>
                <w:rtl w:val="0"/>
              </w:rPr>
              <w:t xml:space="preserve"> punktam ietverts vien daļējs skaidrojums attiecībā uz atbilstību 4. punktam. Attiecīgi lūdzam vēlreiz skaidrot, kā arī skaidrojumu iekļaut anotācijā, kā projekta 2.2. apakšpunkts, kas iekļauj norādi uz konkrētiem kritērijiem, atbilst Ceļu satiksmes likuma 1. panta 6.</w:t>
            </w:r>
            <w:r w:rsidR="00000000" w:rsidRPr="00000000" w:rsidDel="00000000">
              <w:rPr>
                <w:vertAlign w:val="superscript"/>
                <w:rtl w:val="0"/>
              </w:rPr>
              <w:t xml:space="preserve">1</w:t>
            </w:r>
            <w:r w:rsidR="00000000" w:rsidRPr="00000000" w:rsidDel="00000000">
              <w:rPr>
                <w:rtl w:val="0"/>
              </w:rPr>
              <w:t xml:space="preserve"> punktam, kas, definējot ietekmes uz ceļu satiksmes drošību novērtējumu, neiekļauj norādi uz konkrētiem kritērijiem. Lūdzam skaidrot, vai noteikumu projektā 2.2. apakšpunktā iekļautā kritēriju definēšana ir pieļaujama, ņemot vērā jau likumā ietverto definīciju. Papildus lūdzam šajā kontekstā anotācijā skaidrot projekta, tostarp 2.2. apakšpunkta, kurš būtībā konkretizē gadījumus, kad veicams novērtējums, atbilstību Ceļu satiksmes likuma 6. panta sestajā daļā paredzētajam pilnvarojumam Ministru kabinetam noteikt ietekmes uz ceļu satiksmes drošību novērtējuma veikšanas kārtību. Skaidrojam, ka pilnvarojumā minētais vārds "kārtība" pamatā piešķir Ministru kabinetam tiesības noteikumos regulēt attiecīgā jautājuma procesuālo raksturu, proti, izstrādāt noteiktu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Risinājumu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Ietekmi uz ceļu satiksmes drošības novērtējumu veic nodrošinot atbilstību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pārdomāt noteikumu projekta 6. punkta ievaddaļas un 6.1. un 6.2. apakšpunktu formulējumu un tos precizēt. Vēršam uzmanību, ka šobrīd tie nav formulēti kā tiesību normas (turklāt 6.1. un 6.2. apakšpunkti tiek veidoti kā jauni teikumi). Nav arī saprotams, piemēram, kas tiek domāts ar norādi, ka ietekmi uz ceļu satiksmes drošības novērtējumu veic, nodrošinot atbilstību [..] problēmas definīcijai. Nav arī skaidrs, kāda saturiskā atšķirība ir novērtējuma elementiem (6.1. apakšpunkts), un elementiem, kas jāņem vērā (6.2. apakšpunkts). Attiecīgi lūdzam pārdomāt formulējumu un veidot normas kā tiesību normas. Papildus, lai atvieglotu normu piemērošanu praksē, aicinām anotācijā skaidrot noteikumu projekta 6. punktu, tostarp skaidrot iekļautos kritērijus (piemēram, problēmas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pojekta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Ietekmes uz ceļu satiksmes drošību novērtējumam ir šādas sadaļas: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Elementi, kas jāņem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kā viens no noteikumu projekta 6.2. apakšpunkta apakšpunktiem nav iekļauts elements, kas ietverts direktīvas 2008/96/EK I pielikuma 2. iedaļas "d" punktā ("satiksmes dalībnieki, tostarp mazaizsargāti satiksmes dalībnieki (piemēram, gājēji, riteņbraucēji, motociklisti)"). Tāpat lūdzam skaidrot, vai sakarā ar direktīvas 2008/96/EK 6.b panta pārņemšanu nav nepieciešams precizēt projektu. Papildus lūdzam izvērtēt un skaidrot, vai nav nepieciešams vēl kāds regulējums attiecībā uz ietekmes uz ceļu satiksmes drošību novērtējumu (piemēram, vai ietekmes novērtējums jāiesniedz kādai institūcijai, kādā termiņā, kas notiek, ja novērtējums netiek veikts u.tml.). Proti, lūdzam skaidrot, vai noteikumu projektā iekļautais regulējums ir pietiekams. Attiecīgi lūdzam skaidrot un, ja nepieciešams,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2019/1936 1. panta 6. punkta (Direktīvas 2008/96/EK 6.b panta) prasība atbilstoši Tieslietu ministrijas 2021. gada 7. jūlija iebildumam  (izstrādājot Ministru kabineta noteikumu projektu "Grozījumi Ministru kabineta 2008. gada 25. novembra noteikumos Nr. 972 "Ceļu drošības audita noteikumi" (22-TA-1566)) ir pārņemts ar 2022. gada 16. jūnija likumu “Grozījumi Ceļu satiksmes likumā” 2. pantu (Ceļu satiksmes likuma 6. panta pirmās daļas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uzskata, ka esošais regulējums ir pietiekams, un nav nepieciešams papildus regulējums attiecībā uz ietekmes uz ceļu satiksmes drošību novērtējuma veikšanu. Noteikumu projektā ietvertais regulējums pamatā attiecas uz VSIA “Latvijas Valsts ceļi”, kuras pārvaldībā ir lielākā daļa ceļu, kas ir noteikumu projekta tvērumā, ka arī uz dažām pašvaldībām, kuru pārvaldībā ir tikai neliela daļa no ceļiem, kas ir noteikumu projekta tvērumā. Ceļu pārvaldītājiem balstoties uz ietekmes uz ceļu satiksmes drošības novērtējuma rezultātiem ir jārīkojas kā krietnam un rūpīgam saimniekam, un atbilstoši Ceļu satiksmes likuma 6. panta pirmās daļas 1. punktam ir pienākums nodrošināt, lai ceļš pastāvīgi tiktu uzturēts satiksmei drošā stāvoklī atbilstoši normatīvajiem aktiem un standartiem ceļu satiksmes drošības jomā, savukārt Satiksmes ministrija atbilstoši Ceļu satiksmes likuma 4. panta trešajai daļai veic uzraudzību pār likumu un citu normatīvo aktu ievērošanu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ierosināto alternatīvu ietekmes analīze saistībā ar ceļu satiksmes drošību;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Veicot ietekmes uz ceļu satiksmes drošību novērtējumu, jāņem vērā šādi elementi: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vai anotācijā skaidrot, ko nozīmē projekta 7. punktā ietvertā norāde, ka "jāņem vērā šādi elementi". Proti, lai būtu skaidra norādīto elementu praktiskā jēga, lūdzam skaidrot, vai norādītie elementi ir jāietver un jāapraksta novērtējumā, vai arī vienkārši jāņem vērā, gatavojot 6. punktā norādītās sadaļas. Aicinām arī detalizētāk anotācijā skaidrot noteikumu projekta 6. un 7. punktu (piemēram, skaidrot, par kādu salīdzinājumu ir runa 6.5.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Risinājuma apraksts ar informāciju, ka ņemt vērā elementus, veicot ietekmes uz ceļu satiksmes drošību novērtējumu, nozīmē izvērtēt šos elementus gatavojot noteikuma projekta 6. punkta norādītās sadaļas. Precizēts noteikumu projekta 6.5.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Veicot ietekmes uz ceļu satiksmes drošību novērtējumu, jāņem vērā šādi elementi: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seismiskās norises.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nepieciešamību papildināt noteikumu projektu. Vēršam uzmanību, ka no pašreizējā regulējuma nav pilnībā skaidrs, kādēļ novērtējums jāveic un kāda ir tā praktiskā ietekme, ja novērtējums nav nekur jāiesniedz, kā arī projektā nav regulējuma par tā ņemšanu vērā turpmākajā rīcībā attiecībā uz infrastruktūras projektu. Nav arī skaidrs, kādas sekas ir par tā neveikšanu. Salīdzinājumam sk. Ministru kabineta noteikumu projekta “Tīkla mēroga ceļu satiksmes drošības novērtējuma un ceļu drošības inspekcijas veikšanas kārtība” (22-TA-1989), tostarp tā 6. punktu, kas citastarp paredz, ka tīkla mēroga ceļu satiksmes drošības novērtējumu pirmo reizi veic un ceļu pārvaldītājs informē Satiksmes ministriju par rezultātiem līdz 2024. gada 31. decembrim. Attiecīgi lūdzam atkārtoti izvērtēt un papildināt projektu nepieciešamības gadījumā vai sniegt anotācijā pamatotu skaidrojumu par regulējuma pietiekamību (tostarp ietverot skaidrojumu, kas jau iekļauts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6.7. apakšpunktu un 8., 9. un 10. punktu un papildināta anotācijas 1.3 sadaļas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seismiskās norises.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Eiropas Parlamenta un Padomes 2019. gada 23. oktobra Direktīvas (ES) </w:t>
            </w:r>
            <w:r w:rsidR="00000000" w:rsidRPr="00000000" w:rsidDel="00000000">
              <w:rPr>
                <w:rtl w:val="0"/>
              </w:rPr>
              <w:t xml:space="preserve">2019/1936</w:t>
            </w:r>
            <w:r w:rsidR="00000000" w:rsidRPr="00000000" w:rsidDel="00000000">
              <w:rPr>
                <w:rtl w:val="0"/>
              </w:rPr>
              <w:t xml:space="preserve">, ar ko groza Direktīvu 2008/96/EK par ceļu infrastruktūras drošības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(piemēram, bet ne tikai, 4. punktā) ir pārņemtas arī direktīvas 2008/96/EK vienības, kuras turklāt nav grozītas ar direktīvu 2019/1936, lūdzam papildināt informatīvo atsauci ar atsauci uz direktīvu 2008/96/EK. Papildus vēršam uzmanību, ka šobrīd attiecīgo direktīvas 2008/96/EK vienību pārņemšana nav atspoguļotas anotācijas 5. sadaļā, tostarp 5.4. sadaļas 1. tabulā. Attiecīgi lūdzam arī papildināt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savstarpēji saskaņotu informāciju attiecībā uz finansējuma nodrošināšanu. Šobrīd anotācijas 1.-2.punktos norādīts, ka projekts rada izmaiņas uz valsts budžeta ieņēmumiem un izdevumiem, tomēr anotācijas 6.punktā norādīts, ka veidojas papildus izdevumi, vienlaikus norādīts, ka tie sedzami no valsts budžeta apakšprogrammas 23.07.00 "Valsts autoceļu pārvaldīšana", attiecīgi nav skaidrs, kā tie var būt papildus izdevumi, ja sedzami no minētās valsts budžeta apakšprogrammas. Ja noteikumu projekta īstenošanu paredzēts nodrošināt SM esošo budžeta līdzekļu ietvaros, tad attiecīgais valsts budžeta finansējums 1. un 2.punktā ir norādāms ailēs “saskaņā ar vidēja termiņa budžeta ietvaru” un anotācijas 3.sadaļas punktā “Cita informācija” jāsniedz informācija, kuras SM budžeta programmas/apakšprogrammas ietvaros finansējums tiks nodrošināts, attiecīgi precizējot informāciju arī pārējos šīs sadaļas punktos. Ja noteikumu projekta īstenošanai ir nepieciešams papildu valsts budžeta finansējums, tad izmaiņu ailēs jānorāda ietekme uz budžeta izdevumiem, kā arī vienlaikus anotācijas 3.sadaļas punktā “Cita informācija” jāsniedz informācija, kā plānots nodrošināt papildu līdzekļu piešķiršanu, jo vēršam uzmanību, ka jautājums par papildu valsts budžeta finansējuma piešķiršanu ir izskatāms Ministru kabinetā ikgadējā valsts budžeta likumprojekta un vidēja termiņa budžeta ietvara likumprojekta sagatavošanas procesā atbilstoši valsts budžeta finansiālajām iespējām, attiecīgajai nozares ministrijai iesniedzot prioritārā pasākuma pieteikumu, tomēr saskaņā SM ar 15.08.2022. vēstuli Nr. 15-01/2423 par precizētajiem prioritāriem pasākumiem 2023.-2025.gadam šāds prioritārais pasākums nav iesniegts.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6.2.punktā precizēt tabulā norādīto finansējumu 2023.gadam (atbilstoši aprēķinam ir 22 230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anotācijas 5.4. sadaļas 1. tabulā ietverto informāciju un to aktualizēt, īpaši attiecībā uz citiem tiesību aktu projektiem un to vienībām, kurās pārņemtas direktīvas 2019/1936 vienības. Piemēram, tabulā norādīts, ka direktīvas 2019/1936 1. panta 6. punkts pārņemts grozījumu Ceļu satiksmes likumā (21-TA-94) 5. pantā. Vēršam uzmanību, ka tā nav korektā grozījumu vienība, turklāt grozījumi jau ir stājušies spēkā, attiecīgi aicinām norādīt to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ailē par rīcības brīvības izmantošanu skaidrota direktīvas 2019/1936 1. panta 4. punktā paredzētās rīcības brīvības izmantošana, bet nav skaidrota direktīvas 2008/96/EK 3. panta 2. punktā paredzētās rīcības brīvības izmantošana, kas attiecas uz šo noteikumu projektu. Attiecīgi lūdzam precizēt vai papildināt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 tabula ar informāciju par rīcības brīvības izmantošanu attiecībā uz direktīvas 2008/96/EK 3.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tabulu, norādot visas pārņemtās direktīvu vienības. Piemēram, lūdzam norādīt, ka Direktīvas 2008/96/EK I pielikuma 2. iedaļas "e" punkts tiek pārņemts noteikumu projekta 7.5. apakšpunktā, kā arī precizēt projekta vienību (7.5., nevis 7.4. apakšpunkts) pie informācijas par Direktīvas 2019/1936 pielikuma 1. punkta (Direktīvas 2008/96/EK I pielikuma 2. iedaļas "e" punkta) pārņemšanu. Aicinām arī izvērtēt pārējās tabulā ietvertās informācijas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sadaļa un atkārtoti izvērtēta tabulā ietvertās informācijas pareizība.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ceļa posmā vairāk kā divos ceļa mezglos mainās mezgla veids, vai ceļa posmā tiek veikta vairāk kā divu krustojumu nojaukšana vai jaunu krustojumu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noteikumu projekta 2.2. apakšpunkta formulējumu. Vēršam uzmanību, ka šobrīd tas ir ne pārāk veiksmīgi formulēts no valodnieciskā un uztveramības aspekta. Aicinām apsvērt, piemēram, šādu redakciju: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par iespējamu noteikumu projekta 2.2 apakšpunkta (kontekstā ar 4. punktu, kas noteic, kam veicams ietekmes uz ceļu satiksmes drošību novērtējumu) neatbilstību likumā noteiktajam pilnvarojumam Ministru kabinetam. Atkārtoti norādām, ka Ceļu satiksmes likuma (turpmāk - likums) 6. panta sestā daļa noteic: "Ministru kabinets nosaka ietekmes uz ceļu satiksmes drošību novērtējuma veikšanas </w:t>
            </w:r>
            <w:r w:rsidR="00000000" w:rsidRPr="00000000" w:rsidDel="00000000">
              <w:rPr>
                <w:u w:val="single"/>
                <w:rtl w:val="0"/>
              </w:rPr>
              <w:t xml:space="preserve">kārtību</w:t>
            </w:r>
            <w:r w:rsidR="00000000" w:rsidRPr="00000000" w:rsidDel="00000000">
              <w:rPr>
                <w:rtl w:val="0"/>
              </w:rPr>
              <w:t xml:space="preserve">." Likuma 1. panta 6.</w:t>
            </w:r>
            <w:r w:rsidR="00000000" w:rsidRPr="00000000" w:rsidDel="00000000">
              <w:rPr>
                <w:vertAlign w:val="superscript"/>
                <w:rtl w:val="0"/>
              </w:rPr>
              <w:t xml:space="preserve">1</w:t>
            </w:r>
            <w:r w:rsidR="00000000" w:rsidRPr="00000000" w:rsidDel="00000000">
              <w:rPr>
                <w:rtl w:val="0"/>
              </w:rPr>
              <w:t xml:space="preserve"> punkts definē: "ietekmes uz ceļu satiksmes drošību novērtējums - stratēģiski salīdzinoša analīze par jauna ceļa vai </w:t>
            </w:r>
            <w:r w:rsidR="00000000" w:rsidRPr="00000000" w:rsidDel="00000000">
              <w:rPr>
                <w:u w:val="single"/>
                <w:rtl w:val="0"/>
              </w:rPr>
              <w:t xml:space="preserve">būtiskas esošā ceļu tīkla pārbūves</w:t>
            </w:r>
            <w:r w:rsidR="00000000" w:rsidRPr="00000000" w:rsidDel="00000000">
              <w:rPr>
                <w:rtl w:val="0"/>
              </w:rPr>
              <w:t xml:space="preserve"> ietekmi uz ceļu tīkla drošības rādītājiem." Likumā nav ietverts skaidrojums vai kritēriji, kas saprotams ar būtisku esošā ceļu tīkla pārbūvi. Tāds nav iekļauts arī likuma anotācijā. Minētajā pilnvarojumā arī nav ietverts pilnvarojums Ministru kabinetam noteikt </w:t>
            </w:r>
            <w:r w:rsidR="00000000" w:rsidRPr="00000000" w:rsidDel="00000000">
              <w:rPr>
                <w:u w:val="single"/>
                <w:rtl w:val="0"/>
              </w:rPr>
              <w:t xml:space="preserve">gadījumus</w:t>
            </w:r>
            <w:r w:rsidR="00000000" w:rsidRPr="00000000" w:rsidDel="00000000">
              <w:rPr>
                <w:rtl w:val="0"/>
              </w:rPr>
              <w:t xml:space="preserve">, kad veicams novērtējums (tādējādi sīkāk definējot kritērijus, kas uzskatāma par "būtisku esošā ceļu tīkla pārbūvi"). Pilnvarojums paredz Ministru kabinetam tikai noteikt novērtējuma </w:t>
            </w:r>
            <w:r w:rsidR="00000000" w:rsidRPr="00000000" w:rsidDel="00000000">
              <w:rPr>
                <w:u w:val="single"/>
                <w:rtl w:val="0"/>
              </w:rPr>
              <w:t xml:space="preserve">veikšanas kārtību</w:t>
            </w:r>
            <w:r w:rsidR="00000000" w:rsidRPr="00000000" w:rsidDel="00000000">
              <w:rPr>
                <w:rtl w:val="0"/>
              </w:rPr>
              <w:t xml:space="preserve"> (ar ko pamatā saprot noteiktu procedūru). Papildus norādām, ka pastāv arī bažas par iespējamu nekorektu direktīvas normu pārņemšanu un interpretāciju, ņemot vērā, ka Direktīvas 2008/96/EK 2. panta 9. punkts definē “infrastruktūras projektu” kā jaunas ceļu infrastruktūras izveides vai </w:t>
            </w:r>
            <w:r w:rsidR="00000000" w:rsidRPr="00000000" w:rsidDel="00000000">
              <w:rPr>
                <w:u w:val="single"/>
                <w:rtl w:val="0"/>
              </w:rPr>
              <w:t xml:space="preserve">būtisku esošā ceļu tīkla izmaiņu</w:t>
            </w:r>
            <w:r w:rsidR="00000000" w:rsidRPr="00000000" w:rsidDel="00000000">
              <w:rPr>
                <w:rtl w:val="0"/>
              </w:rPr>
              <w:t xml:space="preserve"> projektu, kas ietekmē satiksmes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iepriekš minēto, norādām, ka ir saskatāma nepieciešamība vai nu veikt attiecīgus grozījumus likumā, vai nu precizēt noteikumu projektu atbilstoši likumā noteiktajam pilnvarojumam,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anotācijas 1.3. sadaļas Risinājuma apraksts “Noteikumu projekta 2.2. apakšpunkts pēc būtības tikai paskaidro, kas ir “būtiska esoša ceļa tīkla pārbūve”, nemainot, ietvaru, kad ir jāveic ietekmes uz ceļu satiksmes drošību novērtējums, tādejādi tas ir atbilstoši Ceļu satiksmes likuma 1. panta 6.1 punktā un 6. panta sestajā daļā ietvertajam pilnvarojumam”.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infrastruktūras projekts – šo noteikumu izpratnē jauna ceļa būvniecība vai esošā ceļa pārbūve, kurā mainās brauktuvju vai joslu skaits posmā, kas garāks par 10 kilometriem, vai kurā vairāk nekā divos ceļa mezglos mainās mezgla veids, vai kurā tiek veikta vairāk nekā divu krustojumu nojaukšana vai jaunu krustojumu būvniecība.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rezultatīvā sadaļa, kas ietver secinājumus un, pamatojoties uz šo noteikumu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apakšpunktu</w:t>
            </w:r>
            <w:r w:rsidR="00000000" w:rsidRPr="00000000" w:rsidDel="00000000">
              <w:rPr>
                <w:rtl w:val="0"/>
              </w:rPr>
              <w:t xml:space="preserve">, sniedz rekomendāciju risinājumam, kas ir virzāma būvprojekta izstrādāšanai.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frāzi "pamatojoties uz šo noteikumu 6.4. un 6.5. apakšpunktu" kā lieku. Vēršam uzmanību, ka atsauce tieši uz konkrētajām noteikumu projekta apakšvienībām arī nav pilnībā skaidra, ņemot vērā, ka arī, piemēram, 6.6. apakšpunktā ir paredzēts vairāku iespējamo risinājumu izklāsts, kas arī var palīdzēt rekomendācijas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6.7. apakšpunktā precizēt vārda "virzāma" locījumu, jo šobrīd, ņemot vērā locījumu, nav skaidrs, uz ko šis vārds attiecas. Proti, nav skaidrs, vai virzāms ir risinājums vai rekomendācija. Mulsinošs ir arī frāzes "kas ir virzāma būvprojekta izstrādāšanai" (īpaši tās lietojums obligātā formā), ņemot vērā, ka no noteikumu projekta 10. punkta izriet, ka rekomendācija nav obligāti jāņem vērā.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secinājumi un rekomendācija risinājumam.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satiksmes dalībnieki, tostarp mazaizsargātie ceļu satiksmes dalībnieki (piemēram, gājēji, velosipēda, motocikla vadītāji);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Ceļu satiksmes likuma 1. panta 10.</w:t>
            </w:r>
            <w:r w:rsidR="00000000" w:rsidRPr="00000000" w:rsidDel="00000000">
              <w:rPr>
                <w:vertAlign w:val="superscript"/>
                <w:rtl w:val="0"/>
              </w:rPr>
              <w:t xml:space="preserve">4</w:t>
            </w:r>
            <w:r w:rsidR="00000000" w:rsidRPr="00000000" w:rsidDel="00000000">
              <w:rPr>
                <w:rtl w:val="0"/>
              </w:rPr>
              <w:t xml:space="preserve"> punkts jau konkrēti definē, kas ir mazaizsargātais ceļu satiksmes dalībnieks, aicinām noteikumu projekta 7.4. apakšpunktā svītrot piemērveida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satiksmes dalībnieki, tostarp mazaizsargātie ceļu satiksmes dalībnieki;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Ceļa pārvaldītājs 30 dienu laikā pēc ietekmes uz ceļu satiksmes drošību novērtējuma izstrādāšanas to nosūta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vārda "nosūta" vietā lietot vārdu "iesniedz".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Ceļa pārvaldītājs 30 dienu laikā pēc ietekmes uz ceļu satiksmes drošību novērtējuma izstrādāšanas to iesniedz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Ceļu pārvaldītājs, nodrošina, ka izstrādājot būvprojektu, tiek ievērota rekomendācija, kas minēta šo noteikumu </w:t>
            </w:r>
            <w:r w:rsidR="00000000" w:rsidRPr="00000000" w:rsidDel="00000000">
              <w:rPr>
                <w:rtl w:val="0"/>
              </w:rPr>
              <w:t xml:space="preserve">6.7. </w:t>
            </w:r>
            <w:r w:rsidR="00000000" w:rsidRPr="00000000" w:rsidDel="00000000">
              <w:rPr>
                <w:rtl w:val="0"/>
              </w:rPr>
              <w:t xml:space="preserve">apakšpunktā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iespējamu noteikumu projekta 9. un 10. punktā savstarpēju pretrunu - 9. punkts paredz, ka ceļu pārvaldītājs </w:t>
            </w:r>
            <w:r w:rsidR="00000000" w:rsidRPr="00000000" w:rsidDel="00000000">
              <w:rPr>
                <w:u w:val="single"/>
                <w:rtl w:val="0"/>
              </w:rPr>
              <w:t xml:space="preserve">nodrošina,</w:t>
            </w:r>
            <w:r w:rsidR="00000000" w:rsidRPr="00000000" w:rsidDel="00000000">
              <w:rPr>
                <w:rtl w:val="0"/>
              </w:rPr>
              <w:t xml:space="preserve"> ka noteikumu 6.7. apakšpunktā minētā rekomendācija </w:t>
            </w:r>
            <w:r w:rsidR="00000000" w:rsidRPr="00000000" w:rsidDel="00000000">
              <w:rPr>
                <w:u w:val="single"/>
                <w:rtl w:val="0"/>
              </w:rPr>
              <w:t xml:space="preserve">tiek ievērota</w:t>
            </w:r>
            <w:r w:rsidR="00000000" w:rsidRPr="00000000" w:rsidDel="00000000">
              <w:rPr>
                <w:rtl w:val="0"/>
              </w:rPr>
              <w:t xml:space="preserve">, savukārt no 10. punkta izriet, ka šādu rekomendāciju ir iespējams neņemt vērā. Attiecīgi lūdzam precizēt vai sniegt izvērstu skaidrojumu anotācijā. Vēršam uzmanību, ka ceļu pārvaldītājam no noteikumu projekta teksta ir jābūt skaidram, kādi pienākumi un tiesības uz to ir attiecinātas.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 punkts un papildināta anotācijas 1.3. sadaļa Risinājuma apraksts ar informāciju, ka “nav iespējams ievērot rekomendāciju”, nozīmē ,piemēram, izstrādājot būvprojektu ir atklāti tādi jauni apstākļi, kas liedz īstenot rekomendāciju, piemēram, fiziski-ģeogrāfiski apstākļi, vai rekomendāciju nav iespējams īstenot, jo tas ir pretrunā citiem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Ceļu pārvaldītājs nodrošina, ka izstrādājot būvprojektu, pēc iespējas tiek ievērota rekomendācija, kas minēta šo noteikumu </w:t>
            </w:r>
            <w:r w:rsidR="00000000" w:rsidRPr="00000000" w:rsidDel="00000000">
              <w:rPr>
                <w:rtl w:val="0"/>
              </w:rPr>
              <w:t xml:space="preserve">6.7.</w:t>
            </w:r>
            <w:r w:rsidR="00000000" w:rsidRPr="00000000" w:rsidDel="00000000">
              <w:rPr>
                <w:rtl w:val="0"/>
              </w:rPr>
              <w:t xml:space="preserve">apakšpunktā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arī aprakstīt 2022. gada 16. jūnija grozījumus Ceļu satiksmes likumā un tajos ietverto normu saistību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noteikumu projektā paredzēto pienākumu ceļa pārvaldītājiem veikt ietekmes uz ceļu satiksmes drošību novērtējumu, anotācijas 7. sadaļā norādītā informācija ir korekta un pilnīga. Nepieciešamības gadījumā aicinām precizēt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uzskatām, ka 7. sadaļā norādītā informācija ir korekta un pilnīga.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dublēta rindkopa "Noteikumu projekts definē terminu "infrastruktūras projekts". Ņemot vērā, ka Direktīvā 2019/1936 termins "infrastruktūras projekts" nav definēts precīzi, kas ir "būtisks esošā ceļu tīkla izmaiņu projekts", termins iekļauj precīzus kritērijus, kas to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22-TA-2251</w:t>
    </w:r>
    <w:r>
      <w:br/>
    </w:r>
    <w:r w:rsidR="00000000" w:rsidRPr="00000000" w:rsidDel="00000000">
      <w:rPr>
        <w:rtl w:val="0"/>
      </w:rPr>
      <w:t xml:space="preserve">04.10.2022. 10.26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22-TA-2251</w:t>
    </w:r>
    <w:r>
      <w:br/>
    </w:r>
    <w:r w:rsidR="00000000" w:rsidRPr="00000000" w:rsidDel="00000000">
      <w:rPr>
        <w:rtl w:val="0"/>
      </w:rPr>
      <w:t xml:space="preserve">04.10.2022. 10.26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Izziņa_22-TA-2251.docx</dc:title>
</cp:coreProperties>
</file>

<file path=docProps/custom.xml><?xml version="1.0" encoding="utf-8"?>
<Properties xmlns="http://schemas.openxmlformats.org/officeDocument/2006/custom-properties" xmlns:vt="http://schemas.openxmlformats.org/officeDocument/2006/docPropsVTypes"/>
</file>