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25-TA-2127: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Eiropas Savienības kohēzijas politikas programmas 2021.–2027. gadam 3.3. prioritātes "Militārās mobilitātes stiprināšana - dzelzceļš un ostas" 3.3.1. specifiskā atbalsta mērķa "Attīstīt noturīgu aizsardzības infrastruktūru, veicinot militāro mobilitāti Eiropas Savienībā" 3.3.1.2. pasākuma "Lielo ostu divējāda lietojuma publiskās infrastruktūras attīstība"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31.10.2025. 17:24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Piemērojot </w:t>
            </w:r>
            <w:r w:rsidR="00000000" w:rsidRPr="00000000" w:rsidDel="00000000">
              <w:rPr>
                <w:rtl w:val="0"/>
              </w:rPr>
              <w:t xml:space="preserve">regulas Nr. 651/2014</w:t>
            </w:r>
            <w:r w:rsidR="00000000" w:rsidRPr="00000000" w:rsidDel="00000000">
              <w:rPr>
                <w:rtl w:val="0"/>
              </w:rPr>
              <w:t xml:space="preserve">  56.b pantu šo noteikumu </w:t>
            </w:r>
            <w:r w:rsidR="00000000" w:rsidRPr="00000000" w:rsidDel="00000000">
              <w:rPr>
                <w:rtl w:val="0"/>
              </w:rPr>
              <w:t xml:space="preserve">13.1. </w:t>
            </w:r>
            <w:r w:rsidR="00000000" w:rsidRPr="00000000" w:rsidDel="00000000">
              <w:rPr>
                <w:rtl w:val="0"/>
              </w:rPr>
              <w:t xml:space="preserve">apakšpunktā</w:t>
            </w:r>
            <w:r w:rsidR="00000000" w:rsidRPr="00000000" w:rsidDel="00000000">
              <w:rPr>
                <w:rtl w:val="0"/>
              </w:rPr>
              <w:t xml:space="preserve"> minētās atbalstāmās darbības īstenošanai, komercdarbības atbalsta intensitāte atbilst </w:t>
            </w:r>
            <w:r w:rsidR="00000000" w:rsidRPr="00000000" w:rsidDel="00000000">
              <w:rPr>
                <w:rtl w:val="0"/>
              </w:rPr>
              <w:t xml:space="preserve">regulas Nr. 651/2014</w:t>
            </w:r>
            <w:r w:rsidR="00000000" w:rsidRPr="00000000" w:rsidDel="00000000">
              <w:rPr>
                <w:rtl w:val="0"/>
              </w:rPr>
              <w:t xml:space="preserve">  2. panta 26. punktā noteiktajai definīcijai, </w:t>
            </w:r>
            <w:r w:rsidR="00000000" w:rsidRPr="00000000" w:rsidDel="00000000">
              <w:rPr>
                <w:rtl w:val="0"/>
              </w:rPr>
              <w:t xml:space="preserve">regulas Nr. 651/2014</w:t>
            </w:r>
            <w:r w:rsidR="00000000" w:rsidRPr="00000000" w:rsidDel="00000000">
              <w:rPr>
                <w:rtl w:val="0"/>
              </w:rPr>
              <w:t xml:space="preserve">  56.b panta 4. punktā minētajiem nosacījumiem un regulas </w:t>
            </w:r>
            <w:r w:rsidR="00000000" w:rsidRPr="00000000" w:rsidDel="00000000">
              <w:rPr>
                <w:rtl w:val="0"/>
              </w:rPr>
              <w:t xml:space="preserve">Nr. 651/2014 56.b</w:t>
            </w:r>
            <w:r w:rsidR="00000000" w:rsidRPr="00000000" w:rsidDel="00000000">
              <w:rPr>
                <w:rtl w:val="0"/>
              </w:rPr>
              <w:t xml:space="preserve"> panta 5.punktā minētajiem attiecināmo izmaksu ierobežojumiem: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11.punktā noteikto, ka "Pasākuma kopējais plānotais finansējums ir 25 088 344 euro [..]", kā arī anotācijā skaidroto, ka, piemēram, Liepājas ostas piestātnes Nr. 46 pārbūvei projekta kopējās izmaksas ir 23 090 050 euro, atkārtoti  lūdzam precizēt noteikumu projekta 28.punktu, skaidri iekļaujot noteikumu projektā atbalsta apjoma un piemērojamās atbalsta intensitātes aprēķināšanas principus konkrētām attiecināmām izmaksām saskaņā ar Regulas Nr. 651/2014 56.b panta 4. un 5. punktu. Papildus lūdzam papildināt arī anotāciju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28.punkts precizēts atbilstoši komentāram.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ar rindkopu: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Komisijas regulas (ES) Nr. 651/2014 56.b panta 5. punktam atbalsta intensitāte tiek noteikta atkarībā no projekta kopējām attiecināmajām izmaksām. Tā kā konkrētā projekta kopējās attiecināmās izmaksas ir 23 miljoni euro, kas pārsniedz 22 miljonu euro slieksni, bet ir mazākas par 55 miljoniem euro, maksimāli pieļaujamā atbalsta intensitāte ir līdz 80 % no attiecināmajām izmaksām. Šī atbalsta intensitāte nodrošina atbilstību vispārējā grupu atbrīvojuma regulas prasībām, vienlaikus ļaujot efektīvi īstenot infrastruktūras ieguldījumus sabiedrības interesēs, neveidojot pārmērīgu valsts 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Piemērojot </w:t>
            </w:r>
            <w:r w:rsidR="00000000" w:rsidRPr="00000000" w:rsidDel="00000000">
              <w:rPr>
                <w:rtl w:val="0"/>
              </w:rPr>
              <w:t xml:space="preserve">regulas Nr. 651/2014</w:t>
            </w:r>
            <w:r w:rsidR="00000000" w:rsidRPr="00000000" w:rsidDel="00000000">
              <w:rPr>
                <w:rtl w:val="0"/>
              </w:rPr>
              <w:t xml:space="preserve">  56.b pantu šo noteikumu </w:t>
            </w:r>
            <w:r w:rsidR="00000000" w:rsidRPr="00000000" w:rsidDel="00000000">
              <w:rPr>
                <w:rtl w:val="0"/>
              </w:rPr>
              <w:t xml:space="preserve">13.1. </w:t>
            </w:r>
            <w:r w:rsidR="00000000" w:rsidRPr="00000000" w:rsidDel="00000000">
              <w:rPr>
                <w:rtl w:val="0"/>
              </w:rPr>
              <w:t xml:space="preserve">apakšpunktā</w:t>
            </w:r>
            <w:r w:rsidR="00000000" w:rsidRPr="00000000" w:rsidDel="00000000">
              <w:rPr>
                <w:rtl w:val="0"/>
              </w:rPr>
              <w:t xml:space="preserve"> minētās atbalstāmās darbības īstenošanai, komercdarbības atbalsta intensitāte atbilst </w:t>
            </w:r>
            <w:r w:rsidR="00000000" w:rsidRPr="00000000" w:rsidDel="00000000">
              <w:rPr>
                <w:rtl w:val="0"/>
              </w:rPr>
              <w:t xml:space="preserve">regulas Nr. 651/2014</w:t>
            </w:r>
            <w:r w:rsidR="00000000" w:rsidRPr="00000000" w:rsidDel="00000000">
              <w:rPr>
                <w:rtl w:val="0"/>
              </w:rPr>
              <w:t xml:space="preserve">  2. panta 26. punktā noteiktajai definīcijai, </w:t>
            </w:r>
            <w:r w:rsidR="00000000" w:rsidRPr="00000000" w:rsidDel="00000000">
              <w:rPr>
                <w:rtl w:val="0"/>
              </w:rPr>
              <w:t xml:space="preserve">regulas Nr. 651/2014</w:t>
            </w:r>
            <w:r w:rsidR="00000000" w:rsidRPr="00000000" w:rsidDel="00000000">
              <w:rPr>
                <w:rtl w:val="0"/>
              </w:rPr>
              <w:t xml:space="preserve"> 56.b panta 4. punktā minētajiem nosacījumiem un regulas </w:t>
            </w:r>
            <w:r w:rsidR="00000000" w:rsidRPr="00000000" w:rsidDel="00000000">
              <w:rPr>
                <w:rtl w:val="0"/>
              </w:rPr>
              <w:t xml:space="preserve">Nr. 651/2014 56.b</w:t>
            </w:r>
            <w:r w:rsidR="00000000" w:rsidRPr="00000000" w:rsidDel="00000000">
              <w:rPr>
                <w:rtl w:val="0"/>
              </w:rPr>
              <w:t xml:space="preserve"> panta 5.punkta b) sadaļā minētajiem attiecināmo izmaksu ierobežojumam - atbalsta intensitāte attiecībā uz katru ieguldījumu nepārsniedz 80 % no attiecināmām izmaksām.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Sadarbības iestāde veic projekta  ieguldījumu uzraudzību visā  infrastruktūras amortizācijas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esošajā redakcijā noteikumu projekta 48.punkts attiecas uz visiem projektiem, savukārt, noteikumu projekta 44.punkts nosaka, ka "Ja komercdarbības atbalstu sniedz saskaņā ar regulas Nr. 651/2014 56.b pantu, sadarbības iestāde nodrošina projekta uzraudzību ieguldījumu amortizācijas periodā." Ņemot vērā, ka šobrīd normas daļēji dublējas, lūdzam precizēt noteikumu projektu, kā arī lietot terminu “ieguldījumu amortizācijas periodā”, nevis “infrastruktūras amortizācijas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dublēšanos, dzēsts noteikumu projekta 44.punkts. Noteikumu projekta 47.punkts precizēts atbilstoši komentāram.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Sadarbības iestāde veic projekta  ieguldījumu uzraudzību visā ieguldījumu amortizācijas periodā.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anotāciju ar informāciju par to, kādā veidā izvēlēti plānotie projektu iesniedzēji/finansējuma saņēmēji, t.i., papildināt anotāciju ar skaidrojumu pēc būtības, kas pamato izvēlēto projektu iesniedzēju loku. Ņemot vērā to, ka, iesniedzot Eiropas Savienības kohēzijas politikas programmas 2021.-2027.gadam grozījumu priekšlikumu Eiropas Komisijai, jau bija izvēlēti potenciālie finansējuma saņēmēji, lai nodrošinātu informācijas izsekojamību un caurskatāmību, lūdzam skaidrot, kāpēc izvēlēti konkrētie divi finansējuma saņēmēji.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 sadaļa "Pašreizējā situācija, problēmas un risinājumi" papildināta ar informāciju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ka "[..] finansējuma saņēmējs nodrošinās, ka līgums par Liepājas ostas piestātnes Nr. 46 pārbūves būvdarbu veikšanu tiek noslēgts pēc projekta iesnieguma par publiskā finansējuma saņemšanu iesniegšanas." Ņemot vērā, ka noteikumu projekts paredz ne tikai būvniecību, bet arī iekārtu iegādi (piemēram, daļa no noteikumu projekta 17.4.apakšpunktā minēto krasta elektroapgādes punkta un ostas iekārtu elektroapgādes izveidošanas izmaksām), lūdzam anotāciju papildināt arī ar informāciju, ka jebkurš līgums, kas atbilst "darbu sākums" definīcijai saskaņā ar Komisijas regulas Nr. 651/2014 2.pnata 23) punktu, tiek noslēgts pēc projekta iesnieguma par publiskā finansējuma saņemšanu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anotācijas skaidrojumā attiecībā uz ostas infrastruktūras nomienieku papildināt anotāciju ar atsauci uz komunikāciju ar Eiropas Komisiju lietas SA.116227 (2024/N) - Providing of safe berthing of Ro-Ro ferries in the port of Liepaja /Applicability of Article 56b of the General Block Exemption Regulation ietvaros (Eiropas Komisijas viedoklis Viedās administrācijas un reģionālās attīstības ministrijas un Liepājas speciālās ekonomiskās zonas pārsūtīts ar Finanšu ministrijas 2025. gada 27. marta vēstuli Nr. 7-2/18/957).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 sadaļas "Pašreizējā situācija, problēmas un risinājumi" papildināta ar rindkopu Pasākuma ietvaros jebkurš līgums, kas atbilst "darbu sākums" definīcijai saskaņā ar Komisijas regulas Nr. 651/2014 2.panta 23) punktu, tiek noslēgts pēc projekta iesnieguma par publiskā finansējuma saņemšanu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 "Plānotie ieguldījumi Liepājas ostā" papildināta ar rindkopu: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komunikācijai ar Eiropas Komisiju lietas SA.116227 (2024/N) - Providing of safe berthing of Ro-Ro ferries in the port of Liepaja /Applicability of Article 56b of the General Block Exemption Regulation) ietvaros (Eiropas Komisijas 2025. gada 21. marta vēstule Nr. Comp(2025)3938170) gadījumā, ja koncesijas vai cita veida pilnvarojums trešām personām ekspluatēt vai nomāt atbalstītu ostu infrastruktūru nav piešķirts konkurenci nodrošinošā, pārredzamā, nediskriminējošā un beznosacījumu procedūrā, ir jānodrošina, ka koncesijas vai cita veida pilnvarojuma saņēmējs par atbalstīto ostas infrastruktūru maksā tirgus apstākļiem atbilstošu cenu, ko apstiprina sertificēta nekustamo īpašumu vērtētāja atzinums, to pārskatot ne retāk kā vienu reizi piecu gadu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sniegt informāciju sadalījumā pa finansējuma avotiem un gadiem, kā arī lūdzam šobrīd anotācijas 3.sadaļas 6.punktā norādīto informāciju </w:t>
            </w:r>
            <w:r w:rsidR="00000000" w:rsidRPr="00000000" w:rsidDel="00000000">
              <w:rPr>
                <w:i w:val="1"/>
                <w:rtl w:val="0"/>
              </w:rPr>
              <w:t xml:space="preserve">“Kohēzijas fonda finansējums pasākumu īstenošanai tiks pieprasīts no valsts budžeta programmas 80.00.00 “Nesadalītais finansējums Eiropas Savienības politiku instrumentu un pārējās ārvalstu finanšu palīdzības līdzfinansēto projektu un pasākumu īstenošanai”” </w:t>
            </w:r>
            <w:r w:rsidR="00000000" w:rsidRPr="00000000" w:rsidDel="00000000">
              <w:rPr>
                <w:rtl w:val="0"/>
              </w:rPr>
              <w:t xml:space="preserve">pārcelt uz punktu “Cita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3.sadaļas 6.punktā norādīts plānotais Kohēzijas fonda finansējuma sadalījums pa gadiem.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16.10.2025. 21:47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Atbalsts šo noteikumu </w:t>
            </w:r>
            <w:r w:rsidR="00000000" w:rsidRPr="00000000" w:rsidDel="00000000">
              <w:rPr>
                <w:rtl w:val="0"/>
              </w:rPr>
              <w:t xml:space="preserve">12.2.</w:t>
            </w:r>
            <w:r w:rsidR="00000000" w:rsidRPr="00000000" w:rsidDel="00000000">
              <w:rPr>
                <w:rtl w:val="0"/>
              </w:rPr>
              <w:t xml:space="preserve"> un </w:t>
            </w:r>
            <w:r w:rsidR="00000000" w:rsidRPr="00000000" w:rsidDel="00000000">
              <w:rPr>
                <w:rtl w:val="0"/>
              </w:rPr>
              <w:t xml:space="preserve">12.3. </w:t>
            </w:r>
            <w:r w:rsidR="00000000" w:rsidRPr="00000000" w:rsidDel="00000000">
              <w:rPr>
                <w:rtl w:val="0"/>
              </w:rPr>
              <w:t xml:space="preserve">apakšpunktā</w:t>
            </w:r>
            <w:r w:rsidR="00000000" w:rsidRPr="00000000" w:rsidDel="00000000">
              <w:rPr>
                <w:rtl w:val="0"/>
              </w:rPr>
              <w:t xml:space="preserve"> norādīto darbību īstenošanai nav uzskatāms par komercdarbības atbalstu.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normu, kas nosaka, ka grāmatvedībā ir jābūt skaidri nodalītām izmaksām darbībām, kam atbalsts šo darbību īstenošanai nav uzskatāms par komercdarbības atbalstu, no izmaksām saimnieciskai darbībai.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apakšpunktu: 46.10. "Īstenojot projektu finansējuma saņēmējs nodrošina, ka grāmatvedības uzskaitē ir skaidri nodalītas izmaksas darbībām, kuras netiek uzskatītas par komercdarbības atbalstu, no izmaksām, kas saistītas ar saimniecisko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Atbalsts šo noteikumu </w:t>
            </w:r>
            <w:r w:rsidR="00000000" w:rsidRPr="00000000" w:rsidDel="00000000">
              <w:rPr>
                <w:rtl w:val="0"/>
              </w:rPr>
              <w:t xml:space="preserve">13.2.</w:t>
            </w:r>
            <w:r w:rsidR="00000000" w:rsidRPr="00000000" w:rsidDel="00000000">
              <w:rPr>
                <w:rtl w:val="0"/>
              </w:rPr>
              <w:t xml:space="preserve"> un </w:t>
            </w:r>
            <w:r w:rsidR="00000000" w:rsidRPr="00000000" w:rsidDel="00000000">
              <w:rPr>
                <w:rtl w:val="0"/>
              </w:rPr>
              <w:t xml:space="preserve">13.3. </w:t>
            </w:r>
            <w:r w:rsidR="00000000" w:rsidRPr="00000000" w:rsidDel="00000000">
              <w:rPr>
                <w:rtl w:val="0"/>
              </w:rPr>
              <w:t xml:space="preserve">apakšpunktā</w:t>
            </w:r>
            <w:r w:rsidR="00000000" w:rsidRPr="00000000" w:rsidDel="00000000">
              <w:rPr>
                <w:rtl w:val="0"/>
              </w:rPr>
              <w:t xml:space="preserve"> norādīto darbību īstenošanai nav uzskatāms par komercdarbības atbalstu.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16.5.2. piestātnes jauna aprīkojuma un inženiertīklu izbūve;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noteikumu projektā nodrošinātu to, ka projekta ietvaros tiek attiecinātas tikai tās izmaksas, kas atbilst Komisijas regulas Nr. 651/2014 [1] 2. panta 157. punktā noteiktajai definīcijai, kā, arī, ievērojot Komisijas regulas Nr. 651/2014 56.b panta 3. punktā noteikto, lai  novērstu šaubas, ka projekta ietvaros tiek sniegts atbalsts Komisijas regulas Nr. 651/2014 2. panta 158. punktā minētajām ostas būvēm un aprīkojumam, lūdzam sniegt skaidrojumu anotācijā, kā arī pēc nepieciešamības precizēt noteikumu projekta punktus.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Eiropas Komisijas  2014.gada 17.jūnija Regula (ES) Nr. 651/2014, ar ko noteiktas atbalsta kategorijas atzīst par saderīgām ar iekšējo tirgu, piemērojot Līguma 107. un 108. pantu Dokuments attiecas uz EEZ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17.5.2. apakšpunktā minētās attiecināmās izmaksas piestātnes jauna aprīkojuma un inženiertīklu izbūvei nepieciešamas 13.1. apakšpunktā minētās atbalstāmās darbības – piestātņu atjaunošana vai pārbūve, pielāgojot divējāda lietojuma izmantošanas prasībām vai pagarinot ilgmūžību jau esošai divējāda lietojuma piestātņu infrastruktūrai – īstenošanai. Savukārt šo noteikumu 29.punktā noteikts, ka ostas infrastruktūra šo noteikumu 13.1. apakšpunktā norādītās darbības īstenošanai atbilst ostu infrastruktūras definīcijai atbilstoši regulas Nr. 651/2014 2. panta 157.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 sadaļā “Pašreizējā situācija, problēmas un risinājumi” papildināta ar rindkopu: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“Liepājas ostas piestātnes Nr. 46 pārbūve pilnībā atbilst Komisijas 2014. gada 17. jūnija regulas (ES) Nr. 651/2014 ar ko noteiktas atbalsta kategorijas atzīst par saderīgām ar iekšējo tirgu, piemērojot Līguma 107. un 108. pantu, 2.panta 157. punktā dotās definīcijas “ostas infrastruktūra” nosacījumiem, tā nav saistīta ar ostas un būvju (skatīt Komisijas 2014. gada 17. jūnija regulas (ES) Nr. 651/2014 2.panta 158. punktā doto definīciju) pārbūvi un ietver tikai tādas aktivitātes, kuras  attiecas tikai uz ar transportu saistītām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17.5.2. piestātnes jauna aprīkojuma un inženiertīklu izbūve;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w:t>
            </w:r>
            <w:r w:rsidR="00000000" w:rsidRPr="00000000" w:rsidDel="00000000">
              <w:rPr>
                <w:rtl w:val="0"/>
              </w:rPr>
              <w:t xml:space="preserve">16.1.</w:t>
            </w:r>
            <w:r w:rsidR="00000000" w:rsidRPr="00000000" w:rsidDel="00000000">
              <w:rPr>
                <w:rtl w:val="0"/>
              </w:rPr>
              <w:t xml:space="preserve"> un </w:t>
            </w:r>
            <w:r w:rsidR="00000000" w:rsidRPr="00000000" w:rsidDel="00000000">
              <w:rPr>
                <w:rtl w:val="0"/>
              </w:rPr>
              <w:t xml:space="preserve">16.10. </w:t>
            </w:r>
            <w:r w:rsidR="00000000" w:rsidRPr="00000000" w:rsidDel="00000000">
              <w:rPr>
                <w:rtl w:val="0"/>
              </w:rPr>
              <w:t xml:space="preserve">apakšpunktā</w:t>
            </w:r>
            <w:r w:rsidR="00000000" w:rsidRPr="00000000" w:rsidDel="00000000">
              <w:rPr>
                <w:rtl w:val="0"/>
              </w:rPr>
              <w:t xml:space="preserve"> minētās izmaksas ir attiecināmas, piemērojot</w:t>
            </w:r>
            <w:r w:rsidR="00000000" w:rsidRPr="00000000" w:rsidDel="00000000">
              <w:rPr>
                <w:i w:val="1"/>
                <w:rtl w:val="0"/>
              </w:rPr>
              <w:t xml:space="preserve"> de minimis</w:t>
            </w:r>
            <w:r w:rsidR="00000000" w:rsidRPr="00000000" w:rsidDel="00000000">
              <w:rPr>
                <w:rtl w:val="0"/>
              </w:rPr>
              <w:t xml:space="preserve"> atbalsta nosacījumus, ja tās radušās pirms projekta iesnieguma iesniegšanas vadības informācijas sistēmā šo noteikumu </w:t>
            </w:r>
            <w:r w:rsidR="00000000" w:rsidRPr="00000000" w:rsidDel="00000000">
              <w:rPr>
                <w:rtl w:val="0"/>
              </w:rPr>
              <w:t xml:space="preserve">12.1. </w:t>
            </w:r>
            <w:r w:rsidR="00000000" w:rsidRPr="00000000" w:rsidDel="00000000">
              <w:rPr>
                <w:rtl w:val="0"/>
              </w:rPr>
              <w:t xml:space="preserve">apakšpunktā</w:t>
            </w:r>
            <w:r w:rsidR="00000000" w:rsidRPr="00000000" w:rsidDel="00000000">
              <w:rPr>
                <w:rtl w:val="0"/>
              </w:rPr>
              <w:t xml:space="preserve"> minēto darbību īstenošanas nodrošināšanai un ir uzsāktas ne agrāk par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noteikto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komunikācijas un vizuālās identitātes pasākumu nodrošināšanas prasības nosaka Ministru kabineta 2023. gada 13. jūlija noteikumi Nr. 408 “Kārtība, kādā Eiropas Savienības fondu vadībā iesaistītās institūcijas nodrošina šo fondu ieviešanu 2021.–2027. gada plānošanas periodā”, lūdzam  noteikumu  projekta 16.10. apakšpunktā minētajām izmaksām komunikācijas un vizuālās identitātes pasākumu nodrošināšanai nepiemērot komercdarbības atbalsta regulējumu, attiecīgi precizējot noteikumu projektu un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skaidrojums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w:t>
            </w:r>
            <w:r w:rsidR="00000000" w:rsidRPr="00000000" w:rsidDel="00000000">
              <w:rPr>
                <w:rtl w:val="0"/>
              </w:rPr>
              <w:t xml:space="preserve">17.1. </w:t>
            </w:r>
            <w:r w:rsidR="00000000" w:rsidRPr="00000000" w:rsidDel="00000000">
              <w:rPr>
                <w:rtl w:val="0"/>
              </w:rPr>
              <w:t xml:space="preserve">apakšpunktā</w:t>
            </w:r>
            <w:r w:rsidR="00000000" w:rsidRPr="00000000" w:rsidDel="00000000">
              <w:rPr>
                <w:rtl w:val="0"/>
              </w:rPr>
              <w:t xml:space="preserve"> minētās izmaksas ir attiecināmas, piemērojot</w:t>
            </w:r>
            <w:r w:rsidR="00000000" w:rsidRPr="00000000" w:rsidDel="00000000">
              <w:rPr>
                <w:i w:val="1"/>
                <w:rtl w:val="0"/>
              </w:rPr>
              <w:t xml:space="preserve"> de minimis</w:t>
            </w:r>
            <w:r w:rsidR="00000000" w:rsidRPr="00000000" w:rsidDel="00000000">
              <w:rPr>
                <w:rtl w:val="0"/>
              </w:rPr>
              <w:t xml:space="preserve"> atbalsta nosacījumus, ja tās radušās pirms projekta iesnieguma iesniegšanas Kohēzijas politikas fondu vadības informācijas sistēmā šo noteikumu </w:t>
            </w:r>
            <w:r w:rsidR="00000000" w:rsidRPr="00000000" w:rsidDel="00000000">
              <w:rPr>
                <w:rtl w:val="0"/>
              </w:rPr>
              <w:t xml:space="preserve">13.1. </w:t>
            </w:r>
            <w:r w:rsidR="00000000" w:rsidRPr="00000000" w:rsidDel="00000000">
              <w:rPr>
                <w:rtl w:val="0"/>
              </w:rPr>
              <w:t xml:space="preserve">apakšpunktā</w:t>
            </w:r>
            <w:r w:rsidR="00000000" w:rsidRPr="00000000" w:rsidDel="00000000">
              <w:rPr>
                <w:rtl w:val="0"/>
              </w:rPr>
              <w:t xml:space="preserve"> minēto darbību īstenošanas nodrošināšanai un ir uzsāktas ne agrāk par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noteikto termiņu.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Projekta iesniedzējs nevar pretendēt uz atbalstu atbilstoši </w:t>
            </w:r>
            <w:r w:rsidR="00000000" w:rsidRPr="00000000" w:rsidDel="00000000">
              <w:rPr>
                <w:rtl w:val="0"/>
              </w:rPr>
              <w:t xml:space="preserve">regulas Nr. 651/2014</w:t>
            </w:r>
            <w:r w:rsidR="00000000" w:rsidRPr="00000000" w:rsidDel="00000000">
              <w:rPr>
                <w:rtl w:val="0"/>
              </w:rPr>
              <w:t xml:space="preserve"> 56.b pantam, ja tas atbilst grūtībās nonākuša komersanta statusam un uz to attiecas vismaz viens no </w:t>
            </w:r>
            <w:r w:rsidR="00000000" w:rsidRPr="00000000" w:rsidDel="00000000">
              <w:rPr>
                <w:rtl w:val="0"/>
              </w:rPr>
              <w:t xml:space="preserve">regulas Nr. 651/2014</w:t>
            </w:r>
            <w:r w:rsidR="00000000" w:rsidRPr="00000000" w:rsidDel="00000000">
              <w:rPr>
                <w:rtl w:val="0"/>
              </w:rPr>
              <w:t xml:space="preserve"> 2. panta 18. punktā minētajiem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25. un 26.punktā minētie kritēriji ir jāvērtē uzņēmuma grupas līmenī, lūdzam attiecīgi arī papildināt šos 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25. un 26.punkts papildināts atbilstoši iebildumam.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Projekta iesniedzējs nevar pretendēt uz atbalstu atbilstoši </w:t>
            </w:r>
            <w:r w:rsidR="00000000" w:rsidRPr="00000000" w:rsidDel="00000000">
              <w:rPr>
                <w:rtl w:val="0"/>
              </w:rPr>
              <w:t xml:space="preserve">regulas Nr. 651/2014</w:t>
            </w:r>
            <w:r w:rsidR="00000000" w:rsidRPr="00000000" w:rsidDel="00000000">
              <w:rPr>
                <w:rtl w:val="0"/>
              </w:rPr>
              <w:t xml:space="preserve"> 56.b pantam, ja tas atbilst grūtībās nonākuša komersanta statusam un uz to attiecas vismaz viens no </w:t>
            </w:r>
            <w:r w:rsidR="00000000" w:rsidRPr="00000000" w:rsidDel="00000000">
              <w:rPr>
                <w:rtl w:val="0"/>
              </w:rPr>
              <w:t xml:space="preserve">regulas Nr. 651/2014</w:t>
            </w:r>
            <w:r w:rsidR="00000000" w:rsidRPr="00000000" w:rsidDel="00000000">
              <w:rPr>
                <w:rtl w:val="0"/>
              </w:rPr>
              <w:t xml:space="preserve"> 2. panta 18. punktā minētajiem kritērijiem, ņemot vērā, ka projekta iesniedzējs tiek vērtēts uzņēmuma grupas līmenī.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Atbalsta saņemšanas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noteikumu projektā nodrošinātu Komisijas regulas Nr. 2023/2831 [1] 6. panta 3. un 7. punktā noteikto datu uzglabāšanas pienākuma prasības ievērošanu, lūdzam papildināt noteikumu projektu ar šiem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piedāvātās redakcijas piemēru zemāk.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Eiropas Komisijas 2023.gada 13.decembra Regula (ES) 2023/2831 par Līguma par Eiropas Savienības darbību 107. un 108. panta piemērošanu de minimis atbalstam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sniedzējs uzglabā visus ar </w:t>
            </w:r>
            <w:r w:rsidR="00000000" w:rsidRPr="00000000" w:rsidDel="00000000">
              <w:rPr>
                <w:i w:val="1"/>
                <w:rtl w:val="0"/>
              </w:rPr>
              <w:t xml:space="preserve">de minimis</w:t>
            </w:r>
            <w:r w:rsidR="00000000" w:rsidRPr="00000000" w:rsidDel="00000000">
              <w:rPr>
                <w:rtl w:val="0"/>
              </w:rPr>
              <w:t xml:space="preserve"> atbalsta piešķiršanu saistītos datus 10 (desmit) gadus, sākot no dienas, kurā saskaņā ar šiem noteikumiem noteikto piešķirts pēdējais </w:t>
            </w:r>
            <w:r w:rsidR="00000000" w:rsidRPr="00000000" w:rsidDel="00000000">
              <w:rPr>
                <w:i w:val="1"/>
                <w:rtl w:val="0"/>
              </w:rPr>
              <w:t xml:space="preserve">de minimis</w:t>
            </w:r>
            <w:r w:rsidR="00000000" w:rsidRPr="00000000" w:rsidDel="00000000">
              <w:rPr>
                <w:rtl w:val="0"/>
              </w:rPr>
              <w:t xml:space="preserve"> atbalsts. </w:t>
            </w:r>
            <w:r w:rsidR="00000000" w:rsidRPr="00000000" w:rsidDel="00000000">
              <w:rPr>
                <w:i w:val="1"/>
                <w:rtl w:val="0"/>
              </w:rPr>
              <w:t xml:space="preserve">De minimis</w:t>
            </w:r>
            <w:r w:rsidR="00000000" w:rsidRPr="00000000" w:rsidDel="00000000">
              <w:rPr>
                <w:rtl w:val="0"/>
              </w:rPr>
              <w:t xml:space="preserve"> atbalsta saņēmējs uzglabā visus ar </w:t>
            </w:r>
            <w:r w:rsidR="00000000" w:rsidRPr="00000000" w:rsidDel="00000000">
              <w:rPr>
                <w:i w:val="1"/>
                <w:rtl w:val="0"/>
              </w:rPr>
              <w:t xml:space="preserve">de minimis</w:t>
            </w:r>
            <w:r w:rsidR="00000000" w:rsidRPr="00000000" w:rsidDel="00000000">
              <w:rPr>
                <w:rtl w:val="0"/>
              </w:rPr>
              <w:t xml:space="preserve"> atbalsta piešķiršanu saistītos datus 10 (desmit) gadus no de minimis atbalsta piešķiršanas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atbilstoši piedāvātajai redakcijai.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Komercdarbības atbalsta saņemšanas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Atbalsta saņemšanas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V. sadaļu papildināt tā, lai skaidrs, kā tiks ievēroti Komisijas regulas Nr. 651/2014 56.[1] b panta 3. un 7.punkts. Ar attiecīgu skaidrojumu lūdzam papildināt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attiecībā uz Komisijas regulas Nr.651/2014 56.panta 7.punkta piemērošanu anotāciju arī papildināt ar skaidrojumu par komunikāciju ar Eiropas Komisiju lietas SA.116227 (2024/N) - </w:t>
            </w:r>
            <w:r w:rsidR="00000000" w:rsidRPr="00000000" w:rsidDel="00000000">
              <w:rPr>
                <w:i w:val="1"/>
                <w:rtl w:val="0"/>
              </w:rPr>
              <w:t xml:space="preserve">Providing of safe berthing of Ro-Ro ferries in the port of Liepaja / Applicability of Article 56b of the General Block Exemption Regulation </w:t>
            </w:r>
            <w:r w:rsidR="00000000" w:rsidRPr="00000000" w:rsidDel="00000000">
              <w:rPr>
                <w:rtl w:val="0"/>
              </w:rPr>
              <w:t xml:space="preserve">ietvaros (Eiropas Komisijas viedoklis Viedās administrācijas un reģionālās attīstības ministrijas un Liepājas speciālās ekonomiskās zonas  pārsūtīts ar Finanšu ministrijas2025.gada 27.marta vēstuli Nr. 7-2/18/957).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Eiropas Komisijas  2014.gada 17.jūnija Regula (ES) Nr. 651/2014, ar ko noteiktas atbalsta kategorijas atzīst par saderīgām ar iekšējo tirgu, piemērojot Līguma 107. un 108. pantu Dokuments attiecas uz EEZ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31.Atbalsts šo  noteikumu 13.1. apakšpunktā norādītās darbības īstenošanai tiek sniegts, ievērojot regulas Nr.651/2014 56.b panta 3.punktā un 7.punktā noteikto.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 sadaļa "Pašreizējā situācija, problēmas un risinājumi" papildināta ar rindkopu: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tiesības nomāt Liepājas ostas piestātni Nr. 46 1994. gadā ir piešķirtas sabiedrībai LSEZ SIA “Terrabalt” un esošais zemes, t.sk piestātnes Nr. 46,  nomas līgums ir spēkā līdz 2035. gada 31. decembrim, finansējuma saņēmējs nodrošinās, ka piestātnes Nr. 46 nomnieks par atbalstīto ostas infrastruktūru maksā tirgus apstākļiem atbilstošu cenu, ko apstiprina sertificēta nekustamo īpašumu vērtētāja atzinums, to pārskatot ne retāk kā vienu reizi piecu gadu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Komercdarbības atbalsta saņemšanas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Piemērojot </w:t>
            </w:r>
            <w:r w:rsidR="00000000" w:rsidRPr="00000000" w:rsidDel="00000000">
              <w:rPr>
                <w:rtl w:val="0"/>
              </w:rPr>
              <w:t xml:space="preserve">regulas Nr. 651/2014</w:t>
            </w:r>
            <w:r w:rsidR="00000000" w:rsidRPr="00000000" w:rsidDel="00000000">
              <w:rPr>
                <w:rtl w:val="0"/>
              </w:rPr>
              <w:t xml:space="preserve"> 56.b panta 5. punktu, komercdarbības atbalsta intensitāte </w:t>
            </w:r>
            <w:r w:rsidR="00000000" w:rsidRPr="00000000" w:rsidDel="00000000">
              <w:rPr>
                <w:rtl w:val="0"/>
              </w:rPr>
              <w:t xml:space="preserve">regulas Nr. 651/2014</w:t>
            </w:r>
            <w:r w:rsidR="00000000" w:rsidRPr="00000000" w:rsidDel="00000000">
              <w:rPr>
                <w:rtl w:val="0"/>
              </w:rPr>
              <w:t xml:space="preserve"> 56.b panta 5. punktā minētos attiecināmo izmaksu ierobežojumus un </w:t>
            </w:r>
            <w:r w:rsidR="00000000" w:rsidRPr="00000000" w:rsidDel="00000000">
              <w:rPr>
                <w:rtl w:val="0"/>
              </w:rPr>
              <w:t xml:space="preserve">regulas Nr. 651/2014</w:t>
            </w:r>
            <w:r w:rsidR="00000000" w:rsidRPr="00000000" w:rsidDel="00000000">
              <w:rPr>
                <w:rtl w:val="0"/>
              </w:rPr>
              <w:t xml:space="preserve"> 56.b panta 4. punktā minētos nosacījumus. Atbalsta intensitāte atbilst 2. panta 26. punktā noteiktajai definīcijai.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27.punktu, skaidri iekļaujot noteikumu projektā atbalsta apjoma un piemērojamās atbalsta intensitātes aprēķināšanas principus konkrētām attiecināmā izmaksām saskaņā ar regulas Nr. 651/2014 [1] 56.b panta 4. un 5.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Eiropas Komisijas  2014.gada 17.jūnija Regula (ES) Nr. 651/2014, ar ko noteiktas atbalsta kategorijas atzīst par saderīgām ar iekšējo tirgu, piemērojot Līguma 107. un 108. pantu Dokuments attiecas uz EEZ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28.punkts izteikts jaunā redakcijā (ar apakšpunktiem) atbilstoši iebildumam.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Piemērojot </w:t>
            </w:r>
            <w:r w:rsidR="00000000" w:rsidRPr="00000000" w:rsidDel="00000000">
              <w:rPr>
                <w:rtl w:val="0"/>
              </w:rPr>
              <w:t xml:space="preserve">regulas Nr. 651/2014</w:t>
            </w:r>
            <w:r w:rsidR="00000000" w:rsidRPr="00000000" w:rsidDel="00000000">
              <w:rPr>
                <w:rtl w:val="0"/>
              </w:rPr>
              <w:t xml:space="preserve">  56.b pantu šo noteikumu </w:t>
            </w:r>
            <w:r w:rsidR="00000000" w:rsidRPr="00000000" w:rsidDel="00000000">
              <w:rPr>
                <w:rtl w:val="0"/>
              </w:rPr>
              <w:t xml:space="preserve">13.1. </w:t>
            </w:r>
            <w:r w:rsidR="00000000" w:rsidRPr="00000000" w:rsidDel="00000000">
              <w:rPr>
                <w:rtl w:val="0"/>
              </w:rPr>
              <w:t xml:space="preserve">apakšpunktā</w:t>
            </w:r>
            <w:r w:rsidR="00000000" w:rsidRPr="00000000" w:rsidDel="00000000">
              <w:rPr>
                <w:rtl w:val="0"/>
              </w:rPr>
              <w:t xml:space="preserve"> minētās atbalstāmās darbības īstenošanai, komercdarbības atbalsta intensitāte atbilst </w:t>
            </w:r>
            <w:r w:rsidR="00000000" w:rsidRPr="00000000" w:rsidDel="00000000">
              <w:rPr>
                <w:rtl w:val="0"/>
              </w:rPr>
              <w:t xml:space="preserve">regulas Nr. 651/2014</w:t>
            </w:r>
            <w:r w:rsidR="00000000" w:rsidRPr="00000000" w:rsidDel="00000000">
              <w:rPr>
                <w:rtl w:val="0"/>
              </w:rPr>
              <w:t xml:space="preserve">  2. panta 26. punktā noteiktajai definīcijai, </w:t>
            </w:r>
            <w:r w:rsidR="00000000" w:rsidRPr="00000000" w:rsidDel="00000000">
              <w:rPr>
                <w:rtl w:val="0"/>
              </w:rPr>
              <w:t xml:space="preserve">regulas Nr. 651/2014</w:t>
            </w:r>
            <w:r w:rsidR="00000000" w:rsidRPr="00000000" w:rsidDel="00000000">
              <w:rPr>
                <w:rtl w:val="0"/>
              </w:rPr>
              <w:t xml:space="preserve"> 56.b panta 4. punktā minētajiem nosacījumiem un regulas </w:t>
            </w:r>
            <w:r w:rsidR="00000000" w:rsidRPr="00000000" w:rsidDel="00000000">
              <w:rPr>
                <w:rtl w:val="0"/>
              </w:rPr>
              <w:t xml:space="preserve">Nr. 651/2014 56.b</w:t>
            </w:r>
            <w:r w:rsidR="00000000" w:rsidRPr="00000000" w:rsidDel="00000000">
              <w:rPr>
                <w:rtl w:val="0"/>
              </w:rPr>
              <w:t xml:space="preserve"> panta 5.punkta b) sadaļā minētajiem attiecināmo izmaksu ierobežojumam - atbalsta intensitāte attiecībā uz katru ieguldījumu nepārsniedz 80 % no attiecināmām izmaksām.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Darbus šo noteikumu </w:t>
            </w:r>
            <w:r w:rsidR="00000000" w:rsidRPr="00000000" w:rsidDel="00000000">
              <w:rPr>
                <w:rtl w:val="0"/>
              </w:rPr>
              <w:t xml:space="preserve">12.1. </w:t>
            </w:r>
            <w:r w:rsidR="00000000" w:rsidRPr="00000000" w:rsidDel="00000000">
              <w:rPr>
                <w:rtl w:val="0"/>
              </w:rPr>
              <w:t xml:space="preserve">apakšpunktā</w:t>
            </w:r>
            <w:r w:rsidR="00000000" w:rsidRPr="00000000" w:rsidDel="00000000">
              <w:rPr>
                <w:rtl w:val="0"/>
              </w:rPr>
              <w:t xml:space="preserve"> norādītās darbības veikšanai var uzsākt pēc šo noteikumu </w:t>
            </w:r>
            <w:r w:rsidR="00000000" w:rsidRPr="00000000" w:rsidDel="00000000">
              <w:rPr>
                <w:rtl w:val="0"/>
              </w:rPr>
              <w:t xml:space="preserve">24. </w:t>
            </w:r>
            <w:r w:rsidR="00000000" w:rsidRPr="00000000" w:rsidDel="00000000">
              <w:rPr>
                <w:rtl w:val="0"/>
              </w:rPr>
              <w:t xml:space="preserve">punktā</w:t>
            </w:r>
            <w:r w:rsidR="00000000" w:rsidRPr="00000000" w:rsidDel="00000000">
              <w:rPr>
                <w:rtl w:val="0"/>
              </w:rPr>
              <w:t xml:space="preserve"> minētā projekta iesnieguma iesniegšanas atbilstoši </w:t>
            </w:r>
            <w:r w:rsidR="00000000" w:rsidRPr="00000000" w:rsidDel="00000000">
              <w:rPr>
                <w:rtl w:val="0"/>
              </w:rPr>
              <w:t xml:space="preserve">regulas Nr. 651/2014</w:t>
            </w:r>
            <w:r w:rsidR="00000000" w:rsidRPr="00000000" w:rsidDel="00000000">
              <w:rPr>
                <w:rtl w:val="0"/>
              </w:rPr>
              <w:t xml:space="preserve"> 6. pantam, ņemot vērā, ka </w:t>
            </w:r>
            <w:r w:rsidR="00000000" w:rsidRPr="00000000" w:rsidDel="00000000">
              <w:rPr>
                <w:rtl w:val="0"/>
              </w:rPr>
              <w:t xml:space="preserve">regulas Nr. 651/2014</w:t>
            </w:r>
            <w:r w:rsidR="00000000" w:rsidRPr="00000000" w:rsidDel="00000000">
              <w:rPr>
                <w:rtl w:val="0"/>
              </w:rPr>
              <w:t xml:space="preserve">  izpratnē par darbu sākumu ir uzskatāmas darbības, kas atbilst </w:t>
            </w:r>
            <w:r w:rsidR="00000000" w:rsidRPr="00000000" w:rsidDel="00000000">
              <w:rPr>
                <w:rtl w:val="0"/>
              </w:rPr>
              <w:t xml:space="preserve">regulas Nr. 651/2014</w:t>
            </w:r>
            <w:r w:rsidR="00000000" w:rsidRPr="00000000" w:rsidDel="00000000">
              <w:rPr>
                <w:rtl w:val="0"/>
              </w:rPr>
              <w:t xml:space="preserve"> 2. panta 23. punktā minētajiem nosacījumiem (ja darbu sākums ir pirms projekta iesnieguma iesniegšanas brīža, izmaksas nav attiecināmas).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gadījumā, ja darbi pie projekta ir sākti pirms projekta iesnieguma iesniegšanas, viss projekts ir noraidāms, lūdzam jautājumu skaidri atspoguļot Ministru kabineta noteikumu projekta redakcijā, tostarp, piemēram, vārdus "izmaksas nav attiecināmas" aizstāt ar vārdiem "viss projekts ir noraidāms".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anotācijā skaidrot, vai praksē attiecībā uz plānoto Liepājas speciālās ekonomiskās zonas projektu tiks nodrošināta stimulējošās ietekmes nosacījuma izpilde (atbilstoši definīcijai), ja, piemēram, projekts šādā apmērā ir bijis iesniegts jau kādam citam atbalsta sniedzējam un attiecīgi daļa no atbalsta par konkrētiem darbiem piešķirta (ja piešķirta) un projekts uzsākts (ja uzsākts). Lūdzam arī skatīt par šo aspektu komunikāciju Eiropas Komisiju lietas </w:t>
            </w:r>
            <w:r w:rsidR="00000000" w:rsidRPr="00000000" w:rsidDel="00000000">
              <w:rPr>
                <w:i w:val="1"/>
                <w:rtl w:val="0"/>
              </w:rPr>
              <w:t xml:space="preserve">SA.116227 (2024/N) - Providing of safe berthing of Ro-Ro ferries in the port of Liepaja / Applicability of Article 56b of the General Block Exemption Regulation</w:t>
            </w:r>
            <w:r w:rsidR="00000000" w:rsidRPr="00000000" w:rsidDel="00000000">
              <w:rPr>
                <w:rtl w:val="0"/>
              </w:rPr>
              <w:t xml:space="preserve"> ietvaros (Eiropas Komisijas viedoklis Viedās administrācijas un reģionālās attīstības ministrias un Liepājas speciālās ekonomiskās zonas pārsūtīts ar Finanšu ministrijas 2025.gada 27.marta vēstuli Nr. 7-2/18/957).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 atbilstoši iebildumam.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1.3.sadaļa " Pašreizējā situācija, problēmas un risinājumi" papildināta ar rindkopu: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“Ro-Ro prāmju drošas pietauvošanās nodrošināšana Liepājas ostā” (projekta akronīms 22-LV-TG-LPXRORO) tiek daļēji finansēts CEF2027 programmas ietvaros (tēmas ID - CEF-T-2022-COMPGEN-MARP-WORKS, projekta Nr.101122785). Eiropas infrastruktūras savienošanas instrumenta ieguldījums sedz 30% no projekta attiecināmajām izmaksām 6 927 015 EUR. Projekta īstenošana bez papildus atbalsta saņemšanas nevar tikt veikta, kas pamato, ka piešķirtajam atbalstam  piemīt stimulējoša ietekme. Turpinot projekta “Ro-Ro prāmju drošas pietauvošanās nodrošināšana Liepājas ostā” īstenošanu, lai saņemtu Pasākuma ietvaros piešķirto finansējumu, finansējuma saņēmējs nodrošinās, ka līgums par Liepājas ostas piestātnes Nr. 46 pārbūves būvdarbu veikšanu tiek noslēgts pēc projekta iesnieguma par publiskā finansējuma saņemšanu iesniegšanas. Finansējuma saņēmējs nodrošinās, ka kopējais projekta īstenošanai piešķirtais publiskā finansējuma apjoms kumulatīvi nepārsniedz projekta īstenošanai maksimāli atļauto publiskā finansējuma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Darbus šo noteikumu </w:t>
            </w:r>
            <w:r w:rsidR="00000000" w:rsidRPr="00000000" w:rsidDel="00000000">
              <w:rPr>
                <w:rtl w:val="0"/>
              </w:rPr>
              <w:t xml:space="preserve">13.1. </w:t>
            </w:r>
            <w:r w:rsidR="00000000" w:rsidRPr="00000000" w:rsidDel="00000000">
              <w:rPr>
                <w:rtl w:val="0"/>
              </w:rPr>
              <w:t xml:space="preserve">apakšpunktā</w:t>
            </w:r>
            <w:r w:rsidR="00000000" w:rsidRPr="00000000" w:rsidDel="00000000">
              <w:rPr>
                <w:rtl w:val="0"/>
              </w:rPr>
              <w:t xml:space="preserve"> norādītās darbības veikšanai var uzsākt pēc šo noteikumu </w:t>
            </w:r>
            <w:r w:rsidR="00000000" w:rsidRPr="00000000" w:rsidDel="00000000">
              <w:rPr>
                <w:rtl w:val="0"/>
              </w:rPr>
              <w:t xml:space="preserve">25. </w:t>
            </w:r>
            <w:r w:rsidR="00000000" w:rsidRPr="00000000" w:rsidDel="00000000">
              <w:rPr>
                <w:rtl w:val="0"/>
              </w:rPr>
              <w:t xml:space="preserve">punktā</w:t>
            </w:r>
            <w:r w:rsidR="00000000" w:rsidRPr="00000000" w:rsidDel="00000000">
              <w:rPr>
                <w:rtl w:val="0"/>
              </w:rPr>
              <w:t xml:space="preserve"> minētā projekta iesnieguma iesniegšanas atbilstoši </w:t>
            </w:r>
            <w:r w:rsidR="00000000" w:rsidRPr="00000000" w:rsidDel="00000000">
              <w:rPr>
                <w:rtl w:val="0"/>
              </w:rPr>
              <w:t xml:space="preserve">regulas Nr. 651/2014</w:t>
            </w:r>
            <w:r w:rsidR="00000000" w:rsidRPr="00000000" w:rsidDel="00000000">
              <w:rPr>
                <w:rtl w:val="0"/>
              </w:rPr>
              <w:t xml:space="preserve"> 6. pantam, ņemot vērā, ka </w:t>
            </w:r>
            <w:r w:rsidR="00000000" w:rsidRPr="00000000" w:rsidDel="00000000">
              <w:rPr>
                <w:rtl w:val="0"/>
              </w:rPr>
              <w:t xml:space="preserve">regulas Nr. 651/2014</w:t>
            </w:r>
            <w:r w:rsidR="00000000" w:rsidRPr="00000000" w:rsidDel="00000000">
              <w:rPr>
                <w:rtl w:val="0"/>
              </w:rPr>
              <w:t xml:space="preserve">  izpratnē par darbu sākumu ir uzskatāmas darbības, kas atbilst </w:t>
            </w:r>
            <w:r w:rsidR="00000000" w:rsidRPr="00000000" w:rsidDel="00000000">
              <w:rPr>
                <w:rtl w:val="0"/>
              </w:rPr>
              <w:t xml:space="preserve">regulas Nr. 651/2014</w:t>
            </w:r>
            <w:r w:rsidR="00000000" w:rsidRPr="00000000" w:rsidDel="00000000">
              <w:rPr>
                <w:rtl w:val="0"/>
              </w:rPr>
              <w:t xml:space="preserve"> 2. panta 23. punktā minētajiem nosacījumiem (ja darbu sākums ir pirms projekta iesnieguma iesniegšanas brīža, projekts ir noraidāms).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39.2. jauna finanšu atbalsta piešķiršanas pārbauda, vai plānotais </w:t>
            </w:r>
            <w:r w:rsidR="00000000" w:rsidRPr="00000000" w:rsidDel="00000000">
              <w:rPr>
                <w:i w:val="1"/>
                <w:rtl w:val="0"/>
              </w:rPr>
              <w:t xml:space="preserve">de minimis </w:t>
            </w:r>
            <w:r w:rsidR="00000000" w:rsidRPr="00000000" w:rsidDel="00000000">
              <w:rPr>
                <w:rtl w:val="0"/>
              </w:rPr>
              <w:t xml:space="preserve">atbalsts kopā ar iepriekšējos trijos gados, skaitot no atbalsta piešķiršanas dienas, piešķirto </w:t>
            </w:r>
            <w:r w:rsidR="00000000" w:rsidRPr="00000000" w:rsidDel="00000000">
              <w:rPr>
                <w:i w:val="1"/>
                <w:rtl w:val="0"/>
              </w:rPr>
              <w:t xml:space="preserve">de minimis</w:t>
            </w:r>
            <w:r w:rsidR="00000000" w:rsidRPr="00000000" w:rsidDel="00000000">
              <w:rPr>
                <w:rtl w:val="0"/>
              </w:rPr>
              <w:t xml:space="preserve"> atbalstu viena vienota uzņēmuma līmenī nepārsniedz </w:t>
            </w:r>
            <w:r w:rsidR="00000000" w:rsidRPr="00000000" w:rsidDel="00000000">
              <w:rPr>
                <w:rtl w:val="0"/>
              </w:rPr>
              <w:t xml:space="preserve">regulas Nr. 2023/2831</w:t>
            </w:r>
            <w:r w:rsidR="00000000" w:rsidRPr="00000000" w:rsidDel="00000000">
              <w:rPr>
                <w:rtl w:val="0"/>
              </w:rPr>
              <w:t xml:space="preserve"> 3. panta 2. punktā noteikto maksimālo </w:t>
            </w:r>
            <w:r w:rsidR="00000000" w:rsidRPr="00000000" w:rsidDel="00000000">
              <w:rPr>
                <w:i w:val="1"/>
                <w:rtl w:val="0"/>
              </w:rPr>
              <w:t xml:space="preserve">de minimis</w:t>
            </w:r>
            <w:r w:rsidR="00000000" w:rsidRPr="00000000" w:rsidDel="00000000">
              <w:rPr>
                <w:rtl w:val="0"/>
              </w:rPr>
              <w:t xml:space="preserve"> atbalsta apmēru. Viens vienots uzņēmums ir uzņēmums, kas atbilst </w:t>
            </w:r>
            <w:r w:rsidR="00000000" w:rsidRPr="00000000" w:rsidDel="00000000">
              <w:rPr>
                <w:rtl w:val="0"/>
              </w:rPr>
              <w:t xml:space="preserve">regulas Nr. 2023/2831</w:t>
            </w:r>
            <w:r w:rsidR="00000000" w:rsidRPr="00000000" w:rsidDel="00000000">
              <w:rPr>
                <w:rtl w:val="0"/>
              </w:rPr>
              <w:t xml:space="preserve"> 2. panta 2.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projekta 39. punktā minētie nosacījumi attiecas uz atbalstu, kas ir de minimis atbalsts, nevis kāds cits finanšu atbalsts, lūdzam precizēt noteikumu projekta 39.2. apakšpunkta pirmo teikuma daļu, piemēram, piedāvātajā redakcijā: "piešķirot de minimis atbalstu, atbalsta sniedzējs pārbauda, vai...".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 atbilstoši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piešķirot </w:t>
            </w:r>
            <w:r w:rsidR="00000000" w:rsidRPr="00000000" w:rsidDel="00000000">
              <w:rPr>
                <w:i w:val="1"/>
                <w:rtl w:val="0"/>
              </w:rPr>
              <w:t xml:space="preserve">de minimis</w:t>
            </w:r>
            <w:r w:rsidR="00000000" w:rsidRPr="00000000" w:rsidDel="00000000">
              <w:rPr>
                <w:rtl w:val="0"/>
              </w:rPr>
              <w:t xml:space="preserve"> atbalstu, atbalsta sniedzējs pārbauda, vai plānotais </w:t>
            </w:r>
            <w:r w:rsidR="00000000" w:rsidRPr="00000000" w:rsidDel="00000000">
              <w:rPr>
                <w:i w:val="1"/>
                <w:rtl w:val="0"/>
              </w:rPr>
              <w:t xml:space="preserve">de minimis </w:t>
            </w:r>
            <w:r w:rsidR="00000000" w:rsidRPr="00000000" w:rsidDel="00000000">
              <w:rPr>
                <w:rtl w:val="0"/>
              </w:rPr>
              <w:t xml:space="preserve">atbalsts kopā ar iepriekšējos trijos gados, skaitot no atbalsta piešķiršanas dienas, piešķirto </w:t>
            </w:r>
            <w:r w:rsidR="00000000" w:rsidRPr="00000000" w:rsidDel="00000000">
              <w:rPr>
                <w:i w:val="1"/>
                <w:rtl w:val="0"/>
              </w:rPr>
              <w:t xml:space="preserve">de minimis</w:t>
            </w:r>
            <w:r w:rsidR="00000000" w:rsidRPr="00000000" w:rsidDel="00000000">
              <w:rPr>
                <w:rtl w:val="0"/>
              </w:rPr>
              <w:t xml:space="preserve"> atbalstu viena vienota uzņēmuma līmenī nepārsniedz </w:t>
            </w:r>
            <w:r w:rsidR="00000000" w:rsidRPr="00000000" w:rsidDel="00000000">
              <w:rPr>
                <w:rtl w:val="0"/>
              </w:rPr>
              <w:t xml:space="preserve">regulas Nr. 2023/2831</w:t>
            </w:r>
            <w:r w:rsidR="00000000" w:rsidRPr="00000000" w:rsidDel="00000000">
              <w:rPr>
                <w:rtl w:val="0"/>
              </w:rPr>
              <w:t xml:space="preserve"> 3. panta 2. punktā noteikto maksimālo </w:t>
            </w:r>
            <w:r w:rsidR="00000000" w:rsidRPr="00000000" w:rsidDel="00000000">
              <w:rPr>
                <w:i w:val="1"/>
                <w:rtl w:val="0"/>
              </w:rPr>
              <w:t xml:space="preserve">de minimis</w:t>
            </w:r>
            <w:r w:rsidR="00000000" w:rsidRPr="00000000" w:rsidDel="00000000">
              <w:rPr>
                <w:rtl w:val="0"/>
              </w:rPr>
              <w:t xml:space="preserve"> atbalsta apmēru. Viens vienots uzņēmums ir uzņēmums, kas atbilst </w:t>
            </w:r>
            <w:r w:rsidR="00000000" w:rsidRPr="00000000" w:rsidDel="00000000">
              <w:rPr>
                <w:rtl w:val="0"/>
              </w:rPr>
              <w:t xml:space="preserve">regulas Nr. 2023/2831</w:t>
            </w:r>
            <w:r w:rsidR="00000000" w:rsidRPr="00000000" w:rsidDel="00000000">
              <w:rPr>
                <w:rtl w:val="0"/>
              </w:rPr>
              <w:t xml:space="preserve"> 2. panta 2. punktam;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Ja komercdarbības atbalstu sniedz saskaņā ar </w:t>
            </w:r>
            <w:r w:rsidR="00000000" w:rsidRPr="00000000" w:rsidDel="00000000">
              <w:rPr>
                <w:rtl w:val="0"/>
              </w:rPr>
              <w:t xml:space="preserve">regulas Nr. 651/2014</w:t>
            </w:r>
            <w:r w:rsidR="00000000" w:rsidRPr="00000000" w:rsidDel="00000000">
              <w:rPr>
                <w:rtl w:val="0"/>
              </w:rPr>
              <w:t xml:space="preserve"> 56.b pantu, sadarbības iestāde nodrošina projekta uzraudzību projekta dzīves ciklā.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viennozīmīgi būtu skaidrs, ka projekta uzraudzība ir jānodrošina ieguldījumu amortizācijas periodā, lūdzam noteikumu projekta 44.punktā vārdus "projekta dzīves ciklā" aizstāt ar vārdiem "ieguldījumu amortizācijas periodā", vai arī iekļaut anotācijā skaidrojumu, kas jāsaprot ar projekta dzīves ciklu. Vienlaikus lūdzam noteikumu projektu papildināt ar normu, ka ieguldījumu amortizācijas periodā ir jānodrošina arī infrastruktūras, kam netiek piešķirts komercdarbības atbalsts, uzraudzība.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 atbilstoši iebildumam. Noteikumu projekts papildināts ar 48.punktu.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anotācijā sniegto informāciju, ne tikai par atbilstību īstenošanas regulas (ES) 2021/1328 [1] nosacījumiem, bet arī prasībām, kuras iekļautas ReArm regulā (ES) 2025/1914 [2] attiecībā uz ieguldījumiem militārajā mobilitātē, t.sk. regulā (ES) 2021/1153 [3] noteiktajām prasībām divejāda lietojuma infrastruktūrai, t.i. skaidrot kā tiks nodrošināts, ka projekti atbildīs minētajām prasībām, nepieciešamības gadījumā papildinot noteikumu projektu ar attiecīgiem nosacījumiem vai projektu iesniegumu vērtēšanas kritērijus ar attiecīgiem specifiskās atbilstības kritērijiem. Citos gadījumos divējāda lietojuma infrastruktūrai regulējums (piemēram, investīcijas Sēlijas poligona pievedceļam) paredz Aizsardzības ministrijas atzinumu par atbilstību tehniskajām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Eiropas Komisijas 2021.gada 10.augusta īstenošanas regula (ES) 2021/1328, ar ko saskaņā ar Eiropas Parlamenta un Padomes Regulu (ES) 2021/1153 precizē infrastruktūras prasības, kas piemērojamas konkrētām divējāda lietojuma infrastruktūras darbību kategorijām</w:t>
            </w:r>
            <w:r w:rsidR="00000000" w:rsidRPr="00000000" w:rsidDel="00000000">
              <w:rPr>
                <w:i w:val="1"/>
                <w:rtl w:val="0"/>
              </w:rPr>
              <w:t xml:space="preserve">[2] Eiropas Parlamenta un Padomes 2025.gada 18.sepbemra regula (ES) 2025/1914, ar ko groza Regulas (ES) 2021/1058 un (ES) 2021/1056 attiecībā uz īpašiem pasākumiem stratēģisku problēmu risināšanai vidusposma pārskatīšanas kontekstā</w:t>
            </w:r>
            <w:r w:rsidR="00000000" w:rsidRPr="00000000" w:rsidDel="00000000">
              <w:rPr>
                <w:i w:val="1"/>
                <w:rtl w:val="0"/>
              </w:rPr>
              <w:t xml:space="preserve">[3] Eiropas Parlamenta un Padomes 2021.gada 7.jūlija regula (ES)  2021/1153 ar ko izveido Eiropas infrastruktūras savienošanas instrumentu un atceļ Regulas (ES) Nr. 1316/2013 un (ES) Nr. 283/2014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ar rindkopu: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"Projekti tiek īstenoti ar mērķi nodrošināt ostu publiskās infrastruktūras atbilstību Komisijas Īstenošanas regulas (ES) 2021/1328 (2021. gada 5. augusts), ar ko nosaka militārās mobilitātes infrastruktūras projektu piemērojamās prasības, kas vajadzīgas, lai atvieglotu civilās infrastruktūras pielāgošanu militārām vajadzībām, prasībām, vienlaikus izpildot nosacījumu, ka tie atbilst Eiropas Parlamenta un Padomes 2021.gada 7.jūlija regulas (ES)  2021/1153, ar ko izveido Eiropas infrastruktūras savienošanas instrumentu un atceļ Regulas (ES) Nr. 1316/2013 un (ES) Nr. 283/2014 2. pantā dotajai divējāda lietojuma infrastruktūras definīcijai. Atbilstoši Eiropas Parlamenta un Padomes 2025. gada 18. septembra regulas (ES) 2025/1914, ar ko groza Regulas (ES) 2021/1058 un (ES) 2021/1056 attiecībā uz īpašiem pasākumiem stratēģisku problēmu risināšanai vidusposma pārskatīšanas kontekstā 1. pantā noteiktajam projektu īstenošana veicinās noturīgas aizsardzības infrastruktūras attīstību, prioritāti piešķirot divējāda lietojuma infrastruktūrai, tostarp nolūkā veicināt militāro mobilitāti 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13.punkts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īstenošanā  atbalstāmas ir šādas darbības, kas vērstas uz Komisijas 2021. gada 10. augusta Īstenošanas regulā (ES) 2021/1328, ar ko saskaņā ar Eiropas Parlamenta un Padomes Regulu (ES) 2021/1153 precizē infrastruktūras prasības, kas piemērojamas konkrētām divējāda lietojuma infrastruktūras darbību kategorijām, noteikto prasību īstenošanu, vienlaikus izpildot nosacījumu, ka tie atbilst Eiropas Parlamenta un Padomes 2021.gada 7.jūlija regulas (ES)  2021/1153, ar ko izveido Eiropas infrastruktūras savienošanas instrumentu un atceļ Regulas (ES) Nr. 1316/2013 un (ES) Nr. 283/2014 2. pantā dotajai divējāda lietojuma infrastruktūras definīcijai un Eiropas Parlamenta un Padomes 2025. gada 18. septembra regulas (ES) 2025/1914, ar ko groza Regulas (ES) 2021/1058 un (ES) 2021/1056 attiecībā uz īpašiem pasākumiem stratēģisku problēmu risināšanai vidusposma pārskatīšanas kontekstā 1. pantā noteiktajam par noturīgas aizsardzības infrastruktūras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13.1.piestātņu atjaunošana vai pārbūve, pielāgojot divējāda lietojuma izmantošanas prasībām vai pagarinot ilgmūžību jau esošai divējāda lietojuma piestātņu infrastruktūrai;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13.2.tiltu konstrukciju atjaunošana, tiltu vadības sistēmu atjaunošana un modernizācija, nodrošinot tiltu funkcionalitāti atbilstoši divējāda lietojuma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13.3.pasākumi kuģošanas drošības uzlabošanai, nodrošinot ostu nepārtrauktu darbību un infrastruktūras efektīvu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2023. gada 13. jūlija noteikumu Nr. 408 “Kārtība, kādā Eiropas Savienības fondu vadībā iesaistītās institūcijas nodrošina šo fondu ieviešanu 2021.–2027. gada plānošanas periodā” 16. punktu, kas paredz, ka atbildīgā iestāde normatīvajā aktā par specifiskā atbalsta mērķa īstenošanu var noteikt, ka ierobežotā projektu iesniegumu atlasē tiek piemēroti tikai vienotie atlases un izvēles kritēriji, noetikumu projekts papildināts ar 10.punktu: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2023. gada 13. jūlija noteikumu Nr.408 "Kārtība, kādā Eiropas Savienības fondu vadībā iesaistītās institūcijas nodrošina šo fondu ieviešanu 2021.–2027. gada plānošanas periodā" 16.punktā noteiktajam  Pasākuma ietvaros projektu iesniegumu atlases procedūrā tiek piemēroti tikai vienotie kritēriji un vienotie izvēles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vērtēšanā netiek izvirzīti specifiskie atbilstības kritēriji, bet projektu iesniegumu atlases nolikumā tiek iekļauta norma, ka, balstoties uz projekta iesnieguma veidlapā sniegto informāciju, projektu iesniegumu vērtēšanas procesā tiek pārbaudīts, vai plānotie ieguldījumi atblist MK noteikumos par pasākuma īstenošanu noteiktajam, tādējādi nodrošinot, ka projektos paredzētās darbības atbilst regulās noteiktajam.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5.4.punkta 1. tabulu ar informāciju, ka Satiksmes ministrija 20 darba dienu laikā no noteikumu projekta spēkā stāšanās, izmantojot SANI2 sistēmu, iesniegs Eiropas Komisijai kopsavilkuma informāciju par pasākumu.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5.4.punkta 1. tabula papildināta atbilstoši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Pasākuma īstenošanā ir atbalstāmas ir šādas darbības, kas vērstas uz </w:t>
            </w:r>
            <w:r w:rsidR="00000000" w:rsidRPr="00000000" w:rsidDel="00000000">
              <w:rPr>
                <w:rtl w:val="0"/>
              </w:rPr>
              <w:t xml:space="preserve">Komisijas 2021. gada 10. augusta Īstenošanas regulā (ES) 2021/1328, ar ko saskaņā ar Eiropas Parlamenta un Padomes Regulu (ES) 2021/1153 precizē infrastruktūras prasības, kas piemērojamas konkrētām divējāda lietojuma infrastruktūras darbību kategorijām</w:t>
            </w:r>
            <w:r w:rsidR="00000000" w:rsidRPr="00000000" w:rsidDel="00000000">
              <w:rPr>
                <w:rtl w:val="0"/>
              </w:rPr>
              <w:t xml:space="preserve">, noteikto prasību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- 28.10.2025.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(turpmāk - AM) vērš uzmanību, ka Eiropas Īstenošanas Regula (ES) 2021/1328 (turpmāk – ES Regula) definē konkrētus kritērijus, kas jāizpilda, lai nodrošinātu infrastruktūras pielāgošanu divējādai pielietojamībai.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ostām un specifiski to dziļumiem un garumiem, regula nosaka šādus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"Uzņemamo kuģu iegrime - Vismaz 12 m pie vidējā zemākā ūdens līmeņa.</w:t>
            </w:r>
            <w:r w:rsidR="00000000" w:rsidRPr="00000000" w:rsidDel="00000000">
              <w:rPr>
                <w:i w:val="1"/>
                <w:rtl w:val="0"/>
              </w:rPr>
              <w:t xml:space="preserve">Ostas dziļums - Vismaz 12 m, ieteicams 14 m, lai nodrošinātu 2 m dziļuma rezervi. Katrā dalībvalstī jānosaka, kur būtu pietiekams 12 m ostas dziļums. Ostās bez plūdmaiņu ietekmes varētu pietikt ar 1 m dziļuma rezervi.</w:t>
            </w:r>
            <w:r w:rsidR="00000000" w:rsidRPr="00000000" w:rsidDel="00000000">
              <w:rPr>
                <w:i w:val="1"/>
                <w:rtl w:val="0"/>
              </w:rPr>
              <w:t xml:space="preserve">Pietauvošanās vietas garums - Vismaz 310 m un līdz 340 m vienam kuģim.</w:t>
            </w:r>
            <w:r w:rsidR="00000000" w:rsidRPr="00000000" w:rsidDel="00000000">
              <w:rPr>
                <w:i w:val="1"/>
                <w:rtl w:val="0"/>
              </w:rPr>
              <w:t xml:space="preserve">Ostas pietauvošanās vietas platums - Vismaz 32 m. Lielu/vidēju kuģu kategorijai pietauvošanās vietā.</w:t>
            </w:r>
            <w:r w:rsidR="00000000" w:rsidRPr="00000000" w:rsidDel="00000000">
              <w:rPr>
                <w:i w:val="1"/>
                <w:rtl w:val="0"/>
              </w:rPr>
              <w:t xml:space="preserve">Pietauvošanās vietas dziļums - Vismaz 12 m, ieteicams 14 m. Katrā dalībvalstī jānosaka, kur būtu pietiekams 12 m pietauvošanās vietas dziļums. Nepieciešams lielu kuģu kategorijai un ļoti lieliem Ro-Ro kuģiem."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tiltiem ir šādas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"Tiltu šķērsošanas bruto masas - 130 t. 130 t neattiecas uz tādu transportlīdzekļu brīvu pārvietošanos, kuru bruto masa ir 130 t. Šī divējāda lietojuma prasība attiecas uz tiltu spēju neregulāri izturēt virssvara militāro aktīvu pārvietošanos vai transportēšanu. Šādiem neregulāriem (gan militāriem, gan civiliem) pārvadājumiem, visticamāk, ir vajadzīgas īpašas atļaujas vai atbrīvojumi un atbilstīgi ietekmes mazināšanas pasākumi, ko izņēmuma kārtā nosaka dalībvalstis. Tiltiem jāspēj izturēt bruto masu 130 t ar maksimālo assslodzi 12,23 t/ass (Direktīva 96/53/EK atļauj līdz 11,5 t/ass, izņemot Franciju, kur atļautā slodze ir 13 t/ass). Apstākļos, kad viena atsevišķa transportlīdzekļa masa ir130 t, būs jānodrošina, ka ir tikuši piemēroti atbilstīgi ietekmes mazināšanas pasākumi, piemēram, ātrums, attālums līdz citiem transportlīdzekļiem, un ka vajadzības gadījumā tiek noteikts, ka tiltu drīkst izmantot tikai vienas plūsmas satiksmei. Ceļu tilti ir konstruēti tā, lai tie izturētu pilnībā piekrautus transportlīdzekļus visā to garumā katrā joslā. Tāpēc, ja tilts vienlaikus var izturēt vairākus kravas automobiļus, kas katrs sver 44 t, tam vajadzētu būt spējīgam neregulāri izturēt kopējo bruto masu 130 t, ja tiek nodrošināti attiecīgi ietekmes mazināšanas pasākumi, piemēram, ātrums, attālums starp transportlīdzekļiem un attālums starp transportlīdzekļa asīm."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AM lūdz Satiksmes ministrijai (turpmāk - SM) papildināt noteikumu 12.1.-12.13. punktus ar atbilstošiem ES Regulas kritērijiem, kurus projekta īstenotājiem būtu jāīsteno.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anotācijā norādītie Liepājas piestātnes nr. 46 pārbūves parametri – “pēc pārbūves piestātne nodrošinās vienlaicīgu divu prāmju ar garumu līdz 240 metriem un </w:t>
            </w:r>
            <w:r w:rsidR="00000000" w:rsidRPr="00000000" w:rsidDel="00000000">
              <w:rPr>
                <w:b w:val="1"/>
                <w:rtl w:val="0"/>
              </w:rPr>
              <w:t xml:space="preserve">iegrimi līdz 11 metriem</w:t>
            </w:r>
            <w:r w:rsidR="00000000" w:rsidRPr="00000000" w:rsidDel="00000000">
              <w:rPr>
                <w:rtl w:val="0"/>
              </w:rPr>
              <w:t xml:space="preserve"> drošu apkalpošanu, </w:t>
            </w:r>
            <w:r w:rsidR="00000000" w:rsidRPr="00000000" w:rsidDel="00000000">
              <w:rPr>
                <w:b w:val="1"/>
                <w:rtl w:val="0"/>
              </w:rPr>
              <w:t xml:space="preserve">kā arī militāro kuģu līdz 290 metru garumā uzņemšanu</w:t>
            </w:r>
            <w:r w:rsidR="00000000" w:rsidRPr="00000000" w:rsidDel="00000000">
              <w:rPr>
                <w:rtl w:val="0"/>
              </w:rPr>
              <w:t xml:space="preserve">” – nerada pārliecību par atbilstību ES Regulai, kur iegrimei ir jābūt vismaz 12 m un garumam vismaz 310 m. AM lūdz precizēt, kāds ir SM skatījums attiecībā uz norādīto parametru atbilstību ES Regulai.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anotācijā precizēt informāciju par iecerēto kravnesību atjaunojamajiem Ventspils brīvostas pievedceļa tiltiem.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 ir svarīgi, ka militārās mobilitātes veicināšanai izmantojamais finansējums tiek izlietots korekti, īstenojot ES Regulā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ņemt vērā, ka aizsardzības budžetā nav paredzēts finansējums minēto projektu līdzfinansēšanai.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skaidrojot, ka projektu iesniegumu atbilstības pārbaude notiks projektu iesniegumu atlases procesā, kad tiks pārbaudīts, vai projektu iesniegumos paredzētie ieguldījumi  atbilst noteikumu projekta 13. punktā noteiktajam, ka atbalstāmas ir tikai tādas darbības, kas vērstas uz Komisijas 2021. gada 10. augusta Īstenošanas regulā (ES) 2021/1328, ar ko saskaņā ar Eiropas Parlamenta un Padomes Regulu (ES) 2021/1153 precizē infrastruktūras prasības, kas piemērojamas konkrētām divējāda lietojuma infrastruktūras darbību kategorijām, noteikto prasību īstenošanu, vienlaikus izpildot nosacījumu, ka tie atbilst Eiropas Parlamenta un Padomes 2021.gada 7.jūlija regulas (ES)  2021/1153, ar ko izveido Eiropas infrastruktūras savienošanas instrumentu un atceļ Regulas (ES) Nr. 1316/2013 un (ES) Nr. 283/2014 2. pantā dotajai divējāda lietojuma infrastruktūras definīcijai un Eiropas Parlamenta un Padomes 2025. gada 18. septembra regulas (ES) 2025/1914, ar ko groza Regulas (ES) 2021/1058 un (ES) 2021/1056 attiecībā uz īpašiem pasākumiem stratēģisku problēmu risināšanai vidusposma pārskatīšanas kontekstā 1. pantā noteiktajam par noturīgas aizsardzības infrastruktūras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vērtēšanas nolikumā tiks noteikta prasība par to, ka projektu iesniegumu veidlapā detalizēti norādāma informācija par par atbilstību augstāk minēto ES regulu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regulas ir tieši piemērojamas visās dalībvalstīs, tāpēc to normu atkārtošana nacionālajos normatīvajos aktos nav nepieciešama.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Pasākuma īstenošanā  atbalstāmas ir šādas darbības, kas vērstas uz </w:t>
            </w:r>
            <w:r w:rsidR="00000000" w:rsidRPr="00000000" w:rsidDel="00000000">
              <w:rPr>
                <w:rtl w:val="0"/>
              </w:rPr>
              <w:t xml:space="preserve">Komisijas 2021. gada 10. augusta Īstenošanas regulā (ES) 2021/1328, ar ko saskaņā ar Eiropas Parlamenta un Padomes Regulu (ES) 2021/1153 precizē infrastruktūras prasības, kas piemērojamas konkrētām divējāda lietojuma infrastruktūras darbību kategorijām</w:t>
            </w:r>
            <w:r w:rsidR="00000000" w:rsidRPr="00000000" w:rsidDel="00000000">
              <w:rPr>
                <w:rtl w:val="0"/>
              </w:rPr>
              <w:t xml:space="preserve">, noteikto prasību īstenošanu, vienlaikus izpildot nosacījumu, ka ieguldījumi atbilst </w:t>
            </w:r>
            <w:r w:rsidR="00000000" w:rsidRPr="00000000" w:rsidDel="00000000">
              <w:rPr>
                <w:rtl w:val="0"/>
              </w:rPr>
              <w:t xml:space="preserve">Eiropas Parlamenta un Padomes 2021.gada 7.jūlija regulas (ES)  2021/1153, ar ko izveido Eiropas infrastruktūras savienošanas instrumentu un atceļ Regulas (ES) Nr. 1316/2013 un (ES) Nr. 283/2014</w:t>
            </w:r>
            <w:r w:rsidR="00000000" w:rsidRPr="00000000" w:rsidDel="00000000">
              <w:rPr>
                <w:rtl w:val="0"/>
              </w:rPr>
              <w:t xml:space="preserve"> 2. pantā noteiktajai divējāda lietojuma infrastruktūras definīcijai un </w:t>
            </w:r>
            <w:r w:rsidR="00000000" w:rsidRPr="00000000" w:rsidDel="00000000">
              <w:rPr>
                <w:rtl w:val="0"/>
              </w:rPr>
              <w:t xml:space="preserve">Eiropas Parlamenta un Padomes 2025. gada 18. septembra regulas (ES) 2025/1914, ar ko groza Regulas (ES) 2021/1058 un (ES) 2021/1056 attiecībā uz īpašiem pasākumiem stratēģisku problēmu risināšanai vidusposma pārskatīšanas kontekstā</w:t>
            </w:r>
            <w:r w:rsidR="00000000" w:rsidRPr="00000000" w:rsidDel="00000000">
              <w:rPr>
                <w:rtl w:val="0"/>
              </w:rPr>
              <w:t xml:space="preserve"> 1. pantā noteiktajam par noturīgas aizsardzības infrastruktūras attīstību: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Pasākuma ietvaros ir attiecināmas šādas projekta tiešās attiecināmās izmaksas, kas ir tieši saistītas ar projekta īstenošanu un nepieciešamas projekta rezultātu sasniegšanai: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informāciju, kuras no noteikumu projekta 16.punktā minētajām attiecināmajām izmaksām attiecas konkrēti uz 12.1., 12.2. un 12.3.apakšpunktā minētajām atbalstāmajām darbībām.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daļa no šo noteikumu projekta 17. punktā minētajām attiecināmajām izmaksām pilnībā vai daļēji pārklājas ar visām šo noteikumu projekta 13. punktā noteiktajām atbalstāmajām darbībām, lai nodrošinātu teksta skaidrību un labāku lasāmību, noteikumu projekta 17. punkts atstāts esošajā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Pasākuma ietvaros ir attiecināmas šādas projekta tiešās attiecināmās izmaksas, kas ir tieši saistītas ar projekta īstenošanu un nepieciešamas projekta rezultātu sasniegšanai: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Izmaksas ir attiecināmas no projekta iesnieguma iesniegšanas dienas Kohēzijas politikas fondu vadības informācijas sistēmā. Būvdarbu līgumu slēdz un ar ieguldījumiem saistītus būvdarbus uzsāk pēc projekta iesnieguma iesniegšanas, izņemot aktivitātēm, kas netiek  klasificētas kā komercdarbības atbalsts, kā arī projektu pamatojošās dokumentācijas sagatavošanas izmaksas, kas ir attiecināmas, ja tās veiktas pēc 2025. gada 29.maija.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projektā noteiktos nosacījumus, lai nerastos interpretācijas problēmas, aicinām noteikumu projekta anotācijā ietvert detalizētāku pamatojumu, kas noteikumu projekta 19.punkta izpratnē saprotams ar projekta pamatojošām dokumentācijas sagatavošanas izmaksām, kas ir attiecināmas pēc 2025. gada 29.maija.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19.punkts papildināts ar atsauci uz noteikumu projekta 16.1.apakšpunktu, kurā norādīts, kuras projektu pamatojošās dokumentācijas izmaksas uzskatāmas par attiecināmām.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Izmaksas ir attiecināmas no projekta iesnieguma iesniegšanas dienas Kohēzijas politikas fondu vadības informācijas sistēmā. Būvdarbu līgumu slēdz un ar ieguldījumiem saistītus būvdarbus uzsāk pēc projekta iesnieguma iesniegšanas, izņemot aktivitātēm, kas netiek  klasificētas kā komercdarbības atbalsts, kā arī šo noteikumu </w:t>
            </w:r>
            <w:r w:rsidR="00000000" w:rsidRPr="00000000" w:rsidDel="00000000">
              <w:rPr>
                <w:rtl w:val="0"/>
              </w:rPr>
              <w:t xml:space="preserve">17.1. </w:t>
            </w:r>
            <w:r w:rsidR="00000000" w:rsidRPr="00000000" w:rsidDel="00000000">
              <w:rPr>
                <w:rtl w:val="0"/>
              </w:rPr>
              <w:t xml:space="preserve">apakšpunktā</w:t>
            </w:r>
            <w:r w:rsidR="00000000" w:rsidRPr="00000000" w:rsidDel="00000000">
              <w:rPr>
                <w:rtl w:val="0"/>
              </w:rPr>
              <w:t xml:space="preserve"> norādītās projektu pamatojošās dokumentācijas sagatavošanas izmaksas, kas ir attiecināmas, ja tās veiktas pēc 2025. gada 29.maija.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Izmaksas, kas saskaņā ar šiem noteikumiem nav iekļaujamas kā attiecināmās izmaksas vai pārsniedz katram projekta iesniedzējam pieejamo attiecināmo izmaksu apjomu, ir finansējamas ārpus projekta. Ārpus projekta finansējamās izmaksas, kuru finansēšana būtu kvalificējama kā komercdarbības atbalsts, finansējamas no līdzekļiem, kas ir brīvi no jebkāda komercdarbības atbalsta, ja nav iespējams piemērot šo noteikumu </w:t>
            </w:r>
            <w:r w:rsidR="00000000" w:rsidRPr="00000000" w:rsidDel="00000000">
              <w:rPr>
                <w:rtl w:val="0"/>
              </w:rPr>
              <w:t xml:space="preserve">39. </w:t>
            </w:r>
            <w:r w:rsidR="00000000" w:rsidRPr="00000000" w:rsidDel="00000000">
              <w:rPr>
                <w:rtl w:val="0"/>
              </w:rPr>
              <w:t xml:space="preserve">punktā</w:t>
            </w:r>
            <w:r w:rsidR="00000000" w:rsidRPr="00000000" w:rsidDel="00000000">
              <w:rPr>
                <w:rtl w:val="0"/>
              </w:rPr>
              <w:t xml:space="preserve"> paredzēto atbalstu, kas noteikts </w:t>
            </w:r>
            <w:r w:rsidR="00000000" w:rsidRPr="00000000" w:rsidDel="00000000">
              <w:rPr>
                <w:rtl w:val="0"/>
              </w:rPr>
              <w:t xml:space="preserve">Komisijas 2023. gada 13. decembra Regulā Nr. 2023/2831 par Līguma par Eiropas Savienības darbību 107. un 108. panta piemērošanu de minimis atbalstam</w:t>
            </w:r>
            <w:r w:rsidR="00000000" w:rsidRPr="00000000" w:rsidDel="00000000">
              <w:rPr>
                <w:rtl w:val="0"/>
              </w:rPr>
              <w:t xml:space="preserve"> (turpmāk – regula Nr. 2023/2831), tai skaitā projekta īstenošanas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20.punkta pirmo teikumu ar norādi no kādiem līdzekļiem tiks segtas izmaksas ārpus projekta, lai nerastos interpretācijas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Izmaksas, kas saskaņā ar šiem noteikumiem nav iekļaujamas kā attiecināmās izmaksas vai pārsniedz katram projekta iesniedzējam pieejamo attiecināmo izmaksu apjomu, ir finansējamas ārpus projekta par finansējuma saņēmēja līdzekļiem. Ārpus projekta finansējamās izmaksas, kuru finansēšana būtu kvalificējama kā komercdarbības atbalsts, finansējamas no līdzekļiem, kas ir brīvi no jebkāda komercdarbības atbalsta, ja nav iespējams piemērot šo noteikumu 39. punktā paredzēto atbalstu, kas noteikts Komisijas 2023. gada 13. decembra Regulā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regula Nr. 2023/2831), tai skaitā projekta īstenošanas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Izmaksas, kas saskaņā ar šiem noteikumiem nav iekļaujamas kā attiecināmās izmaksas vai pārsniedz katram projekta iesniedzējam pieejamo attiecināmo izmaksu apjomu, ir finansējamas ārpus projekta par finansējuma saņēmēja līdzekļiem. Ārpus projekta finansējamās izmaksas, kuru finansēšana būtu kvalificējama kā komercdarbības atbalsts, finansējamas no līdzekļiem, kas ir brīvi no jebkāda komercdarbības atbalsta, ja nav iespējams piemērot šo noteikumu </w:t>
            </w:r>
            <w:r w:rsidR="00000000" w:rsidRPr="00000000" w:rsidDel="00000000">
              <w:rPr>
                <w:rtl w:val="0"/>
              </w:rPr>
              <w:t xml:space="preserve">41. </w:t>
            </w:r>
            <w:r w:rsidR="00000000" w:rsidRPr="00000000" w:rsidDel="00000000">
              <w:rPr>
                <w:rtl w:val="0"/>
              </w:rPr>
              <w:t xml:space="preserve">punktā</w:t>
            </w:r>
            <w:r w:rsidR="00000000" w:rsidRPr="00000000" w:rsidDel="00000000">
              <w:rPr>
                <w:rtl w:val="0"/>
              </w:rPr>
              <w:t xml:space="preserve"> paredzēto atbalstu, kas noteikts </w:t>
            </w:r>
            <w:r w:rsidR="00000000" w:rsidRPr="00000000" w:rsidDel="00000000">
              <w:rPr>
                <w:rtl w:val="0"/>
              </w:rPr>
              <w:t xml:space="preserve">Komisijas 2023. gada 13. decembra Regulā Nr. 2023/2831 par Līguma par Eiropas Savienības darbību 107. un 108. panta piemērošanu de minimis atbalstam</w:t>
            </w:r>
            <w:r w:rsidR="00000000" w:rsidRPr="00000000" w:rsidDel="00000000">
              <w:rPr>
                <w:rtl w:val="0"/>
              </w:rPr>
              <w:t xml:space="preserve"> (turpmāk – regula Nr. 2023/2831), tai skaitā projekta īstenošanas laikā.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Ja atbalsts tiek piešķirts kā komercdarbības atbalsts, projekta īstenošanas gaitā radušās sadārdzinājuma izmaksas finansējuma saņēmējs sedz no saviem līdzekļiem, kas brīvi no jebkāda komercdarbības atbalsta.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Savienības fondu ietvaros finansējuma saņēmējs sedz sadārdzinājumu, neatkarīgi no tā ir vai nav projekta ietvaros piešķirts komercdarbības atbalsts. Tādejādi lūdzam precizēt noteikumu projekta 22.punktu.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Projekta īstenošanas gaitā radušos sadārdzinājumu finansējuma saņēmējs finansē no saviem līdzekļiem. Izmaksas, kuru finansēšana būtu kvalificējama kā komercdarbības atbalsts, finansē no līdzekļiem, kas ir brīvi no jebkāda komercdarbības atbalsta.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w:t>
            </w:r>
            <w:r w:rsidR="00000000" w:rsidRPr="00000000" w:rsidDel="00000000">
              <w:rPr>
                <w:rtl w:val="0"/>
              </w:rPr>
              <w:t xml:space="preserve">16.1.</w:t>
            </w:r>
            <w:r w:rsidR="00000000" w:rsidRPr="00000000" w:rsidDel="00000000">
              <w:rPr>
                <w:rtl w:val="0"/>
              </w:rPr>
              <w:t xml:space="preserve"> un </w:t>
            </w:r>
            <w:r w:rsidR="00000000" w:rsidRPr="00000000" w:rsidDel="00000000">
              <w:rPr>
                <w:rtl w:val="0"/>
              </w:rPr>
              <w:t xml:space="preserve">16.10. </w:t>
            </w:r>
            <w:r w:rsidR="00000000" w:rsidRPr="00000000" w:rsidDel="00000000">
              <w:rPr>
                <w:rtl w:val="0"/>
              </w:rPr>
              <w:t xml:space="preserve">apakšpunktā</w:t>
            </w:r>
            <w:r w:rsidR="00000000" w:rsidRPr="00000000" w:rsidDel="00000000">
              <w:rPr>
                <w:rtl w:val="0"/>
              </w:rPr>
              <w:t xml:space="preserve"> minētās izmaksas ir attiecināmas, piemērojot</w:t>
            </w:r>
            <w:r w:rsidR="00000000" w:rsidRPr="00000000" w:rsidDel="00000000">
              <w:rPr>
                <w:i w:val="1"/>
                <w:rtl w:val="0"/>
              </w:rPr>
              <w:t xml:space="preserve"> de minimis</w:t>
            </w:r>
            <w:r w:rsidR="00000000" w:rsidRPr="00000000" w:rsidDel="00000000">
              <w:rPr>
                <w:rtl w:val="0"/>
              </w:rPr>
              <w:t xml:space="preserve"> atbalsta nosacījumus, ja tās radušās pirms projekta iesnieguma iesniegšanas vadības informācijas sistēmā šo noteikumu </w:t>
            </w:r>
            <w:r w:rsidR="00000000" w:rsidRPr="00000000" w:rsidDel="00000000">
              <w:rPr>
                <w:rtl w:val="0"/>
              </w:rPr>
              <w:t xml:space="preserve">12.1. </w:t>
            </w:r>
            <w:r w:rsidR="00000000" w:rsidRPr="00000000" w:rsidDel="00000000">
              <w:rPr>
                <w:rtl w:val="0"/>
              </w:rPr>
              <w:t xml:space="preserve">apakšpunktā</w:t>
            </w:r>
            <w:r w:rsidR="00000000" w:rsidRPr="00000000" w:rsidDel="00000000">
              <w:rPr>
                <w:rtl w:val="0"/>
              </w:rPr>
              <w:t xml:space="preserve"> minēto darbību īstenošanas nodrošināšanai un ir uzsāktas ne agrāk par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noteikto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23.punkta izriet, ka noteikumu projekta 16.10. apakšpunktā minētās izmaksas ir attiecināmas, piemērojot </w:t>
            </w:r>
            <w:r w:rsidR="00000000" w:rsidRPr="00000000" w:rsidDel="00000000">
              <w:rPr>
                <w:i w:val="1"/>
                <w:rtl w:val="0"/>
              </w:rPr>
              <w:t xml:space="preserve">de minimis</w:t>
            </w:r>
            <w:r w:rsidR="00000000" w:rsidRPr="00000000" w:rsidDel="00000000">
              <w:rPr>
                <w:rtl w:val="0"/>
              </w:rPr>
              <w:t xml:space="preserve"> atbalsta nosacījumus, </w:t>
            </w:r>
            <w:r w:rsidR="00000000" w:rsidRPr="00000000" w:rsidDel="00000000">
              <w:rPr>
                <w:u w:val="single"/>
                <w:rtl w:val="0"/>
              </w:rPr>
              <w:t xml:space="preserve">ja tās radušās pirms projekta iesnieguma iesniegšanas</w:t>
            </w:r>
            <w:r w:rsidR="00000000" w:rsidRPr="00000000" w:rsidDel="00000000">
              <w:rPr>
                <w:rtl w:val="0"/>
              </w:rPr>
              <w:t xml:space="preserve">. Lūdzam skaidrot noteikumu projekta anotācijas ietvaros kādi komunikācijas un vizuālās identitātes pasākumi tiks nodrošināti </w:t>
            </w:r>
            <w:r w:rsidR="00000000" w:rsidRPr="00000000" w:rsidDel="00000000">
              <w:rPr>
                <w:u w:val="single"/>
                <w:rtl w:val="0"/>
              </w:rPr>
              <w:t xml:space="preserve">pirms iesniegts projekta iesniegums.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23.punkts precizēts, svītrojot noteikumu projekta  16.10. apakšpunktā minētās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w:t>
            </w:r>
            <w:r w:rsidR="00000000" w:rsidRPr="00000000" w:rsidDel="00000000">
              <w:rPr>
                <w:rtl w:val="0"/>
              </w:rPr>
              <w:t xml:space="preserve">17.1. </w:t>
            </w:r>
            <w:r w:rsidR="00000000" w:rsidRPr="00000000" w:rsidDel="00000000">
              <w:rPr>
                <w:rtl w:val="0"/>
              </w:rPr>
              <w:t xml:space="preserve">apakšpunktā</w:t>
            </w:r>
            <w:r w:rsidR="00000000" w:rsidRPr="00000000" w:rsidDel="00000000">
              <w:rPr>
                <w:rtl w:val="0"/>
              </w:rPr>
              <w:t xml:space="preserve"> minētās izmaksas ir attiecināmas, piemērojot</w:t>
            </w:r>
            <w:r w:rsidR="00000000" w:rsidRPr="00000000" w:rsidDel="00000000">
              <w:rPr>
                <w:i w:val="1"/>
                <w:rtl w:val="0"/>
              </w:rPr>
              <w:t xml:space="preserve"> de minimis</w:t>
            </w:r>
            <w:r w:rsidR="00000000" w:rsidRPr="00000000" w:rsidDel="00000000">
              <w:rPr>
                <w:rtl w:val="0"/>
              </w:rPr>
              <w:t xml:space="preserve"> atbalsta nosacījumus, ja tās radušās pirms projekta iesnieguma iesniegšanas Kohēzijas politikas fondu vadības informācijas sistēmā šo noteikumu </w:t>
            </w:r>
            <w:r w:rsidR="00000000" w:rsidRPr="00000000" w:rsidDel="00000000">
              <w:rPr>
                <w:rtl w:val="0"/>
              </w:rPr>
              <w:t xml:space="preserve">13.1. </w:t>
            </w:r>
            <w:r w:rsidR="00000000" w:rsidRPr="00000000" w:rsidDel="00000000">
              <w:rPr>
                <w:rtl w:val="0"/>
              </w:rPr>
              <w:t xml:space="preserve">apakšpunktā</w:t>
            </w:r>
            <w:r w:rsidR="00000000" w:rsidRPr="00000000" w:rsidDel="00000000">
              <w:rPr>
                <w:rtl w:val="0"/>
              </w:rPr>
              <w:t xml:space="preserve"> minēto darbību īstenošanas nodrošināšanai un ir uzsāktas ne agrāk par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noteikto termiņu.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Atbalsta saņemšanas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noteikumu projekta V. nodaļu izteikt piedāvātajā redakcijā, ņemot vērā, ka tās saturs ietver komercdarbības atbalsta nosacījumus.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Komercdarbības atbalsta saņemšanas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nodaļas nosaukums 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Komercdarbības atbalsta saņemšanas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Par komercdarbības atbalsta piešķiršanas brīdi uzskata dienu, kad pieņemts atbalsta sniedzēja lēmums par projekta apstiprināšanu vai atzinums par nosacījumu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w:t>
            </w:r>
            <w:r w:rsidR="00000000" w:rsidRPr="00000000" w:rsidDel="00000000">
              <w:rPr>
                <w:i w:val="1"/>
                <w:rtl w:val="0"/>
              </w:rPr>
              <w:t xml:space="preserve">de minimis</w:t>
            </w:r>
            <w:r w:rsidR="00000000" w:rsidRPr="00000000" w:rsidDel="00000000">
              <w:rPr>
                <w:rtl w:val="0"/>
              </w:rPr>
              <w:t xml:space="preserve"> atbalsta piešķiršanu saskaņā ar regulu 2023/2831 [1] aicinām par atbalsta piešķiršanas brīdi noteikt brīdi, kad sadarbības iestāde ir pieņēmusi lēmumu par komercdarbības atbalsta piešķiršanu finansējuma saņēmējam. Tas dotu iespēju </w:t>
            </w:r>
            <w:r w:rsidR="00000000" w:rsidRPr="00000000" w:rsidDel="00000000">
              <w:rPr>
                <w:i w:val="1"/>
                <w:rtl w:val="0"/>
              </w:rPr>
              <w:t xml:space="preserve">de minimis</w:t>
            </w:r>
            <w:r w:rsidR="00000000" w:rsidRPr="00000000" w:rsidDel="00000000">
              <w:rPr>
                <w:rtl w:val="0"/>
              </w:rPr>
              <w:t xml:space="preserve"> atbalstu piešķirt arī projekta īstenošanas laikā, jo, ņemot vērā, ka de minimis atbalstam ir noteikts ierobežojums attiecībā uz </w:t>
            </w:r>
            <w:r w:rsidR="00000000" w:rsidRPr="00000000" w:rsidDel="00000000">
              <w:rPr>
                <w:i w:val="1"/>
                <w:rtl w:val="0"/>
              </w:rPr>
              <w:t xml:space="preserve">de minimis</w:t>
            </w:r>
            <w:r w:rsidR="00000000" w:rsidRPr="00000000" w:rsidDel="00000000">
              <w:rPr>
                <w:rtl w:val="0"/>
              </w:rPr>
              <w:t xml:space="preserve"> atbalsta robežlielumu (300 000 EUR trīs gadu laikā), ir iespējama situācija, ka projekta apstiprināšanas brīdī nav iespējams projekta iesniedzējam piešķirt visu nepieciešamo de minimis atbalstu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Eiropas Komisijas 2023.gada 13.decembra Regula (ES) 2023/2831 par Līguma par Eiropas Savienības darbību 107. un 108. panta piemērošanu de minimis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Par komercdarbības atbalsta, kas tiek piešķirts saskaņā ar </w:t>
            </w:r>
            <w:r w:rsidR="00000000" w:rsidRPr="00000000" w:rsidDel="00000000">
              <w:rPr>
                <w:rtl w:val="0"/>
              </w:rPr>
              <w:t xml:space="preserve">regulu Nr.651/2014</w:t>
            </w:r>
            <w:r w:rsidR="00000000" w:rsidRPr="00000000" w:rsidDel="00000000">
              <w:rPr>
                <w:rtl w:val="0"/>
              </w:rPr>
              <w:t xml:space="preserve">, piešķiršanas brīdi uzskata dienu, kad pieņemts atbalsta sniedzēja lēmums par projekta apstiprināšanu vai atzinums par nosacījumu izpildi. Piemērojot </w:t>
            </w:r>
            <w:r w:rsidR="00000000" w:rsidRPr="00000000" w:rsidDel="00000000">
              <w:rPr>
                <w:i w:val="1"/>
                <w:rtl w:val="0"/>
              </w:rPr>
              <w:t xml:space="preserve">de minimis</w:t>
            </w:r>
            <w:r w:rsidR="00000000" w:rsidRPr="00000000" w:rsidDel="00000000">
              <w:rPr>
                <w:rtl w:val="0"/>
              </w:rPr>
              <w:t xml:space="preserve"> atbalsta nosacījumus saskaņā ar </w:t>
            </w:r>
            <w:r w:rsidR="00000000" w:rsidRPr="00000000" w:rsidDel="00000000">
              <w:rPr>
                <w:rtl w:val="0"/>
              </w:rPr>
              <w:t xml:space="preserve">regulu 2023/2831</w:t>
            </w:r>
            <w:r w:rsidR="00000000" w:rsidRPr="00000000" w:rsidDel="00000000">
              <w:rPr>
                <w:rtl w:val="0"/>
              </w:rPr>
              <w:t xml:space="preserve">, atbalsta piešķiršanas brīdis ir diena, kad sadarbības iestāde ir pieņēmusi lēmumu par komercdarbības atbalsta piešķiršanu finansējuma saņēmējam.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42.4. Finansējuma saņēmējs nodrošina interešu konflikta neesību saskaņā ar </w:t>
            </w:r>
            <w:r w:rsidR="00000000" w:rsidRPr="00000000" w:rsidDel="00000000">
              <w:rPr>
                <w:rtl w:val="0"/>
              </w:rPr>
              <w:t xml:space="preserve">Eiropas Parlamenta un Padomes 2024. gada 23. septembra Regulas Nr. 2024/2509 par finanšu noteikumiem, ko piemēro Savienības vispārējam budžetam</w:t>
            </w:r>
            <w:r w:rsidR="00000000" w:rsidRPr="00000000" w:rsidDel="00000000">
              <w:rPr>
                <w:rtl w:val="0"/>
              </w:rPr>
              <w:t xml:space="preserve"> 61. panta prasībām, kā arī paraksta interešu konflikta neesības apliecinājumu.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svītrot noteikumu projekta 42.4. apakšpunktu, ņemot vērā konkrētā specifiskā atbalsta mērķa projekta veidu un to, ka Eiropas Parlamenta un Padomes Regulas (ES, Euratom) 2024/2509 [1] 61. panta prasības ir tieši piemērojamas tādiem projektiem, kas saistīti ar Eiropas Savienības fondu atbalsta saņemšanu un vienlaikus kuros atbilstoši specifiskā atbalsta mērķim finansējuma saņēmējs atlases kārtībā Eiropas Savienības fondu projekta dalībniekiem vai gala saņēmējiem sniedz finansiālu atbalstu (t.s. daudzpakāpju projekti).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2024.gada 23.septembra Regula (ES, Euratom) 2024/2509 par finanšu noteikumiem, ko piemēro Savienības vispārējam budžetam (pārstrādāta redakcija)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izteikts jaunā redakcijā.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45.4. izstrādā nosacījumus, kā tas pārliecinās par interešu konflikta, krāpšanas un korupcijas risku neesību, tai skaitā identificē apstākļus, kuri izraisa vai var izraisīt interešu konfliktu un krāpšanas un korupcijas riskus, kas rada apdraudējumu vai kaitējumu projekta īstenošanā, nosaka veicamos pasākumus un izstrādā darbības plānu interešu konflikta un krāpšanas un korupcijas risku preventīvai novēršanai un gadījumiem, ja interešu konflikts, krāpšana vai korupcija ir atklāta;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42.5. investīcijas īstenošanas laikā nodrošina nepieciešamās darbības un ievēro nosacījumus, kas identificēti horizontālā principa "Nenodarīt būtisku kaitējumu" novērtējumā, lai nodrošinātu, ka tiek novērsta vai mazināta pasākuma ietvaros atbalstāmo darbību ietekme uz vidi;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pārliecināties, un nepieciešamības gadījumā papildināt noteikumu projekta 42.5.apakšpunktu ar konkrētām veicamajām darbībām, nosacījumiem finansējuma saņēmējiem, kas identificētas horizontālā principa “Nenodarīt būtisku kaitējumu” novērtējumā.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papildināts ar veicamajām darbībām horizontālā principa “Nenodarīt būtisku kaitējumu” ievērošanā.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45.5. nodrošina, ka projekts un atbalstāmās darbības tiek īstenotas, ievērojot principa "Nenodarīt būtisku kaitējumu"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42.6. ievēro horizontālo principu "Vienlīdzība, iekļaušana, nediskriminācija un pamattiesību ievērošana";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minēto, ka horizontālajam principam “Vienlīdzība, iekļaušana, nediskriminācija un pamattiesību ievērošana” plānota netieša ietekme, lūdzam papildināt noteikumu projektu ar informāciju par vismaz vienu rādītāju, kādu plānots sasniegt šī horizontālā principa ietvaros, kā arī ar informāciju, kas un kādā veidā nodrošinās datu uzkrāšanu par šī rādītāja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projeka anotācija papildināta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Plānotajiem ieguldījumiem nav  ietekmes uz horizontālo principu “Vienlīdzība, iekļaušana, nediskriminācija un pamattiesību ievērošana" - tie ietver piestātņu un tiltu konstrukciju modernizāciju, navigācijas aprīkojuma atjaunošanu, drošības centru izveidi, elektroapgādes nodrošināšanu un sistēmu ieviešanu kuģu un dronu detekcijai. Šīs darbības ir tehniskas un infrastruktūras rakstura, un to mērķis ir nodrošināt ostu drošu un nepārtrauktu darbību, tostarp militārās mobilitātes prasību izpildi. Projektos īstenojama vismaz viena vispārīgā horizontālā principa darbība attiecībā uz komunikācijas un vizuālās identitātes pasākumiem, uz projekta vadību un īstenošanu vai uz publiskajiem iepirkumiem saskaņā ar Labklājības ministrijas izstrādātajām vadlīnijām "Horizontālais princips “Vienlīdzība, iekļaušana, nediskriminācija un pamattiesību ievērošana” vadlīnijas īstenošanai un uzraudzībai (2021-2027)".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45.6. ievēro horizontālo principu "Vienlīdzība, iekļaušana, nediskriminācija un pamattiesību ievērošana";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42.7. nodrošina sasniegto rezultātu ilgtspēju vismaz piecus gadus pēc noslēguma maksājuma veikšanas;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projektu papildināt ar informāciju, no kādiem līdzekļiem tiks nodrošināta pasākuma rezultātu/ radīto vērtību ilgtspēja un uzturēšana.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45.7. nodrošina projekta īstenošanā radīto vērtību uzturēšanu, laikus plānojot uzturēšanas un periodiskus atjaunošanas darbus un finansējumu šiem darbiem turpmākos piecus gadus pēc noslēguma maksājuma veikšanas;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42.8. nodrošina komunikācijas un vizuālās identitātes prasības saskaņā ar </w:t>
            </w:r>
            <w:r w:rsidR="00000000" w:rsidRPr="00000000" w:rsidDel="00000000">
              <w:rPr>
                <w:rtl w:val="0"/>
              </w:rPr>
              <w:t xml:space="preserve">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47. un 50. pantu un normatīvajiem aktiem, kas nosaka kārtību, kādā Eiropas Savienības fondu vadībā iesaistītās institūcijas nodrošina šo fondu ieviešanu 2021.–2027.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ka tiks nodrošināti projekta komunikācijas un vizuālās identitātes prasību izpildes pasākumi saskaņā ar noteikumu projekta 42.8. apakšpunktā minētajiem normatīvajiem aktiem </w:t>
            </w:r>
            <w:r w:rsidR="00000000" w:rsidRPr="00000000" w:rsidDel="00000000">
              <w:rPr>
                <w:u w:val="single"/>
                <w:rtl w:val="0"/>
              </w:rPr>
              <w:t xml:space="preserve">un Eiropas Savienības fondu 2021.–2027. gada plānošanas perioda un Atveseļošanas fonda komunikācijas un dizaina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45.8. nodrošina komunikācijas un vizuālās identitātes prasības saskaņā ar </w:t>
            </w:r>
            <w:r w:rsidR="00000000" w:rsidRPr="00000000" w:rsidDel="00000000">
              <w:rPr>
                <w:rtl w:val="0"/>
              </w:rPr>
              <w:t xml:space="preserve">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47. un 50. pantu un normatīvajiem aktiem, kas nosaka kārtību, kādā Eiropas Savienības fondu vadībā iesaistītās institūcijas nodrošina šo fondu ieviešanu 2021.–2027. gada plānošanas periodā;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projektu iesniegumu vērtēšanas kritērijiem, t.i., vai tiks izmantoti esošie 3.1.1.6.pasākuma “Lielo ostu publiskās infrastruktūras attīstība” kritēriji, vai tajos tiks veikti tehniski precizējumi, vai tiks virzīts jauns kritēriju komplekts apstiprināšanai ES fondu uzraudzības komitejā 2021.- 2027.gadam.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10.punktu, kas nosaka, ka projektu iesniegumu vērtēšanas atlases procedūrā tiek piemēroti tikai vienotie kritēriji un vienotie izvēles kritēriji, saskaņā ar Ministru kabineta 2023. gada 13. jūlija noteikumu Nr. 408 „Kārtība, kādā Eiropas Savienības fondu vadībā iesaistītās institūcijas nodrošina šo fondu ieviešanu 2021.–2027. gada plānošanas periodā” 16. 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1.6.sadaļa "Cita informācija" papildināta ar skaidrojumu, kā tiks pārbaudīta projekta iesniegumā norādīto darbību atbilstība starptautiskā regulējuma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to, vai pasākumam būs tieša vai entieša ietekme uz horizontālajiem principiem “Klimatdrošināšana” un “Energoefektivitāte pirmajā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informāciju par to, ka plānotajām investīcijām būs netieša  ietekme uz horizontālajiem principiem  “Klimatdrošināšana” un “Energoefektivitāte pirmajā 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plānotajiem projektu iesniedzējiem, t.i., papildināt ar skaidrojumu, kas pamato izvēlēto projektu iesniedzēju loku, veikto priekšatlasi, kāpēc tieši konkrētos projektu iesniedzējus plānots uzaicināt iesniegt projektu iesniegumus.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iesniedza priekšlikumus Eiropas Komisijai (EK) par nepieciešamajām investīcijām augstas gatavības projektos, kas saistīti ar divējāda lietojuma ostu publiskās infrastruktūras attīstību. Ņemot vērā komunikāciju ar EK par pārdaļu priekšlikumu un izteikto EK viedokli, pasākuma ietvaros atbalstīti tika plānotie ieguldījumi divējāda lietojuma ostu publiskās infrastruktūras attīstībai Liepājas un Ventspils ostās.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2.2.sadaļu "Tiesiskā regulējuma ietekme uz tautsaimniecību" ar novērtējumu par plānoto ietekmi uz tautsaimniecību, t.sk. norādot pēc iespējas izmērāmus faktiski sagaidāmos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2.2.sadaļa "Tiesiskā regulējuma ietekme uz tautsaimniecību"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sadaļas ailē “Turpmākie trīs gadi” gan 2026. gadam, gan 2027. gadam norādītos finansējuma apmērus pārcelt no ailes “saskaņā ar vidēja termiņa budžeta ietvaru” uz aili “izmaiņas, salīdzinot ar vidēja termiņa budžeta ietvaru” un anotācijas 3.sadaļas 6.punktā sniegt informāciju sadalījumā pa finansējuma avotiem un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anotācijas 3. sadaļas punktā “Cita informācija” norādīt, ka Kohēzijas fonda finansējums pasākumu īstenošanai tiks pieprasīts no valsts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 precizēta atbilstoši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"Eiropas Savienības kohēzijas politikas programmas 2021.–2027. gadam 3.3. prioritātes "Militārās mobilitātes stiprināšana - dzelzceļš un ostas" 3.3.1. specifiskā atbalsta mērķa "Attīstīt noturīgu aizsardzības infrastruktūru, veicinot militāro mobilitāti Eiropas Savienībā" 3.3.1.2. pasākuma "Lielo ostu divējāda lietojuma publiskās infrastruktūras attīstība"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sēdes protokollēmuma projektu ar punktu par atbalstu regulējuma apstiprināšanai un investīciju uzsākšanai pirms Eiropas Komisijas lēmuma par Eiropas Savienības kohēzijas politikas programmas 2021.-2027.gadam grozījumiem un attiecīgi Satiksmes ministrijas plānoto rīcību gadījumā, ja izskatīšanas ietvaros neatbalsta 3.3.1.2.pasākumu "Lielo ostu divejāda lietojuma publiskās infrastruktūra" vai kādas tā ietvaros plānotās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Ministru kabineta sēdes protokollēmuma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"Eiropas Savienības kohēzijas politikas programmas 2021.–2027. gadam 3.3. prioritātes "Militārās mobilitātes stiprināšana - dzelzceļš un ostas" 3.3.1. specifiskā atbalsta mērķa "Attīstīt noturīgu aizsardzības infrastruktūru, veicinot militāro mobilitāti Eiropas Savienībā" 3.3.1.2. pasākuma "Lielo ostu divējāda lietojuma publiskās infrastruktūras attīstība" īstenošanas noteikumi"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25-TA-2127</w:t>
    </w:r>
    <w:r>
      <w:br/>
    </w:r>
    <w:r w:rsidR="00000000" w:rsidRPr="00000000" w:rsidDel="00000000">
      <w:rPr>
        <w:rtl w:val="0"/>
      </w:rPr>
      <w:t xml:space="preserve">21.11.2025. 16.09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25-TA-2127</w:t>
    </w:r>
    <w:r>
      <w:br/>
    </w:r>
    <w:r w:rsidR="00000000" w:rsidRPr="00000000" w:rsidDel="00000000">
      <w:rPr>
        <w:rtl w:val="0"/>
      </w:rPr>
      <w:t xml:space="preserve">21.11.2025. 16.09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Izziņa_25-TA-2127.docx</dc:title>
</cp:coreProperties>
</file>

<file path=docProps/custom.xml><?xml version="1.0" encoding="utf-8"?>
<Properties xmlns="http://schemas.openxmlformats.org/officeDocument/2006/custom-properties" xmlns:vt="http://schemas.openxmlformats.org/officeDocument/2006/docPropsVTypes"/>
</file>