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4323" w14:textId="77777777" w:rsidR="00786DAF" w:rsidRDefault="00786DAF" w:rsidP="002C22B9">
      <w:pPr>
        <w:jc w:val="center"/>
        <w:rPr>
          <w:sz w:val="20"/>
        </w:rPr>
      </w:pPr>
    </w:p>
    <w:p w14:paraId="36426092" w14:textId="77777777" w:rsidR="002C22B9" w:rsidRDefault="002C22B9" w:rsidP="002C22B9">
      <w:pPr>
        <w:jc w:val="center"/>
        <w:rPr>
          <w:sz w:val="20"/>
        </w:rPr>
      </w:pPr>
      <w:r w:rsidRPr="00914649">
        <w:rPr>
          <w:sz w:val="20"/>
        </w:rPr>
        <w:t>Rīgā</w:t>
      </w:r>
    </w:p>
    <w:p w14:paraId="2B7F8620"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7832E39" w14:textId="77777777" w:rsidTr="009F77B9">
        <w:tc>
          <w:tcPr>
            <w:tcW w:w="450" w:type="dxa"/>
            <w:tcBorders>
              <w:top w:val="nil"/>
              <w:left w:val="nil"/>
              <w:bottom w:val="nil"/>
              <w:right w:val="nil"/>
            </w:tcBorders>
          </w:tcPr>
          <w:p w14:paraId="56493F3B"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30BB0D2" w14:textId="0C04E7FD"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858EE">
              <w:rPr>
                <w:szCs w:val="24"/>
              </w:rPr>
              <w:t>06.08.2021</w:t>
            </w:r>
            <w:r w:rsidRPr="00615936">
              <w:rPr>
                <w:szCs w:val="24"/>
              </w:rPr>
              <w:fldChar w:fldCharType="end"/>
            </w:r>
            <w:bookmarkEnd w:id="0"/>
          </w:p>
        </w:tc>
        <w:tc>
          <w:tcPr>
            <w:tcW w:w="708" w:type="dxa"/>
            <w:tcBorders>
              <w:top w:val="nil"/>
              <w:left w:val="nil"/>
              <w:bottom w:val="nil"/>
              <w:right w:val="nil"/>
            </w:tcBorders>
          </w:tcPr>
          <w:p w14:paraId="028B41D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33693E2E" w14:textId="2661413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9329D">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858EE">
              <w:rPr>
                <w:szCs w:val="24"/>
              </w:rPr>
              <w:t>4426</w:t>
            </w:r>
            <w:r w:rsidRPr="00615936">
              <w:rPr>
                <w:szCs w:val="24"/>
              </w:rPr>
              <w:fldChar w:fldCharType="end"/>
            </w:r>
            <w:bookmarkEnd w:id="2"/>
          </w:p>
        </w:tc>
      </w:tr>
      <w:tr w:rsidR="002C22B9" w:rsidRPr="00615936" w14:paraId="28E85BB4" w14:textId="77777777" w:rsidTr="009F77B9">
        <w:trPr>
          <w:trHeight w:val="188"/>
        </w:trPr>
        <w:tc>
          <w:tcPr>
            <w:tcW w:w="450" w:type="dxa"/>
            <w:tcBorders>
              <w:top w:val="nil"/>
              <w:left w:val="nil"/>
              <w:bottom w:val="nil"/>
              <w:right w:val="nil"/>
            </w:tcBorders>
          </w:tcPr>
          <w:p w14:paraId="2E912470"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12FAD7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D1E5A5C"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07D7B1A" w14:textId="77777777" w:rsidR="002C22B9" w:rsidRPr="00615936" w:rsidRDefault="002C22B9" w:rsidP="002C22B9">
            <w:pPr>
              <w:tabs>
                <w:tab w:val="left" w:pos="360"/>
                <w:tab w:val="left" w:pos="3960"/>
              </w:tabs>
              <w:rPr>
                <w:sz w:val="20"/>
              </w:rPr>
            </w:pPr>
          </w:p>
        </w:tc>
      </w:tr>
      <w:tr w:rsidR="002C22B9" w:rsidRPr="00615936" w14:paraId="375E238D" w14:textId="77777777" w:rsidTr="009F77B9">
        <w:tc>
          <w:tcPr>
            <w:tcW w:w="450" w:type="dxa"/>
            <w:tcBorders>
              <w:top w:val="nil"/>
              <w:left w:val="nil"/>
              <w:bottom w:val="nil"/>
              <w:right w:val="nil"/>
            </w:tcBorders>
          </w:tcPr>
          <w:p w14:paraId="7512D843"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EFF744E" w14:textId="3050C415"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9329D">
              <w:rPr>
                <w:szCs w:val="24"/>
              </w:rPr>
              <w:t>22.07.2021</w:t>
            </w:r>
            <w:r w:rsidRPr="00615936">
              <w:rPr>
                <w:szCs w:val="24"/>
              </w:rPr>
              <w:fldChar w:fldCharType="end"/>
            </w:r>
            <w:bookmarkEnd w:id="3"/>
          </w:p>
        </w:tc>
        <w:tc>
          <w:tcPr>
            <w:tcW w:w="708" w:type="dxa"/>
            <w:tcBorders>
              <w:top w:val="nil"/>
              <w:left w:val="nil"/>
              <w:bottom w:val="nil"/>
              <w:right w:val="nil"/>
            </w:tcBorders>
          </w:tcPr>
          <w:p w14:paraId="591DB8D0"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447F3BA" w14:textId="54B0146D"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9329D">
              <w:rPr>
                <w:szCs w:val="24"/>
              </w:rPr>
              <w:t>VSS-677, 27  35§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747630A" w14:textId="77777777" w:rsidTr="000C0DD4">
        <w:trPr>
          <w:jc w:val="right"/>
        </w:trPr>
        <w:tc>
          <w:tcPr>
            <w:tcW w:w="4644" w:type="dxa"/>
          </w:tcPr>
          <w:p w14:paraId="3186B12A" w14:textId="4DE23CAC" w:rsidR="000C0DD4" w:rsidRDefault="0099329D" w:rsidP="000C0DD4">
            <w:pPr>
              <w:jc w:val="right"/>
              <w:rPr>
                <w:b/>
                <w:bCs/>
                <w:szCs w:val="24"/>
                <w:lang w:eastAsia="lv-LV"/>
              </w:rPr>
            </w:pPr>
            <w:bookmarkStart w:id="5" w:name="org_nos"/>
            <w:r>
              <w:rPr>
                <w:b/>
                <w:bCs/>
                <w:szCs w:val="24"/>
                <w:lang w:eastAsia="lv-LV"/>
              </w:rPr>
              <w:t>Satiksmes ministrija</w:t>
            </w:r>
            <w:r w:rsidR="00C4012E">
              <w:rPr>
                <w:b/>
                <w:bCs/>
                <w:szCs w:val="24"/>
                <w:lang w:eastAsia="lv-LV"/>
              </w:rPr>
              <w:t>i</w:t>
            </w:r>
          </w:p>
        </w:tc>
      </w:tr>
      <w:bookmarkEnd w:id="5"/>
    </w:tbl>
    <w:p w14:paraId="28AF34C0"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3B660555" w14:textId="77777777" w:rsidTr="000C0DD4">
        <w:tc>
          <w:tcPr>
            <w:tcW w:w="4503" w:type="dxa"/>
            <w:tcBorders>
              <w:top w:val="nil"/>
              <w:left w:val="nil"/>
              <w:bottom w:val="nil"/>
              <w:right w:val="nil"/>
            </w:tcBorders>
          </w:tcPr>
          <w:p w14:paraId="32673A0B" w14:textId="77777777" w:rsidR="0099329D" w:rsidRDefault="0099329D" w:rsidP="00C04DED">
            <w:pPr>
              <w:jc w:val="left"/>
              <w:rPr>
                <w:i/>
                <w:iCs/>
                <w:szCs w:val="24"/>
                <w:lang w:eastAsia="lv-LV"/>
              </w:rPr>
            </w:pPr>
            <w:r>
              <w:rPr>
                <w:i/>
                <w:iCs/>
                <w:szCs w:val="24"/>
                <w:lang w:eastAsia="lv-LV"/>
              </w:rPr>
              <w:t xml:space="preserve">Par rīkojuma projektu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w:t>
            </w:r>
          </w:p>
          <w:p w14:paraId="20CB62B9" w14:textId="77777777" w:rsidR="0099329D" w:rsidRDefault="0099329D" w:rsidP="00C04DED">
            <w:pPr>
              <w:jc w:val="left"/>
              <w:rPr>
                <w:i/>
                <w:iCs/>
                <w:szCs w:val="24"/>
                <w:lang w:eastAsia="lv-LV"/>
              </w:rPr>
            </w:pPr>
            <w:r>
              <w:rPr>
                <w:i/>
                <w:iCs/>
                <w:szCs w:val="24"/>
                <w:lang w:eastAsia="lv-LV"/>
              </w:rPr>
              <w:t xml:space="preserve">VSS-677 </w:t>
            </w:r>
          </w:p>
          <w:p w14:paraId="025D65E8" w14:textId="77777777" w:rsidR="0099329D" w:rsidRDefault="0099329D" w:rsidP="00C04DED">
            <w:pPr>
              <w:jc w:val="left"/>
              <w:rPr>
                <w:i/>
                <w:iCs/>
                <w:szCs w:val="24"/>
                <w:lang w:eastAsia="lv-LV"/>
              </w:rPr>
            </w:pPr>
          </w:p>
          <w:p w14:paraId="6487737A" w14:textId="3597246E" w:rsidR="000C0DD4" w:rsidRDefault="000C0DD4" w:rsidP="00C04DED">
            <w:pPr>
              <w:jc w:val="left"/>
              <w:rPr>
                <w:i/>
                <w:iCs/>
                <w:szCs w:val="24"/>
                <w:lang w:eastAsia="lv-LV"/>
              </w:rPr>
            </w:pPr>
          </w:p>
        </w:tc>
      </w:tr>
    </w:tbl>
    <w:p w14:paraId="3C7994EF" w14:textId="77777777" w:rsidR="00C4012E" w:rsidRDefault="00C4012E" w:rsidP="00C4012E">
      <w:pPr>
        <w:ind w:firstLine="720"/>
      </w:pPr>
      <w:r>
        <w:t>Finanšu ministrija atbilstoši kompetencei ir izskatījusi Satiksmes ministrijas sagatavoto Ministru kabineta rīkojuma projektu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tā sākotnējās ietekmes novērtējuma ziņojumu (anotāciju) un izsaka šādus iebildumus.</w:t>
      </w:r>
    </w:p>
    <w:p w14:paraId="1F5379D5" w14:textId="77777777" w:rsidR="00C4012E" w:rsidRDefault="00C4012E" w:rsidP="00C4012E">
      <w:pPr>
        <w:pStyle w:val="ListParagraph"/>
        <w:numPr>
          <w:ilvl w:val="0"/>
          <w:numId w:val="1"/>
        </w:numPr>
        <w:tabs>
          <w:tab w:val="left" w:pos="993"/>
        </w:tabs>
        <w:ind w:left="0" w:firstLine="709"/>
        <w:jc w:val="both"/>
      </w:pPr>
      <w:r>
        <w:rPr>
          <w:lang w:eastAsia="en-US"/>
        </w:rPr>
        <w:t xml:space="preserve">Anotācijā norādīts, ka SIA “LDZ infrastruktūra” likvidācijas rezultātā </w:t>
      </w:r>
      <w:proofErr w:type="spellStart"/>
      <w:r>
        <w:rPr>
          <w:lang w:eastAsia="en-US"/>
        </w:rPr>
        <w:t>LDz</w:t>
      </w:r>
      <w:proofErr w:type="spellEnd"/>
      <w:r>
        <w:rPr>
          <w:lang w:eastAsia="en-US"/>
        </w:rPr>
        <w:t xml:space="preserve"> iegūs būtiskus aktīvus, tajā skaitā aptuveni 3-4 miljonus </w:t>
      </w:r>
      <w:proofErr w:type="spellStart"/>
      <w:r>
        <w:rPr>
          <w:i/>
          <w:iCs/>
          <w:lang w:eastAsia="en-US"/>
        </w:rPr>
        <w:t>euro</w:t>
      </w:r>
      <w:proofErr w:type="spellEnd"/>
      <w:r>
        <w:rPr>
          <w:lang w:eastAsia="en-US"/>
        </w:rPr>
        <w:t xml:space="preserve"> naudas atlikumu un būtiskus darbojošos pamatlīdzekļus.  Ja VAS “Latvijas dzelzceļš”  pats veiks darbus attiecībā uz sliežu metināšanu un </w:t>
      </w:r>
      <w:proofErr w:type="spellStart"/>
      <w:r>
        <w:rPr>
          <w:lang w:eastAsia="en-US"/>
        </w:rPr>
        <w:t>garsliežu</w:t>
      </w:r>
      <w:proofErr w:type="spellEnd"/>
      <w:r>
        <w:rPr>
          <w:lang w:eastAsia="en-US"/>
        </w:rPr>
        <w:t xml:space="preserve"> transportēšanu, ieguvums būs šī pakalpojuma izmaksu samazinājums un tā rezultātā attiecīgi samazinātos no valsts budžeta nepieciešamais līdzekļu apjoms. </w:t>
      </w:r>
      <w:r>
        <w:t>Vēršam uzmanību, ka anotācijas III sadaļā ir jāsniedz novērtējums par ietekmi uz budžetu, ņemot vērā pieejamos budžeta līdzekļus.</w:t>
      </w:r>
      <w:r>
        <w:rPr>
          <w:lang w:eastAsia="en-US"/>
        </w:rPr>
        <w:t xml:space="preserve"> Atzīmējam, ka Satiksmes ministrijas apakšprogrammā 31.04.00 “Finansējums dzelzceļa publiskai infrastruktūrai” saskaņā ar likumu “Par valsts budžetu 2021.gadam” plānoti 23 874 774 </w:t>
      </w:r>
      <w:proofErr w:type="spellStart"/>
      <w:r>
        <w:rPr>
          <w:i/>
          <w:iCs/>
          <w:lang w:eastAsia="en-US"/>
        </w:rPr>
        <w:t>euro</w:t>
      </w:r>
      <w:proofErr w:type="spellEnd"/>
      <w:r>
        <w:rPr>
          <w:lang w:eastAsia="en-US"/>
        </w:rPr>
        <w:t xml:space="preserve"> apmērā, kā arī saskaņā ar likumu “Par vidēja termiņa budžeta ietvaru 2021., 2022. un 2023.gadam” šāds finansējums pieejams arī turpmākajiem gadiem. Vienlaikus vēršam uzmanību, ka </w:t>
      </w:r>
      <w:r>
        <w:t xml:space="preserve">Satiksmes ministrija ir sagatavojusi divus Ministru kabineta rīkojuma projektus “Par finanšu līdzekļu piešķiršanu no valsts budžeta programmas 02.00.00 „Līdzekļi neparedzētiem gadījumiem”” </w:t>
      </w:r>
      <w:r>
        <w:rPr>
          <w:lang w:eastAsia="en-US"/>
        </w:rPr>
        <w:t xml:space="preserve">par nepieciešamajiem papildu izdevumiem 2021.gadā </w:t>
      </w:r>
      <w:r>
        <w:t xml:space="preserve">14 225 226 </w:t>
      </w:r>
      <w:proofErr w:type="spellStart"/>
      <w:r>
        <w:rPr>
          <w:i/>
          <w:iCs/>
        </w:rPr>
        <w:t>euro</w:t>
      </w:r>
      <w:proofErr w:type="spellEnd"/>
      <w:r>
        <w:t xml:space="preserve"> apmērā, lai nodrošinātu normatīvajos aktos noteikto izdevumu kompensēšanu par valsts publiskās lietošanas dzelzceļa infrastruktūras izmantošanu dzelzceļa pasažieru pārvadājumiem, ko sniedz saistībā ar sabiedrisko pakalpojumu līgumu, un 9 503 295 </w:t>
      </w:r>
      <w:proofErr w:type="spellStart"/>
      <w:r>
        <w:rPr>
          <w:i/>
          <w:iCs/>
        </w:rPr>
        <w:t>euro</w:t>
      </w:r>
      <w:proofErr w:type="spellEnd"/>
      <w:r>
        <w:t xml:space="preserve"> apmērā, lai nodrošinātu valsts publiskās </w:t>
      </w:r>
      <w:r>
        <w:lastRenderedPageBreak/>
        <w:t xml:space="preserve">lietošanas dzelzceļa infrastruktūras pārvaldītāja (valsts akciju sabiedrība “Latvijas dzelzceļš”) finanšu līdzsvara par 2020.gadu maksājumu. Turklāt 2022.gada budžeta sagatavošanas procesā Satiksmes ministrija ir iesniegusi arī prioritāro pasākumu pieteikumus “Finansējums dzelzceļa publiskai infrastruktūrai” ar pieprasīto finansējumu 2022.gadam 14 225 000 </w:t>
      </w:r>
      <w:proofErr w:type="spellStart"/>
      <w:r>
        <w:rPr>
          <w:i/>
          <w:iCs/>
        </w:rPr>
        <w:t>euro</w:t>
      </w:r>
      <w:proofErr w:type="spellEnd"/>
      <w:r>
        <w:t xml:space="preserve">, 2023.gadam 20 420 798 </w:t>
      </w:r>
      <w:proofErr w:type="spellStart"/>
      <w:r>
        <w:rPr>
          <w:i/>
          <w:iCs/>
        </w:rPr>
        <w:t>euro</w:t>
      </w:r>
      <w:proofErr w:type="spellEnd"/>
      <w:r>
        <w:t xml:space="preserve">, 2024.gadam 21 047 292 </w:t>
      </w:r>
      <w:proofErr w:type="spellStart"/>
      <w:r>
        <w:rPr>
          <w:i/>
          <w:iCs/>
        </w:rPr>
        <w:t>euro</w:t>
      </w:r>
      <w:proofErr w:type="spellEnd"/>
      <w:r>
        <w:t xml:space="preserve"> un turpmāk ik gadu 21 321 636 </w:t>
      </w:r>
      <w:proofErr w:type="spellStart"/>
      <w:r>
        <w:rPr>
          <w:i/>
          <w:iCs/>
        </w:rPr>
        <w:t>euro</w:t>
      </w:r>
      <w:proofErr w:type="spellEnd"/>
      <w:r>
        <w:t xml:space="preserve"> apmērā un “VAS “Latvijas dzelzceļš” finanšu līdzsvara nodrošināšana” ar pieprasīto finansējumu 2022.gadam 32 838 674</w:t>
      </w:r>
      <w:r>
        <w:rPr>
          <w:i/>
          <w:iCs/>
        </w:rPr>
        <w:t xml:space="preserve"> </w:t>
      </w:r>
      <w:proofErr w:type="spellStart"/>
      <w:r>
        <w:rPr>
          <w:i/>
          <w:iCs/>
        </w:rPr>
        <w:t>euro</w:t>
      </w:r>
      <w:proofErr w:type="spellEnd"/>
      <w:r>
        <w:t>, 2023.gadam 26 914 499</w:t>
      </w:r>
      <w:r>
        <w:rPr>
          <w:i/>
          <w:iCs/>
        </w:rPr>
        <w:t xml:space="preserve"> </w:t>
      </w:r>
      <w:proofErr w:type="spellStart"/>
      <w:r>
        <w:rPr>
          <w:i/>
          <w:iCs/>
        </w:rPr>
        <w:t>euro</w:t>
      </w:r>
      <w:proofErr w:type="spellEnd"/>
      <w:r>
        <w:t xml:space="preserve">, 2024.gadam 14 683 713 </w:t>
      </w:r>
      <w:proofErr w:type="spellStart"/>
      <w:r>
        <w:rPr>
          <w:i/>
          <w:iCs/>
        </w:rPr>
        <w:t>euro</w:t>
      </w:r>
      <w:proofErr w:type="spellEnd"/>
      <w:r>
        <w:t xml:space="preserve"> un 2025.gadam 8 160 177 </w:t>
      </w:r>
      <w:proofErr w:type="spellStart"/>
      <w:r>
        <w:rPr>
          <w:i/>
          <w:iCs/>
        </w:rPr>
        <w:t>euro</w:t>
      </w:r>
      <w:proofErr w:type="spellEnd"/>
      <w:r>
        <w:rPr>
          <w:i/>
          <w:iCs/>
        </w:rPr>
        <w:t xml:space="preserve"> </w:t>
      </w:r>
      <w:r>
        <w:t>apmērā. Ievērojot iepriekš minēto, secināms, ka Satiksmes ministrijai ir nepieciešams papildu valsts budžeta finansējums gan maksājumiem par valsts publiskās lietošanas dzelzceļa infrastruktūras izmantošanu, gan finanšu līdzsvara nodrošināšanai. Līdz ar to uzskatām, ka nav korekti aizpildīts anotācijas III sadaļas 4.punkts, norādot līdzekļu apmēru 2021.gadam un turpmākajiem gadiem kā kompensējošu izdevumu pasākumu, jo tas nemazinās Satiksmes ministrijas budžetā pieejamo valsts budžeta finansējuma apmēru, kā arī nav korekti 8.punktā norādīt, ka samazināsies no valsts budžeta nepieciešamais līdzekļu apjoms, jo ar rīkojuma projektā paredzēto darbību veikšanu nav plānots samazināt Satiksmes ministrijas budžetā pieejamo valsts budžeta finansējumu. Ņemot vērā iepriekš minēto, lūdzam precizēt anotācijas III sadaļas 4.punktu, savukārt anotācijas III sadaļas 6.punktā norādīto informāciju lūdzam norādīt 8.punktā kā citu informāciju, to attiecīgi precizējot, un arī precizēt 8.punktā jau šobrīd norādīto informāciju.</w:t>
      </w:r>
    </w:p>
    <w:p w14:paraId="6075A529" w14:textId="77777777" w:rsidR="00C4012E" w:rsidRDefault="00C4012E" w:rsidP="00C4012E">
      <w:pPr>
        <w:pStyle w:val="ListParagraph"/>
        <w:numPr>
          <w:ilvl w:val="0"/>
          <w:numId w:val="1"/>
        </w:numPr>
        <w:tabs>
          <w:tab w:val="left" w:pos="993"/>
        </w:tabs>
        <w:ind w:left="0" w:firstLine="709"/>
        <w:jc w:val="both"/>
      </w:pPr>
      <w:r>
        <w:t>Lūdzam atbilstoši Ministru kabineta 2009.gada 15.decembra instrukcijas Nr.19 “Tiesību akta projekta sākotnējās ietekmes izvērtēšanas kārtība” IV nodaļā noteiktajam precizēt anotācijas III sadaļā 1.-5.punktu, ievērojot 33.punktā noteikto, tas ir, ja projekts neietekmē atsevišķus finanšu ietekmes rādītājus (ieņēmumus, izdevumus vai līdzekļus papildu izdevumu finansēšanai), tad attiecīgajos laukos ieraksta "0".</w:t>
      </w:r>
    </w:p>
    <w:p w14:paraId="7F2199FA" w14:textId="5E9BA858" w:rsidR="00557B49" w:rsidRPr="00C4012E" w:rsidRDefault="00C4012E" w:rsidP="007F3771">
      <w:pPr>
        <w:pStyle w:val="ListParagraph"/>
        <w:numPr>
          <w:ilvl w:val="0"/>
          <w:numId w:val="1"/>
        </w:numPr>
        <w:tabs>
          <w:tab w:val="left" w:pos="993"/>
        </w:tabs>
        <w:ind w:left="0" w:firstLine="709"/>
        <w:jc w:val="both"/>
      </w:pPr>
      <w:r>
        <w:t xml:space="preserve">Ņemot vērā, ka Publiskas personas kapitāla daļu un kapitālsabiedrību pārvaldības likuma 3.panta otrā daļa nosaka, ka šajā likumā paredzētās darbības veic, ievērojot arī komercdarbības atbalsta kontroli regulējošus normatīvos aktus, lūdzam anotācijas I sadaļas 2.punktā ietvert skaidrojumu, vai plānotās darbības </w:t>
      </w:r>
      <w:bookmarkStart w:id="6" w:name="_Hlk69133124"/>
      <w:r>
        <w:t>“</w:t>
      </w:r>
      <w:r w:rsidRPr="008F797C">
        <w:rPr>
          <w:i/>
          <w:iCs/>
        </w:rPr>
        <w:t xml:space="preserve">valsts akciju sabiedrības “Latvijas dzelzceļš” </w:t>
      </w:r>
      <w:bookmarkEnd w:id="6"/>
      <w:r w:rsidRPr="008F797C">
        <w:rPr>
          <w:i/>
          <w:iCs/>
        </w:rPr>
        <w:t>izšķirošās ietekmes un līdzdalības izbeigšana SIA “LDZ infrastruktūra” un valsts akciju sabiedrības “Latvijas dzelzceļš” netiešas izšķirošas ietekmes izbeigšana  SIA “Rīgas Vagonbūves Uzņēmums “Baltija”” un SIA “LDZ ritošā sastāva serviss” līdzdalības un tiešas izšķirošas ietekmes izbeigšana SIA “Rīgas Vagonbūves Uzņēmums “Baltija”</w:t>
      </w:r>
      <w:r>
        <w:t>” ir tādas, kas paredz/neparedz komercdarbības atbalsta piešķiršanu, norādot argumentus, un tām ir/nav jāpiemēro komercdarbības atbalsta kontroles normas. Informāciju anotācijā par katru no uzņēmumiem, kurā tiek izbeigta izšķiroša ietekme un līdzdalība, un par tā pārņemošo uzņēmumu, lūdzam norādīt atsevišķi.</w:t>
      </w:r>
    </w:p>
    <w:p w14:paraId="471D0282" w14:textId="77777777" w:rsidR="00557B49" w:rsidRPr="00615936" w:rsidRDefault="00557B49" w:rsidP="007F3771">
      <w:pPr>
        <w:rPr>
          <w:szCs w:val="24"/>
        </w:rPr>
      </w:pPr>
    </w:p>
    <w:p w14:paraId="3EF60447"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F702D63" w14:textId="77777777" w:rsidTr="00AA6DC1">
        <w:tc>
          <w:tcPr>
            <w:tcW w:w="4395" w:type="dxa"/>
          </w:tcPr>
          <w:p w14:paraId="7F0EE378" w14:textId="270FE32C" w:rsidR="00AA6DC1" w:rsidRPr="00615936" w:rsidRDefault="0099329D" w:rsidP="007F3771">
            <w:pPr>
              <w:rPr>
                <w:szCs w:val="24"/>
              </w:rPr>
            </w:pPr>
            <w:r>
              <w:rPr>
                <w:szCs w:val="24"/>
              </w:rPr>
              <w:t>Administrācijas vadītāja</w:t>
            </w:r>
          </w:p>
        </w:tc>
        <w:tc>
          <w:tcPr>
            <w:tcW w:w="1984" w:type="dxa"/>
          </w:tcPr>
          <w:p w14:paraId="79395DF6"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28D6B1CF" w14:textId="32EE7585" w:rsidR="00AA6DC1" w:rsidRPr="00615936" w:rsidRDefault="0099329D" w:rsidP="00483407">
            <w:pPr>
              <w:jc w:val="right"/>
              <w:rPr>
                <w:szCs w:val="24"/>
              </w:rPr>
            </w:pPr>
            <w:proofErr w:type="spellStart"/>
            <w:r>
              <w:rPr>
                <w:szCs w:val="24"/>
              </w:rPr>
              <w:t>I.Braunfelde</w:t>
            </w:r>
            <w:proofErr w:type="spellEnd"/>
          </w:p>
        </w:tc>
      </w:tr>
      <w:tr w:rsidR="00AA6DC1" w:rsidRPr="00615936" w14:paraId="0A2F6D82" w14:textId="77777777" w:rsidTr="00AA6DC1">
        <w:tc>
          <w:tcPr>
            <w:tcW w:w="4395" w:type="dxa"/>
          </w:tcPr>
          <w:p w14:paraId="1D8A0AFB" w14:textId="77777777" w:rsidR="00AA6DC1" w:rsidRPr="00615936" w:rsidRDefault="00AA6DC1" w:rsidP="007F3771">
            <w:pPr>
              <w:rPr>
                <w:szCs w:val="24"/>
              </w:rPr>
            </w:pPr>
          </w:p>
        </w:tc>
        <w:tc>
          <w:tcPr>
            <w:tcW w:w="1984" w:type="dxa"/>
          </w:tcPr>
          <w:p w14:paraId="53D3F4C2" w14:textId="77777777" w:rsidR="00AA6DC1" w:rsidRPr="00615936" w:rsidRDefault="00AA6DC1" w:rsidP="000C0DD4">
            <w:pPr>
              <w:jc w:val="right"/>
              <w:rPr>
                <w:szCs w:val="24"/>
              </w:rPr>
            </w:pPr>
          </w:p>
        </w:tc>
        <w:tc>
          <w:tcPr>
            <w:tcW w:w="2977" w:type="dxa"/>
            <w:vAlign w:val="bottom"/>
          </w:tcPr>
          <w:p w14:paraId="05618B7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1236F801" w14:textId="77777777" w:rsidTr="00AA6DC1">
        <w:trPr>
          <w:cantSplit/>
          <w:trHeight w:val="615"/>
        </w:trPr>
        <w:tc>
          <w:tcPr>
            <w:tcW w:w="8647" w:type="dxa"/>
          </w:tcPr>
          <w:p w14:paraId="5888C694"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61D508D7" w14:textId="11E55444" w:rsidR="00826D51" w:rsidRDefault="00826D51" w:rsidP="007F3771">
      <w:pPr>
        <w:rPr>
          <w:sz w:val="20"/>
        </w:rPr>
      </w:pPr>
    </w:p>
    <w:p w14:paraId="25DE80C2" w14:textId="63FE53F6" w:rsidR="00C4012E" w:rsidRDefault="00C4012E" w:rsidP="007F3771">
      <w:pPr>
        <w:rPr>
          <w:sz w:val="20"/>
        </w:rPr>
      </w:pPr>
    </w:p>
    <w:p w14:paraId="2EE7FB21" w14:textId="1499F702" w:rsidR="00C4012E" w:rsidRDefault="00C4012E" w:rsidP="007F3771">
      <w:pPr>
        <w:rPr>
          <w:sz w:val="20"/>
        </w:rPr>
      </w:pPr>
    </w:p>
    <w:p w14:paraId="71A5CF48" w14:textId="77777777" w:rsidR="00C4012E" w:rsidRDefault="00C4012E" w:rsidP="007F3771">
      <w:pPr>
        <w:rPr>
          <w:sz w:val="20"/>
        </w:rPr>
      </w:pPr>
    </w:p>
    <w:p w14:paraId="7589FE17" w14:textId="08EBA424" w:rsidR="0099329D" w:rsidRDefault="0099329D" w:rsidP="00550BA5">
      <w:pPr>
        <w:ind w:firstLine="142"/>
        <w:rPr>
          <w:sz w:val="20"/>
        </w:rPr>
      </w:pPr>
      <w:r>
        <w:rPr>
          <w:sz w:val="20"/>
        </w:rPr>
        <w:t xml:space="preserve">Āboliņa 67083963 </w:t>
      </w:r>
    </w:p>
    <w:p w14:paraId="44C10F13" w14:textId="7CFAE2B2" w:rsidR="000C0DD4" w:rsidRDefault="000208F8" w:rsidP="00550BA5">
      <w:pPr>
        <w:ind w:firstLine="142"/>
        <w:rPr>
          <w:sz w:val="20"/>
        </w:rPr>
      </w:pPr>
      <w:hyperlink r:id="rId11" w:history="1">
        <w:r w:rsidR="00C4012E" w:rsidRPr="00306D3F">
          <w:rPr>
            <w:rStyle w:val="Hyperlink"/>
            <w:sz w:val="20"/>
          </w:rPr>
          <w:t>ilze.abolina@fm.gov.lv</w:t>
        </w:r>
      </w:hyperlink>
    </w:p>
    <w:p w14:paraId="34CE660E" w14:textId="77777777" w:rsidR="00C4012E" w:rsidRPr="00C4012E" w:rsidRDefault="00C4012E" w:rsidP="00C4012E">
      <w:pPr>
        <w:rPr>
          <w:sz w:val="20"/>
        </w:rPr>
      </w:pPr>
    </w:p>
    <w:p w14:paraId="6D2DFE86" w14:textId="77777777" w:rsidR="00C4012E" w:rsidRPr="00C4012E" w:rsidRDefault="00C4012E" w:rsidP="00C4012E">
      <w:pPr>
        <w:ind w:firstLine="142"/>
        <w:rPr>
          <w:sz w:val="20"/>
        </w:rPr>
      </w:pPr>
      <w:r w:rsidRPr="00C4012E">
        <w:rPr>
          <w:sz w:val="20"/>
        </w:rPr>
        <w:t>Federe 67095444</w:t>
      </w:r>
    </w:p>
    <w:p w14:paraId="188A59E9" w14:textId="12AA811A" w:rsidR="00C4012E" w:rsidRPr="00C4012E" w:rsidRDefault="000208F8" w:rsidP="00C4012E">
      <w:pPr>
        <w:ind w:firstLine="142"/>
        <w:rPr>
          <w:sz w:val="20"/>
        </w:rPr>
      </w:pPr>
      <w:hyperlink r:id="rId12" w:history="1">
        <w:r w:rsidR="00C4012E" w:rsidRPr="00306D3F">
          <w:rPr>
            <w:rStyle w:val="Hyperlink"/>
            <w:sz w:val="20"/>
          </w:rPr>
          <w:t>guna.federe@fm.gov.lv</w:t>
        </w:r>
      </w:hyperlink>
      <w:r w:rsidR="00C4012E">
        <w:rPr>
          <w:sz w:val="20"/>
        </w:rPr>
        <w:t xml:space="preserve"> </w:t>
      </w:r>
    </w:p>
    <w:p w14:paraId="0EA8039C" w14:textId="77777777" w:rsidR="00C4012E" w:rsidRPr="00C4012E" w:rsidRDefault="00C4012E" w:rsidP="00C4012E">
      <w:pPr>
        <w:ind w:firstLine="142"/>
        <w:rPr>
          <w:sz w:val="20"/>
        </w:rPr>
      </w:pPr>
    </w:p>
    <w:p w14:paraId="5E9F217B" w14:textId="77777777" w:rsidR="00C4012E" w:rsidRPr="00C4012E" w:rsidRDefault="00C4012E" w:rsidP="00C4012E">
      <w:pPr>
        <w:ind w:firstLine="142"/>
        <w:rPr>
          <w:sz w:val="20"/>
        </w:rPr>
      </w:pPr>
      <w:proofErr w:type="spellStart"/>
      <w:r w:rsidRPr="00C4012E">
        <w:rPr>
          <w:sz w:val="20"/>
        </w:rPr>
        <w:t>Galauska</w:t>
      </w:r>
      <w:proofErr w:type="spellEnd"/>
      <w:r w:rsidRPr="00C4012E">
        <w:rPr>
          <w:sz w:val="20"/>
        </w:rPr>
        <w:t xml:space="preserve"> 67083854</w:t>
      </w:r>
    </w:p>
    <w:p w14:paraId="19D4532A" w14:textId="54EAF5A6" w:rsidR="00C4012E" w:rsidRDefault="000208F8" w:rsidP="00C4012E">
      <w:pPr>
        <w:ind w:firstLine="142"/>
        <w:rPr>
          <w:sz w:val="20"/>
        </w:rPr>
      </w:pPr>
      <w:hyperlink r:id="rId13" w:history="1">
        <w:r w:rsidR="00C4012E" w:rsidRPr="00306D3F">
          <w:rPr>
            <w:rStyle w:val="Hyperlink"/>
            <w:sz w:val="20"/>
          </w:rPr>
          <w:t>gunita.galauska@fm.gov.lv</w:t>
        </w:r>
      </w:hyperlink>
      <w:r w:rsidR="00C4012E">
        <w:rPr>
          <w:sz w:val="20"/>
        </w:rPr>
        <w:t xml:space="preserve"> </w:t>
      </w:r>
      <w:r w:rsidR="00C4012E" w:rsidRPr="00C4012E">
        <w:rPr>
          <w:sz w:val="20"/>
        </w:rPr>
        <w:t xml:space="preserve"> </w:t>
      </w:r>
      <w:r w:rsidR="00C4012E">
        <w:rPr>
          <w:sz w:val="20"/>
        </w:rPr>
        <w:t xml:space="preserve"> </w:t>
      </w:r>
    </w:p>
    <w:p w14:paraId="54DEC45C" w14:textId="011FDC36" w:rsidR="00C4012E" w:rsidRDefault="00C4012E" w:rsidP="00C4012E">
      <w:pPr>
        <w:ind w:firstLine="142"/>
        <w:rPr>
          <w:sz w:val="20"/>
        </w:rPr>
      </w:pPr>
    </w:p>
    <w:p w14:paraId="3D6C261E" w14:textId="77777777" w:rsidR="000C0DD4" w:rsidRPr="006D6710" w:rsidRDefault="000C0DD4" w:rsidP="007F3771">
      <w:pPr>
        <w:rPr>
          <w:sz w:val="20"/>
        </w:rPr>
      </w:pPr>
    </w:p>
    <w:sectPr w:rsidR="000C0DD4" w:rsidRPr="006D6710" w:rsidSect="002C22B9">
      <w:headerReference w:type="even" r:id="rId14"/>
      <w:headerReference w:type="default" r:id="rId15"/>
      <w:footerReference w:type="even" r:id="rId16"/>
      <w:footerReference w:type="default" r:id="rId17"/>
      <w:headerReference w:type="first" r:id="rId18"/>
      <w:footerReference w:type="first" r:id="rId19"/>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9634" w14:textId="77777777" w:rsidR="001F0464" w:rsidRDefault="001F0464">
      <w:r>
        <w:separator/>
      </w:r>
    </w:p>
  </w:endnote>
  <w:endnote w:type="continuationSeparator" w:id="0">
    <w:p w14:paraId="2A12E0AF" w14:textId="77777777" w:rsidR="001F0464" w:rsidRDefault="001F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4271"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024A1209"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EA28B0E"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F6BB" w14:textId="77777777" w:rsidR="0015384D" w:rsidRDefault="0015384D">
    <w:pPr>
      <w:pStyle w:val="Footer"/>
      <w:jc w:val="center"/>
    </w:pPr>
  </w:p>
  <w:p w14:paraId="455708B9"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ED7CF" w14:textId="77777777" w:rsidR="001F0464" w:rsidRDefault="001F0464">
      <w:r>
        <w:separator/>
      </w:r>
    </w:p>
  </w:footnote>
  <w:footnote w:type="continuationSeparator" w:id="0">
    <w:p w14:paraId="42905B2C" w14:textId="77777777" w:rsidR="001F0464" w:rsidRDefault="001F0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F6CC"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2C6DC6B"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09C8"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7BF9" w14:textId="77777777" w:rsidR="002C22B9" w:rsidRDefault="002C22B9">
    <w:pPr>
      <w:pStyle w:val="Header"/>
    </w:pPr>
  </w:p>
  <w:p w14:paraId="3980DDF1" w14:textId="77777777" w:rsidR="002C22B9" w:rsidRDefault="002C22B9">
    <w:pPr>
      <w:pStyle w:val="Header"/>
    </w:pPr>
  </w:p>
  <w:p w14:paraId="1FCF4244" w14:textId="77777777" w:rsidR="002C22B9" w:rsidRDefault="002C22B9">
    <w:pPr>
      <w:pStyle w:val="Header"/>
    </w:pPr>
  </w:p>
  <w:p w14:paraId="6D2DEAC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C4850E8" wp14:editId="2D54C61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652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850E8"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4326652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84083A0" wp14:editId="4E066319">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9446A9" w14:textId="77777777" w:rsidR="002C22B9" w:rsidRDefault="002C22B9">
    <w:pPr>
      <w:pStyle w:val="Header"/>
    </w:pPr>
  </w:p>
  <w:p w14:paraId="746772C5" w14:textId="77777777" w:rsidR="002C22B9" w:rsidRDefault="002C22B9">
    <w:pPr>
      <w:pStyle w:val="Header"/>
    </w:pPr>
  </w:p>
  <w:p w14:paraId="3FAAE44E" w14:textId="77777777" w:rsidR="002C22B9" w:rsidRDefault="002C22B9">
    <w:pPr>
      <w:pStyle w:val="Header"/>
    </w:pPr>
  </w:p>
  <w:p w14:paraId="1A055E2D" w14:textId="77777777" w:rsidR="002C22B9" w:rsidRDefault="002C22B9">
    <w:pPr>
      <w:pStyle w:val="Header"/>
    </w:pPr>
  </w:p>
  <w:p w14:paraId="5AFAB605" w14:textId="77777777" w:rsidR="002C22B9" w:rsidRDefault="002C22B9">
    <w:pPr>
      <w:pStyle w:val="Header"/>
    </w:pPr>
  </w:p>
  <w:p w14:paraId="5F25B734" w14:textId="77777777" w:rsidR="002C22B9" w:rsidRDefault="002C22B9">
    <w:pPr>
      <w:pStyle w:val="Header"/>
    </w:pPr>
  </w:p>
  <w:p w14:paraId="44F23A7B"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61484FB" wp14:editId="3C3E754A">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BBA4C70" w14:textId="77777777" w:rsidR="002C22B9" w:rsidRDefault="002C22B9">
    <w:pPr>
      <w:pStyle w:val="Header"/>
    </w:pPr>
  </w:p>
  <w:p w14:paraId="551330AA" w14:textId="77777777" w:rsidR="002C22B9" w:rsidRDefault="002C22B9">
    <w:pPr>
      <w:pStyle w:val="Header"/>
    </w:pPr>
  </w:p>
  <w:p w14:paraId="5C3ECAA4"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D0B29"/>
    <w:multiLevelType w:val="hybridMultilevel"/>
    <w:tmpl w:val="799CF278"/>
    <w:lvl w:ilvl="0" w:tplc="9F04F838">
      <w:start w:val="1"/>
      <w:numFmt w:val="decimal"/>
      <w:lvlText w:val="%1."/>
      <w:lvlJc w:val="left"/>
      <w:pPr>
        <w:ind w:left="1080" w:hanging="360"/>
      </w:pPr>
      <w:rPr>
        <w:rFonts w:ascii="Times New Roman" w:eastAsia="Calibri" w:hAnsi="Times New Roman" w:cs="Times New Roman"/>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08F8"/>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2ACB"/>
    <w:rsid w:val="0017402C"/>
    <w:rsid w:val="00176F63"/>
    <w:rsid w:val="00184AB5"/>
    <w:rsid w:val="001943EE"/>
    <w:rsid w:val="001D78A7"/>
    <w:rsid w:val="001F0464"/>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58EE"/>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C2300"/>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23C9"/>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329D"/>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012E"/>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8B3FBD"/>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12E"/>
    <w:pPr>
      <w:ind w:left="720"/>
      <w:jc w:val="left"/>
    </w:pPr>
    <w:rPr>
      <w:rFonts w:eastAsiaTheme="minorHAnsi"/>
      <w:szCs w:val="24"/>
      <w:lang w:eastAsia="lv-LV"/>
    </w:rPr>
  </w:style>
  <w:style w:type="character" w:styleId="UnresolvedMention">
    <w:name w:val="Unresolved Mention"/>
    <w:basedOn w:val="DefaultParagraphFont"/>
    <w:uiPriority w:val="99"/>
    <w:semiHidden/>
    <w:unhideWhenUsed/>
    <w:rsid w:val="00C40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nita.galauska@f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una.federe@f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ze.abolina@f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DD7E1-B93C-4434-91C9-BEAEC6BBE3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EFA4E6-4FF4-49BF-B100-B1A4BD66D4A6}">
  <ds:schemaRefs>
    <ds:schemaRef ds:uri="http://schemas.microsoft.com/sharepoint/v3/contenttype/forms"/>
  </ds:schemaRefs>
</ds:datastoreItem>
</file>

<file path=customXml/itemProps3.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customXml/itemProps4.xml><?xml version="1.0" encoding="utf-8"?>
<ds:datastoreItem xmlns:ds="http://schemas.openxmlformats.org/officeDocument/2006/customXml" ds:itemID="{628AABF4-5628-4626-8ABF-1822C078D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5429</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rīkojuma projektu "Par valsts akciju sabiedrīb</dc:subject>
  <dc:creator>Āboliņa I.</dc:creator>
  <dc:description>Sagatavots ALS E-aprites vidē.</dc:description>
  <cp:lastModifiedBy>Linda Pūce</cp:lastModifiedBy>
  <cp:revision>2</cp:revision>
  <cp:lastPrinted>2007-06-25T10:49:00Z</cp:lastPrinted>
  <dcterms:created xsi:type="dcterms:W3CDTF">2021-11-30T11:39:00Z</dcterms:created>
  <dcterms:modified xsi:type="dcterms:W3CDTF">2021-11-30T11:39:00Z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0x010100B1986CC7A99B184D88D9905B97C66A9C</vt:lpwstr>
  </property>
</Properties>
</file>