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23-TA-588: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un aktīvu līdzdalību, kā arī uzlabotu nodarbinātību" 4.3.4.3.pasākuma "Pasākumi ģimenes un darba dzīves saskaņošanai" pirmās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nosaukumā, tekstā, anotācijā un protokollēmumā 4.3.4.specifiskā atbalsta mērķa (turpmāk - SAM) nosaukumu, lai tas atbilstu Eiropas Savienības kohēzijas politikas programma 2021.–2027.gadam  apstiprinātajam/ noteiktajam, t.i. 4.3.4.SAM “</w:t>
            </w:r>
            <w:r w:rsidR="00000000" w:rsidRPr="00000000" w:rsidDel="00000000">
              <w:rPr>
                <w:b w:val="1"/>
                <w:rtl w:val="0"/>
              </w:rPr>
              <w:t xml:space="preserve">Sekmēt aktīvu iekļaušanu, lai veicinātu vienlīdzīgas iespējas, nediskriminēšanu un aktīvu līdzdalību, kā arī uzlabotu nodarbināmību, jo īpaši attiecībā uz nelabvēlīgā situācijā esošām grupām”</w:t>
            </w:r>
            <w:r w:rsidR="00000000" w:rsidRPr="00000000" w:rsidDel="00000000">
              <w:rPr>
                <w:rtl w:val="0"/>
              </w:rPr>
              <w:t xml:space="preserve"> (ESO 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anotācijas un MK protokollēmuma projekta nosaukumā ietvertais SAM 4.3.4. nosaukums, atbilstoši Eiropas Savienības kohēzijas politikas programmā 2021. – 2027. gadam (turpmāk – Programma)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pirmās kārtas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ģimenes un darba dzīves saskaņošanu un cilvēkkapitāla attīstību, īstenojot atbalsta pasākumus politikas veidotājiem un sabiedrībai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noteikumu projektā norādīto mērķi un atbalstāmo darbību aprakstus, ne vien, lai sabiedrības pārstāvjiem būtu nepārprotami skaidrs plānoto pasākumu kopums, bet arī lai nodrošinātu tā sasaisti ar "Eiropas Savienības kohēzijas politikas programma 2021.–2027.gadam" (turpmāk – Programmā) ietverto SAM aprakstu un mērķi, ņemot vērā, ka šobrīd ne no pasākuma mērķa, ne darbību aprakstiem sasaiste ar Programmā ietverto informāciju nav nolasāma.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Programmai: Ģimenes un darba dzīves saskaņošanai, </w:t>
            </w:r>
            <w:r w:rsidR="00000000" w:rsidRPr="00000000" w:rsidDel="00000000">
              <w:rPr>
                <w:b w:val="1"/>
                <w:rtl w:val="0"/>
              </w:rPr>
              <w:t xml:space="preserve">lai atbalstītu</w:t>
            </w:r>
            <w:r w:rsidR="00000000" w:rsidRPr="00000000" w:rsidDel="00000000">
              <w:rPr>
                <w:rtl w:val="0"/>
              </w:rPr>
              <w:t xml:space="preserve"> cilvēkkapitāla attīstību, </w:t>
            </w:r>
            <w:r w:rsidR="00000000" w:rsidRPr="00000000" w:rsidDel="00000000">
              <w:rPr>
                <w:b w:val="1"/>
                <w:rtl w:val="0"/>
              </w:rPr>
              <w:t xml:space="preserve">sekmētu darbinieku spēju savienot darbu un ģimenes dzīvi, paredzēti izvērtējumi par dzīves kvalitātes uzlabošanas dažādiem aspektiem, sabiedrības informēšanas un izglītošanas pasākumi, sabiedriskās aptaujas, informatīvo materiālu izstrāde par elastīgā darba laika un attālinātā darba prakses iespējām, par vienlīdzīgām iespējām un diskriminācijas novēršanu, savu tiesību pārstāvībai un īstenošanai.</w:t>
            </w:r>
            <w:r w:rsidR="00000000" w:rsidRPr="00000000" w:rsidDel="00000000">
              <w:rPr>
                <w:rtl w:val="0"/>
              </w:rPr>
              <w:t xml:space="preserve"> Skolas vecuma bērnu pieskatīšanai vasaras periodā tiks organizētas nometnes.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saprotam, ka pēdējais minētais (nometnes) tiks īstenotas 4.3.4.3.pasākuma 2.kārtā.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nodrošināt, ka SAM/ pasākuma mērķis atbilst SAM ietvaros sasniedzamajiem rezultātiem (skat. Programmā iekļautos attiecīgos rezultāta un iznākuma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precizēts 4.3.4.3. pasākuma mērķis. Attiecībā uz atbalstāmajām darbībām jāatzīmē, ka jau šobrīd MK noteikumu projektā un anotācijā ietvertais atbalstāmo darbību apraksts ir atbilstošs Programmā ietvertajai informācijai un pietiekami izvērsts, tādēļ LM ieskatā atbalstāmo darbību aprakstus nav nepieciešams papildināt.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ģimenes un darba dzīves saskaņošanu un cilvēkkapitāla attīstību, veicot izvērtējumus par dažādiem dzīves kvalitātes uzlabošanas aspektiem un īstenojot sabiedrības informēšanas un izglītošanas pasākumus par ģimenes un darba dzīves saskaņošanas iespējām un vienlīdzīgu iespēju un nediskriminācijas jautājumiem.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5 985 000 </w:t>
            </w:r>
            <w:r w:rsidR="00000000" w:rsidRPr="00000000" w:rsidDel="00000000">
              <w:rPr>
                <w:i w:val="1"/>
                <w:rtl w:val="0"/>
              </w:rPr>
              <w:t xml:space="preserve">euro</w:t>
            </w:r>
            <w:r w:rsidR="00000000" w:rsidRPr="00000000" w:rsidDel="00000000">
              <w:rPr>
                <w:rtl w:val="0"/>
              </w:rPr>
              <w:t xml:space="preserve">, tai skaitā Eiropas Sociālā fonda Plus finansējums – 5 087 250 </w:t>
            </w:r>
            <w:r w:rsidR="00000000" w:rsidRPr="00000000" w:rsidDel="00000000">
              <w:rPr>
                <w:i w:val="1"/>
                <w:rtl w:val="0"/>
              </w:rPr>
              <w:t xml:space="preserve">euro</w:t>
            </w:r>
            <w:r w:rsidR="00000000" w:rsidRPr="00000000" w:rsidDel="00000000">
              <w:rPr>
                <w:rtl w:val="0"/>
              </w:rPr>
              <w:t xml:space="preserve"> un valsts budžeta līdzfinansējums – 897 750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projekts paredz ieviešanu vairākās atlases kārtās, noteikumu projektā ir jābūt noteiktam finansējumam pa atlases kārtām. Attiecīgi lūdzam ar šo informāciju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1.1. apakšpunktā ietverto 4.3.4.3. pasākuma pirmās kārtas saīsinājumu, LM ieskatā nav nepieciešams precizēt MK noteikumu projekta 7. punktu. Savukārt MK noteikumu projekta anotācija papildināta ar informāciju, ka 4.3.4.3. pasākums tiks īstenots divās kārtās un pasākuma otrajā kārtā paredzēts īstenot nometnes bērniem, kuri nav sasnieguši 18 gadu vecumu un kuri iegūst vispārējo vai profesionālo izglītību. Tāpat norādīts arī 4.3.4.3. pasākuma otrajai kārtai plānotais un pieejamais kopējais 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5 309 860</w:t>
            </w:r>
            <w:r w:rsidR="00000000" w:rsidRPr="00000000" w:rsidDel="00000000">
              <w:rPr>
                <w:i w:val="1"/>
                <w:rtl w:val="0"/>
              </w:rPr>
              <w:t xml:space="preserve"> euro</w:t>
            </w:r>
            <w:r w:rsidR="00000000" w:rsidRPr="00000000" w:rsidDel="00000000">
              <w:rPr>
                <w:rtl w:val="0"/>
              </w:rPr>
              <w:t xml:space="preserve">, tai skaitā Eiropas Sociālā fonda Plus finansējums – 4 513 381 </w:t>
            </w:r>
            <w:r w:rsidR="00000000" w:rsidRPr="00000000" w:rsidDel="00000000">
              <w:rPr>
                <w:i w:val="1"/>
                <w:rtl w:val="0"/>
              </w:rPr>
              <w:t xml:space="preserve">euro</w:t>
            </w:r>
            <w:r w:rsidR="00000000" w:rsidRPr="00000000" w:rsidDel="00000000">
              <w:rPr>
                <w:rtl w:val="0"/>
              </w:rPr>
              <w:t xml:space="preserve"> un valsts budžeta līdzfinansējums – 796 479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finansējuma saņēmējam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2023.gada 13.jūlija protokollēmuma Nr.36 85. § 3.punktā, noteikto, kas paredz, ka,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vienlaikus, atbildīgā iestāde minēto risinājumu var nepiemērot, ja to objektīvi un izvērsti pamato Ministru kabineta noteikumu par specifisko atbalsta mērķa īstenošanu anotācijā, aicinām izvērtēt un, ja attiecināms, papildināt noteikumu projektu ar pienākumu finansējuma saņēmējam veikt izvērtējumu par izmaksu un ieguvumu analīzi vai papildināt anotāciju ar skaidrojumu risinājuma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4.3.4.3. pasākuma ietvaros īstenotās atbalstāmās darbības, t.i. politikas veidošanai nepieciešamo izvērtējumu veikšana un sabiedrības izpratnes un informētības paaugstināšanas pasākumu īstenošana par ģimenes un darba dzīves saskaņošanas un dzīves kvalitātes uzlabošanas dažādiem aspektiem un vienlīdzīgu iespēju un nediskriminācijas jautājumiem ir viens no LM pamatuzdevumiem un, ņemot vērā, ka finansējuma saņēmējs ir LM par tām nav iespēja veikt izvērtējumu par izmaksu un iegumu analīzi. 4.3.4.3. pasākuma ietvaros veikto izvērtējumu primārais mērķis ir uz pierādījumiem balstītas politikas veidošana un lēmumu pieņemšana, tostarp, lai nodrošinātu mērķētu, iedzīvotāju vajadzībām atbilstošu pasākumu īstenošanu un resursu lietderīgu un efektīvu sadali, kā arī, lai nodrošinātu ministrijai noteiktā uzdevuma – nozares politikas veidošana un attīstības plānošana izpildi, kuru atbilstoši Valsts pārvaldes iekārtas likuma 41. panta otrajā daļā noteiktajam nav iespējams deleģēt privātpersonai un citai publiskai personai. Šī pasākuma ietvaros veiktie pētījumi pastarpinātā veidā skars vairākas politikas jomas un perspektīvā atstās pozitīvu ietekmi uz tautsaimniecību kopumā </w:t>
            </w:r>
            <w:r w:rsidR="00000000" w:rsidRPr="00000000" w:rsidDel="00000000">
              <w:rPr>
                <w:i w:val="1"/>
                <w:rtl w:val="0"/>
              </w:rPr>
              <w:t xml:space="preserve">(izvērstāks skaidrojums par 4.3.4.3. pasākuma ietekmi uz tautsaimniecību ietverts izziņas 45. punktā kā arī MK noteikumu projekta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sabiedrības izpratnes un informētības paaugstināšanas pasākumu mērķis ir kopumā veicināt sabiedrības izpratni par dažādiem ar ģimenes un darba un dzīves kvalitātes uzlabošanas un diskriminācijas mazināšanas aspektiem, kas pozitīvi ietekmēs konkrētu personu dzīves kvalitāti, t.sk. mazinās diskriminācijas riskus un veicinās šo personu ģimenes un darba dzīves saskaņošanas iespējas, iekļaušanos sabiedrībā un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ietverta MK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finansējuma saņēmējam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projektā prasības projekta iesniedzējam. Piemēram, iztrūkst,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iesniedzējs saskaņā ar projekta iesnieguma atlases nolikumu sagatavo projekta iesniegumu un iesniedz to sadarbības iestādē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Eiropas Savienības fondu 2021.—2027. gada plānošanas perioda vadības likuma 20. panta piektajā daļā ir noteikts, ka projekta iesniedzējs sagatavo un iesniedz projekta iesniegumu saskaņā ar projektu iesniegumu atlases nolikuma prasībām. Savukārt Tiesību aktu portālā (TAP) 26.06.2023. izskatīšanai MK iesniegtā normatīvā akta “Kārtība, kādā Eiropas Savienības fondu vadībā iesaistītās institūcijas nodrošina šo fondu ieviešanu 2021.–2027. gada plānošanas periodā” 14. punkts nosaka nolikumā ietveramo informāciju, tostarp, ka projekta iesniegums iesniedzams, izmantojot Kohēzijas politikas fondu vadības informācijas sistēmu (14.7. apakšpunkts), kā arī projektu iesniegumu sagatavošanas un iesniegšanas kārtību (14.8. apakšpunkts). Ņemot vērā minēto, prasība 4.3.4.3. pasākuma pirmās kārtas  projekta iesniegumu iesniegt izmantojot KPVIS tiks noteikta projektu iesniegumu atlases nolikumā. To nav nepieciešams dublēt 4.3.4.3. pasākuma MK noteikumos. Līdzīga pieeja ir tikusi īstenota un saskaņota ar Finanšu ministriju arī citos SAM pasākumu MK noteikumos, piemēram, 4.3.4.1. pasākuma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iespējamā dubultfinansēšana riska novēršanu, jau šobrīd MK noteikumu projekta 21.7. apakšpunktā ir noteikts – īstenojot projektu, finansējuma saņēmējs nodrošina, ka projektā plānotas atbalstāmās darbības netiek finansētas vai līdzfinansētas, kā arī tās nav plānots finansēt vai līdzfinansēt no citiem valsts, pašvaldības vai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nedublētu citā normatīvajā regulējumā noteikto, un ņemot vērā jau šobrīd MK noteikumu projektā ietverto nosacījumu, LM ieskatā nav nepieciešams papildināt MK noteikumu projektu ar iebildumā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projekta anotācija papildināta ar informāciju, ka TA paredz, ka finansējuma saņēmējs nodrošina, ka 4.3.4.3. pasākuma pirmās kārtas paredzētās atbalstāmās darbības netiek finansētas vai līdzfinansētas, kā arī tās nav plānots finansēt vai līdzfinansēt no citiem valsts, pašvaldības vai ārvalstu finanšu atbalsta instrumentiem, t.sk., tiks nodrošināta pievienotās vērtības nodokļa dubultā finansējuma riska novēršana. Kā vienu no demarkācijas un dubultfinansējuma riska novēršanas uzraudzības instrumentiem finansējuma saņēmējs var izmantot FM izstrādāto dubultfinansējuma riska kontroles matricu.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finansējuma saņēmējam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MK noteikumu projekta 12.1. un 12.2. apakšpunktā minētajām atbalstāmajām darbībām paredzēti indikatīvi 2 835 998 EUR jeb 47% no 4.3.4.3.pasākuma 1.kārtai pieejamā finansējuma. Lūdzam skaidrot, kādām darbībām paredzēts izmantot pārējos 53%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5 985 000 euro uz 5 309 860 euro precizēts 4.3.4.3. pasākuma pirmajai kārtai plānotais un pieejamais kopējais attiecināmais finansējums. Tāpat precizēts arī atbalstāmajām darbībām plānotais indikatīvais finansējums, proti, izvērtējumiem plānoti indikatīvi 1 832 998 euro, savukārt sabiedrības izpratnes un informētības paaugstināšanas pasākumu īstenošanai plānoti indikatīvi 1 300 000 euro Savukārt 4.3.4.3. pasākuma pirmās kārtas personāla izmaksas (t.sk. iepirkuma rezultātā piesaistītā personāla) izmaksas sastāda indikatīvi 1 829 489 euro. Savukārt netiešās izmaksas indikatīvi 347 373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Skat. precizēto MK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finansējuma saņēmēja projekta vadības un īstenošanas personāla atlīdzības izmaksas saskaņā ar Valsts un pašvaldību institūciju amatpersonu un darbinieku atlīdzības likumu,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precizēts, paredzot, ka atbildīgā iestāde (AI) izstrādās vienotās likmes un tās piemērošanas metodiku personāla atlīdzības izmaksām. Savukārt līdz minētās metodikas apstiprināšanai, finansējuma saņēmēja projekta īstenošanas personāla un vadības personāla atlīdzības izmaksas tiks segtas atbilstoši faktiskajām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pārējās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4.3.4.3. pasākuma pirmajā kārtā, kur tas ir iespējams, tiek piemērotas vienkāršotās izmaksas. Proti, iekšzemes komandējumu un darba (dienesta) braucienu izmaksām paredzēts piemērot vadošās iestādes vienas vienības izmaksu standarta likmes metodikas par 1 km izmaksām un iekšzemes komandējumu izmaksām. Savukārt personāla izmaksām tiks piemērota AI izstrādāta vienotā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izvērtējumu veikšanu un sabiedrības izpratnes un informētības paaugstināšanas pasākumu īstenošanu skaidrojam, ka šīs atbalstāmās darbības veiks finansējuma saņēmēja izvēlēts pakalpojuma sniedzējs. Gan izvērtējumi, gan sabiedrības izpratnes un informētības paaugstināšanas pasākumi saturiski un tvēruma ziņā būs ļoti atšķirīgi, tādēļ tiem nav iespējams piemērot vienkāršotās izmaksas, t.sk. nav iespējams definēt izmaksas vienai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iepirkumu līgumu izmaksas šo noteikumu 12.1., 12.2. un 12.3. apakšpunktā minētās atbalstāmās darbības īstenošanai, kā arī šo noteikumu 12.4. apakšpunktā minētās atbalstāmās darbības īstenošanai, ja finansējuma saņēmējs projekta vadības un īstenošanas personālu piesaista uz iepirkumu līguma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apakšpunkta redakciju, skaidri atrunājot, kas ir domāts ar iepirkumu līgumu izmaksām, nepieciešamības gadījumā atsaucoties uz 15.punktu. Vienlaikus lūdzam informāciju salāgot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informāciju, ka ar iepirkumu līgumiem 4.3.4.3. pasākumā saprot: iepirkumu līgumus, kuriem piemēro Publisko iepirkumu likuma (PIL) nosacījumus un arī tos līgumus, kuriem nepiemēro PIL nosacījumus. Iepirkumu līgumi šajā pasākumā ir pakalpojuma (t.sk., uzņēmumu) līgumi un piegādes (t.sk., pirkumu) līgumi (saskaņā ar PIL 1. panta 27. un 28. punktu). Atsauce uz MK noteikumu projekta 16.punktu nav nepieciešama, jo tā ietvaros tiek noteikti specifiski nosacījumi, kas ievērojami iepirkumu līgumu ietvaros, bet tie neaptver visus 4.3.4.3. pasākuma projektā paredzētos iepirkumu līgumus.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darba vietas aprīkojuma iegādei vai nomai, tai skaitā aprīkojuma uzturēšanai un remontam, finansējuma saņēmēja projekta īstenošanas un vadības personālam jaunu darba vietu radīšanai vai esošo darba vietu atjaunošanai var paredzēt ne vairāk kā 3 000 euro 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15.1. apakšpunkta pēdējā teikuma redakciju saistībā ar darba vietas aprīkojuma izmaksu attiecināšanu, ņemot vērā, ka saskaņā ar Finanšu ministrijas vadlīniju Nr.1.2.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33.punktu, nosacījums “proporcionāli nodarbinātā iesaistes periodam projektā” attiecas tikai uz daļlaika noslodzi - uz nepilnu darba laiku tas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16.1.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darba vietas aprīkojuma iegādei vai nomai, tai skaitā aprīkojuma uzturēšanai un remontam, finansējuma saņēmēja projekta īstenošanas un vadības personālam jaunu darba vietu radīšanai vai esošo darba vietu atjaunošanai var paredzēt ne vairāk kā 3 000 euro 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16.1.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paredzot darba vietas aprīkojuma izmaksas darbiniekiem, kuriem ir daļlaika noslodze, tiks ievērots Vadlīniju Nr.1.2. “Vadlīnijas attiecināmo izmaksu noteikšanai Eiropas Savienības kohēzijas politikas programmas 2021. – 2027.gada plānošanas periodā” 33. punktā noteiktais, tai skaitā, ņemts vērā nodarbinātā iesaistes periods projektā pret projekta kopējo īstenošanas ilgumu. Ar minēto informāciju papildināta MK noteikumu projekta anotācija. Tiešu darba vietas aprīkojuma izmaksu samērīguma vērtēšanu pret daļlaika noslodzi minētās vadlīnijas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šo noteikumu 12.1. un 12.2. apakšpunktā minēto atbalstāmo darbību īstenošanu pārvalda Labklājības ministrijas izveidota uzraudzības padome (turpmāk – padome). Padomes sastāvā ir Labklājības ministrija,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tiesiska pamata tiek nodota atbalstāmo darbību īstenošana Labklājības ministrijas izveidotai uzraudzības padomei. Papildus lūdzam skaidrot, kas ir saprotams ar vārdu "pārvalda". Vēršam uzmanību, ka saskaņā ar Eiropas Savienības fondu 2021.-2027.gada plānošanas perioda vadības likumu un uz tā pamata izdotiem horizontāliem noteikumiem, šāda funkciju nodošana nav paredzēta. Projekta īstenošanu nodrošina finansējuma saņēmējs, kurš drīkst projekta īstenošanā piesaistīt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jo MK noteikumu projektā dzēsts punkts par uzraudzības padomi.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"Risinājumu apraksts" ar 4.3.4.3.pasākuma 1. un 2.kārtas finansējuma kopsummu, t.i. kopējo plānoto finansējumu 8 185 000 euro apmērā, t.sk., ESF finansējumu 6 957 250 euro apmērā un valsts budžeta finansējumu 1 227 750 euro apmērā; kā arī ar informāciju par finansējumu sadalījumā pa finansējuma avotiem 1. un 2.kārtai - tādējādi nodrošinot liecības informācijas izsekojamībai, it īpaši ņemot vērā, ka 4.3.4.SAM rādītāju metodoloģijas aprakstā sadaļā "Veiktie aprēķini un pieņēmumi, kas izmantoti aprēķiniem" norādītais finansējums ir 8 185 000 euro, t.sk., ESF finansējumu 6 957 250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informāciju par 4.3.4.3. pasākuma abām kārtām plānoto un pieejamo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tiek veikti precizējumi 4.3.4. SAM rādītāju metodoloģijas aprakstā un pēc  TA projekta iesniegšanas VK virzīšanai izskatīšanai MK sēdē, precizētais apraksts tiks iesniegts FM.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24.2.apakšpunkts paredz no 80.00.00 programmas piešķirt līdzekļus izņēmuma kārtā pirms Eiropas Savienības fondu programmas projektu iesnieguma apstiprināšanas sadarbības iestādē, ja Ministru kabinets, pamatojoties </w:t>
            </w:r>
            <w:r w:rsidR="00000000" w:rsidRPr="00000000" w:rsidDel="00000000">
              <w:rPr>
                <w:u w:val="single"/>
                <w:rtl w:val="0"/>
              </w:rPr>
              <w:t xml:space="preserve">uz iesniegto argumentāciju un risku analīzi</w:t>
            </w:r>
            <w:r w:rsidR="00000000" w:rsidRPr="00000000" w:rsidDel="00000000">
              <w:rPr>
                <w:rtl w:val="0"/>
              </w:rPr>
              <w:t xml:space="preserve">, ir pieņēmis lēmumu par konkrētā plānotā projekta izdevumu priekšfinansēšanu noteiktā apjomā un </w:t>
            </w:r>
            <w:r w:rsidR="00000000" w:rsidRPr="00000000" w:rsidDel="00000000">
              <w:rPr>
                <w:u w:val="single"/>
                <w:rtl w:val="0"/>
              </w:rPr>
              <w:t xml:space="preserve">izdevumu pozīcijām</w:t>
            </w:r>
            <w:r w:rsidR="00000000" w:rsidRPr="00000000" w:rsidDel="00000000">
              <w:rPr>
                <w:rtl w:val="0"/>
              </w:rPr>
              <w:t xml:space="preserve"> atbilstoši projektā izvirzītajam mērķim. Līdz ar to nepieciešams papildināt anotāciju, norādot pamatojumu līdzekļu piešķiršanai no valsts budžeta pirms projekta iesnieguma apstiprināšanas sadarbības iestādē, kā arī norādot nepieciešamā valsts budžeta priekšfinansējuma izdevumu pozīcijas atbilstoši projektā izvirzītajam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4.3.4.3. pasākuma īstenošanas MK noteikumu projektā ir noteikts, ka uz 31.12.2024. jābūt īstenotiem 3 izvērtējumiem. Ņemot vērā, ka izvērtējumu veikšana (t.sk., iepirkumu dokumentācijas sagatavošana un iepirkuma veikšana) ir laikietilpīgs process, nepieciešamas savlaicīgi (t.i., vēl pirms vienošanās par projekta īstenošanu noslēgšanas ar CFLA) uzsākt 4.3.4.3. pasākuma projekta vadības un īstenošanas komandas komplektēšanu un iepirkuma dokumentācijas izstrādi. Tāpat saskaņā ar Informatīvā ziņojuma par Finanšu ministrijas pārziņā esošo Eiropas Savienības fondu un ārvalstu finanšu palīdzības aktualitātēm līdz 2023. gada 1. martam (pusgada ziņojums) (pieņemts MK 25.04.2023. sēdē) MK protokollēmumu, ir apstiprināts n+3 princips nacionālā līmenī katrai atbildīgajai iestādei, attiecīgi ir nepieciešams nodrošināt arī minētā n+3 principa izpildi Labklājības ministrijas pārziņas pasākumos. Ņemot vērā minēto, pirms vienošanās par 4.3.4.3. pasākuma projekta īstenošanu noslēgšanas ar CFLA, 4.3.4.3. pasākuma īstenošanai nepieciešamais  finansējums ne vairāk kā 53 098 euro apmērā tiks novirzīts projekta vadības un tā īstenošanas nodrošināšanas izmaksu segšanai, kā arī iepirkuma līguma ietvaros paredzēto avansa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w:t>
            </w:r>
            <w:r w:rsidR="00000000" w:rsidRPr="00000000" w:rsidDel="00000000">
              <w:rPr>
                <w:i w:val="1"/>
                <w:rtl w:val="0"/>
              </w:rPr>
              <w:t xml:space="preserve">Risinājums apraksts</w:t>
            </w:r>
            <w:r w:rsidR="00000000" w:rsidRPr="00000000" w:rsidDel="00000000">
              <w:rPr>
                <w:rtl w:val="0"/>
              </w:rPr>
              <w:t xml:space="preserve">" sadaļas "</w:t>
            </w:r>
            <w:r w:rsidR="00000000" w:rsidRPr="00000000" w:rsidDel="00000000">
              <w:rPr>
                <w:i w:val="1"/>
                <w:rtl w:val="0"/>
              </w:rPr>
              <w:t xml:space="preserve">4.3.4.3. pasākuma ietvaros paredzēto atbalstāmo darbību īstenošanas nosacījumi</w:t>
            </w:r>
            <w:r w:rsidR="00000000" w:rsidRPr="00000000" w:rsidDel="00000000">
              <w:rPr>
                <w:rtl w:val="0"/>
              </w:rPr>
              <w:t xml:space="preserve">" 1.punkta 5.apakšpunktā "dzimumu līdztiesība" norādīt informāciju par demarkāciju ar 4.3.4.1.pasākumu “</w:t>
            </w:r>
            <w:r w:rsidR="00000000" w:rsidRPr="00000000" w:rsidDel="00000000">
              <w:rPr>
                <w:i w:val="1"/>
                <w:rtl w:val="0"/>
              </w:rPr>
              <w:t xml:space="preserve">Vienlīdzīgu iespēju un nediskriminācijas veicināšana</w:t>
            </w:r>
            <w:r w:rsidR="00000000" w:rsidRPr="00000000" w:rsidDel="00000000">
              <w:rPr>
                <w:rtl w:val="0"/>
              </w:rPr>
              <w:t xml:space="preserve">”, kura ietvaros paredzēti pasākumi darba samaksas atšķirību mazināšanai, tai skaitā izvērtējums par esošo darba samaksas praksi uzņēmumos un iestādēs, kā arī ārvalstu praksi un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4.3.4.3. pasākuma ietvaros ir paredzēts pētījums, kas aptvers plašāku uzņēmumu un organizāciju loku, lai analizētu sieviešu un vīriešu darba samaksas atšķirības, to cēloņus un ietekmējošos aspektus dažādās tautsaimniecības nozarēs. Savukārt 4.3.4.1. pasākuma ietvaros tiks veikts izvērtējums par esošo darba samaksas praksi uzņēmumos un iestādēs, kā arī ārvalstu praksi un pieredzi. Balstoties uz šo izvērtējumu, tiks izstrādāts saturs rīcības modelim, kas būtu piemērots Latvijas situācijai. Lai novērtētu piedāvātā rīcības modeļa efektivitāti un pārbaudītu tā izmantošanas iespējas un novērtētu ieguvumus, tiks īstenots izmēģinājumprojekts, kurā tiks iesaistītas vismaz 2 politikas veidošanā un īstenošanā iesaistītas valsts un pašvaldības iestādes un to kapitālsabiedrības, un 2 biedrības, nodibinājumi, mikrouzņēmumi, mazie vai vidējie uzņēmumi un to darbinieki.  Abi šie izvērtējumi skar vienu tēmu, taču 4.3.4.3. pasākuma izvērtējuma ietvaros akcents tiek likts uz darba samaksas atšķirīgu cēloņu un ietekmējošo aspektu apzināšanu, savukārt 4.3.4.1. pasākuma  ietvaros paredzētais izvērtējums vērsts uz ārvalstu prakses izpēti un jaunas, Latvijas situācijai piemērotākās  pieejas (rīcības modeļa) darba samaksas atšķirību mazināšanā apzināšanu un izstrādi. Minētā informācija ir ietverta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1.4.apakšpunktu, ar nosacījumu projekta iesniedzējam un finansējuma saņēmējam, t.i., vārdu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MK noteikumu projekta 1.4.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"sadarbības partneriem", ņemot vērā, ka no noteikumiem neizriet, ka tādi tiek plānoti. Papildus lūdzam papildināt 1.4. apakšpunktu ar vārdiem "finansējuma saņēmējam", ņemot vērā, ka projektā ir ietvertas prasības attiecībā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1.4.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ģimenes un darba dzīves saskaņošanu un cilvēkkapitāla attīstību, īstenojot atbalsta pasākumus politikas veidotājiem un sabiedrībai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ar vārdiem "politikas veidotājiem". Papildus lūdzam arī precizēt 3.1. apakšpunktu, precīzi norādot, kādas politikas veidotāji ir pasākuma mērķa grupa, lai nerastos interpretācijas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politikas veidotāji ir valsts pārvaldē un pašvaldībās nodarbinātie, kas ir iesaistīti politikas jeb rīcībpolitikas – valdības noteikto principu, mērķu un rīcību noteiktās politikas jomās valsts attīstībai un iedzīvotāju dzīves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uzlabošanai – veidošanā.  Vienlaikus vēlamies vērst uzmanību, ka darba un ģimenes dzīves saskaņošanas pasākumi, kā arī cilvēkkapitāla attīstības pasākumi neietilpst vienas ministrijas kompetencē – tā ir horizontāla politika, par kuru ir atbildīgas dažādas nozaru ministrijas to kompetencē esošajās politikas jomās. Ņemot vērā minēto, 4.3.4.3. pasākuma mērķa grupā nav paredzēts izdalīt noteiktas politikas jomas, lai nešaurinātu iespējamo atbalsta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ģimenes un darba dzīves saskaņošanu un cilvēkkapitāla attīstību, veicot izvērtējumus par dažādiem dzīves kvalitātes uzlabošanas aspektiem un īstenojot sabiedrības informēšanas un izglītošanas pasākumus par ģimenes un darba dzīves saskaņošanas iespējām un vienlīdzīgu iespēju un nediskriminācijas jautājumiem.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izstrādājot noteikumu projektu tika pieņemts lēmums sadalīt 4.3.4.3.pasākumu divās atlases kārtās, lūdzam LM izvērtēt un nepieciešamības gadījumā iesniegt precizētu 4.3.4. SAM rādītāju metodoloģijas aprakstu.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tiek veikti precizējumi 4.3.4. SAM rādītāju metodoloģijas aprakstā un pēc  TA projekta iesniegšanas VK virzīšanai izskatīšanai MK sēdē, precizētais apraksts tiks iesniegts FM.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programmas iznākuma rādītājs – nacionāla, reģionāla vai vietēja mēroga valsts administrācijas vai sabiedrisko pakalpojumu iestāžu un pakalpojumu skaits, kas saņēmušas atbalstu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iznākuma rādītājā vārdu "saņēmušas" uz "saņēmuši", tādējādi nodrošinot rādītāja EECO18 vienādu redakciju gan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gan Kohēzijas politikas fondu vadības informācijas sistēma, gan citur,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reģionāla vai vietēja mēroga valsts administrācijas vai sabiedrisko pakalpojumu iestāžu un pakalpojumu skaits, kas </w:t>
            </w:r>
            <w:r w:rsidR="00000000" w:rsidRPr="00000000" w:rsidDel="00000000">
              <w:rPr>
                <w:b w:val="1"/>
                <w:rtl w:val="0"/>
              </w:rPr>
              <w:t xml:space="preserve">saņēmuši </w:t>
            </w:r>
            <w:r w:rsidR="00000000" w:rsidRPr="00000000" w:rsidDel="00000000">
              <w:rPr>
                <w:rtl w:val="0"/>
              </w:rPr>
              <w:t xml:space="preserve">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4.1.1. apakšpunktā un MK noteikumu projekta anotācijā ietvertā rādītāja EECO18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programmas iznākuma rādītājs – nacionāla, reģionāla vai vietēja mēroga valsts administrācijas vai sabiedrisko pakalpojumu iestāžu un pakalpojumu skaits, kas saņēmuši atbalstu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programmas iznākuma rādītājs – nacionāla, reģionāla vai vietēja mēroga valsts administrācijas vai sabiedrisko pakalpojumu iestāžu un pakalpojumu skaits, kas saņēmušas atbalstu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reģionāla vai vietēja mēroga valsts administrācijas vai sabiedrisko pakalpojumu iestāžu un pakalpojumu skaits, kas </w:t>
            </w:r>
            <w:r w:rsidR="00000000" w:rsidRPr="00000000" w:rsidDel="00000000">
              <w:rPr>
                <w:b w:val="1"/>
                <w:rtl w:val="0"/>
              </w:rPr>
              <w:t xml:space="preserve">saņēmuši </w:t>
            </w:r>
            <w:r w:rsidR="00000000" w:rsidRPr="00000000" w:rsidDel="00000000">
              <w:rPr>
                <w:rtl w:val="0"/>
              </w:rPr>
              <w:t xml:space="preserve">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4.2.1. apakšpunktā un MK noteikumu projekta anotācijā ietvertā rādītāja EECO18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programmas iznākuma rādītājs – nacionāla, reģionāla vai vietēja mēroga valsts administrācijas vai sabiedrisko pakalpojumu iestāžu un pakalpojumu skaits, kas saņēmuši atbalstu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5 985 000 </w:t>
            </w:r>
            <w:r w:rsidR="00000000" w:rsidRPr="00000000" w:rsidDel="00000000">
              <w:rPr>
                <w:i w:val="1"/>
                <w:rtl w:val="0"/>
              </w:rPr>
              <w:t xml:space="preserve">euro</w:t>
            </w:r>
            <w:r w:rsidR="00000000" w:rsidRPr="00000000" w:rsidDel="00000000">
              <w:rPr>
                <w:rtl w:val="0"/>
              </w:rPr>
              <w:t xml:space="preserve">, tai skaitā Eiropas Sociālā fonda Plus finansējums – 5 087 250 </w:t>
            </w:r>
            <w:r w:rsidR="00000000" w:rsidRPr="00000000" w:rsidDel="00000000">
              <w:rPr>
                <w:i w:val="1"/>
                <w:rtl w:val="0"/>
              </w:rPr>
              <w:t xml:space="preserve">euro</w:t>
            </w:r>
            <w:r w:rsidR="00000000" w:rsidRPr="00000000" w:rsidDel="00000000">
              <w:rPr>
                <w:rtl w:val="0"/>
              </w:rPr>
              <w:t xml:space="preserve"> un valsts budžeta līdzfinansējums – 897 750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punktu atbilstoši Finanšu ministrijas vadlīniju Nr.1.4. "Vadlīnijas Ministru kabineta noteikumu par specifiskā atbalsta mērķa īstenošanu izstrādei Eiropas Savienības fondu 2021.—2027. gada plānošanas periodā" projekta 4.punktam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1.kārtas  plānotais un pieejamais kopējais finansējums ir 5 985 000 euro, tai skaitā ESF finansējums – 5 087 250 euro un valsts budžeta līdzfinansējums 897 750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1.1. apakšpunktā ietverto 4.3.4.3. pasākuma pirmās kārtas saīsinājumu, LM ieskatā nav nepieciešams precizēt MK noteikumu projekta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5 309 860</w:t>
            </w:r>
            <w:r w:rsidR="00000000" w:rsidRPr="00000000" w:rsidDel="00000000">
              <w:rPr>
                <w:i w:val="1"/>
                <w:rtl w:val="0"/>
              </w:rPr>
              <w:t xml:space="preserve"> euro</w:t>
            </w:r>
            <w:r w:rsidR="00000000" w:rsidRPr="00000000" w:rsidDel="00000000">
              <w:rPr>
                <w:rtl w:val="0"/>
              </w:rPr>
              <w:t xml:space="preserve">, tai skaitā Eiropas Sociālā fonda Plus finansējums – 4 513 381 </w:t>
            </w:r>
            <w:r w:rsidR="00000000" w:rsidRPr="00000000" w:rsidDel="00000000">
              <w:rPr>
                <w:i w:val="1"/>
                <w:rtl w:val="0"/>
              </w:rPr>
              <w:t xml:space="preserve">euro</w:t>
            </w:r>
            <w:r w:rsidR="00000000" w:rsidRPr="00000000" w:rsidDel="00000000">
              <w:rPr>
                <w:rtl w:val="0"/>
              </w:rPr>
              <w:t xml:space="preserve"> un valsts budžeta līdzfinansējums – 796 479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Maksimālais attiecināmais Eiropas Sociālā fonda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9.punktā precizēt Eiropas Sociālā fonda finansējuma avota nosaukumu, papildinot to ar vārdu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Maksimālais attiecināmais Eiropas Sociālā fonda Plus finansējuma apmērs nepārsniedz 85 procentus no projekta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izmaksas ir attiecināmas, ja tās atbilst šajos noteikumos minētām izmaksu pozīcijām un ir radušās, sākot ar šo noteikumu spēkā stāšanās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ka gadījumos, kad izmaksas attiecināmas/ radušās pirms MK noteikumu apstiprināšanas vai līgumu un vienošanās noslēgšanas brīža, - </w:t>
            </w:r>
            <w:r w:rsidR="00000000" w:rsidRPr="00000000" w:rsidDel="00000000">
              <w:rPr>
                <w:b w:val="1"/>
                <w:rtl w:val="0"/>
              </w:rPr>
              <w:t xml:space="preserve">nedrīkst attiecināt jau pabeigtas darbības</w:t>
            </w:r>
            <w:r w:rsidR="00000000" w:rsidRPr="00000000" w:rsidDel="00000000">
              <w:rPr>
                <w:rtl w:val="0"/>
              </w:rPr>
              <w:t xml:space="preserve">. Vienlaikus aicinām salāgot noteikumu projektā un anotācijā minēto informāciju, t.i. noteikumu projekta 10.punktā norādīts, ka izmaksas ir attiecināmas sākot ar šo noteikumu spēkā stāšanās dienu, savukārt anotācijā - ka "</w:t>
            </w:r>
            <w:r w:rsidR="00000000" w:rsidRPr="00000000" w:rsidDel="00000000">
              <w:rPr>
                <w:i w:val="1"/>
                <w:rtl w:val="0"/>
              </w:rPr>
              <w:t xml:space="preserve">pasākumam plānotais un pieejamais kopējais attiecināmais finansējums ir 5 985 000 euro un to paredzēts īstenot no 2023. gada 2. ceturkšņa līdz 2029. gada 4. ceturksnim</w:t>
            </w:r>
            <w:r w:rsidR="00000000" w:rsidRPr="00000000" w:rsidDel="00000000">
              <w:rPr>
                <w:rtl w:val="0"/>
              </w:rPr>
              <w:t xml:space="preserve">." Tāpat lūdzam papildināt anotāciju ar pamatojumu, kādēļ 4.3.4.3. pasākuma īstenošana tiek plānota pirms projekta iesnieguma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MK noteikuma projektā noteikto projekta izmaksu attiecināmības termiņu un skaidro, ka pirms MK noteikumu apstiprināšanas vai vienošanās par projekta īstenošanu noslēgšanas brīža ar CFLA neviena no projektā plānotajām atbalstāmajām darbībām nebūs pabeigta, minētā informācija ietverta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redakcionāli precizēta MK noteikumu projekta anotācijā ietvertā informācija, norādot, ka 4.3.4.3. pasākuma izmaksas ir attiecināmas, ja tās ir radušās, sākot ar MK noteikumu spēkā stāšanās dienu. Pasākumu paredzēts īstenot līdz 2029. gada 4. ceturksnim. Tāpat MK noteikumu projekta anotācija ir papildināta ar pamatojumu 4.3.4.3. pasākuma īstenošanas uzsākšanai pirms projekta iesnieguma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izmaksas ir attiecināmas, ja tās atbilst šajos noteikumos minētām izmaksu pozīcijām un ir radušās, sākot ar šo noteikumu spēkā stāšanās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nosaukumu, ņemot vērā, ka pasākums neparedz sadarbības partneru iesaisti, kā arī to, ka projekta iesniedzējs un finansējuma saņēmējs ir viena un tā pati persona, kurai pēc projekta iesnieguma apstiprināsanas mainās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II sadaļas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finansējuma saņēmējam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politikas veidošanai nepieciešamo izvērtējumu veikšana šo noteikumu 3.1. apakšpunktā minētajai mērķa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tiek paredzēts, ka finansējuma saņēmējs nodrošina izvērtējumu rezultātu izmantošanu vismaz trīs gadus pēc 4.3.4.3. pasākuma projekta īstenošanas beigām. Lūdzam izvērtēt nepieciešamību papildināt MK noteikumu projektu ar attiecīgo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MK noteikumu projekta anotācija, norādot, ka izvērtējumi tiks izmantoti politikas plānošanā un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politikas veidošanai nepieciešamo izvērtējumu veikšana šo noteikumu 3.1. apakšpunktā minētajai mērķa grupai;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iekšzemes komandējumu un darba (dienesta) braucienu izmaksas šo noteikumu 12.2. un 12.4. apakšpunktā minētās atbalstāmās darbības īstenošanai. Iekšzemes komandējumu un darba (dienesta) braucienu izmaksām piemēro vadošās iestādes metodikas par vienas vienības izmaksu standarta likmes aprēķina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un anotācijā norādīt metodiku pilnos nosaukumus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ieteikumam, proti, ka atbilstoši Ministru kabineta 2009. gada 3. februāra noteikumu Nr. 108 "Normatīvo aktu projektu sagatavošanas noteikumi" 136. punktā noteiktajam, noteikumu projektā neietver atsauces uz zemāka juridiskā spēka normatīvo aktu un lai nodrošinātu vienotu pieeju LM pārziņas specifisko atbalsta mērķu pasākumu īstenošanas noteikumos, metodiku pilnie nosaukumi minēti tikai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normatīvajos aktos par kārtību, kādā veicama obligātā veselības pārbaude, paredzētās veselības pārbaužu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teikuma daļu "ja tās nav iekļautas veselības apdrošināšanas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normatīvajos aktos par kārtību, kādā veicama obligātā veselības pārbaude, paredzētās veselības pārbaužu izmaksas, ja tās nav iekļautas veselības apdrošināšanas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15.2.3.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normatīvajos aktos par kārtību, kādā veicama obligātā veselības pārbaude, paredzētās veselības pārbaužu izmaksas, ja tās nav iekļauta šo noteikumu 16.2. apakšpunktā minētajās veselības apdrošināšanas izmaksās;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šo noteikumu 12.1. un 12.2. apakšpunktā minēto atbalstāmo darbību īstenošanu pārvalda Labklājības ministrijas izveidota uzraudzības padome (turpmāk – padome). Padomes sastāvā ir Labklājības ministrija,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vadošās iestādes pārstāvjus no iespējamo novērotāju saraksta Labklājības ministrijas izveidotajā projekta uzraudzības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zaudējis aktualitāti, jo MK noteikumu projektā dzēsts punkts par uzraudzības padomi.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12.1. apakšpunktā minētās atbalstāmās darbības īstenošanā finansējuma saņēmēja izvēlēts pakalpojuma sniedzējs veic vismaz 15 izvērtējumus šādās politikas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izvēlēts pakalpojuma sniedzējs. Attiecīgu skaidrojumu lūdzam sniegt arī par 21. punktā minēto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projekta 21.3. apakšpunktā minēto finansējuma saņēmējs publiskos iepirkumus veic (t.i., pakalpojuma sniedzējus izvēlēsies) saskaņā ar normatīvajiem aktiem publisko iepirkumu jomā, īstenojot konkurenci nodrošinošu, pārredzamu, atklātu, nediskriminējošu konkursa procedūru un, kur tas ir attiecināms, īsteno sociāli atbildīgus un inovatīvus iepirkumus. Tādējādi, minētais apakšpunkts jau nosaka, kā 4.3.4.3. pasākuma ietvaros tiks izvēlēti pakalpojuma sniedzēji. LM ieskatā nav nepieciešams šo informāciju dublēt pie katra MK noteikumu projekta punkta, kas nosaka, ka konkrēto pasākuma atbalstāmo darbību īsteno pakalpojuma sniedzējs. Vieglākai un skaidrākai normu uztveramībai ir pietiekami, ka tas ir noteikts vienā vietā, konkrēti MK noteikumu projekta 21.3. apakšpunktā.  Savukārt MK noteikumu projekta 19. un 20. punkts nosaka, ko tieši  konkrētas atbalstāmās darbības ietvaros īstenos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13.1. apakšpunktā minētās atbalstāmās darbības īstenošanā finansējuma saņēmēja izvēlēts pakalpojuma sniedzējs veic vismaz 15 izvērtējumus šādās politikas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nodrošina informācijas un publicitātes, kā arī vizuālās identitātes pasākumus, kas noteikti regulas Nr. 2021/1060 47. un 50. pantā, normatīvajos aktos par kārtību, kādā Eiropas Savienības fondu vadībā iesaistītās institūcijas nodrošina šo fondu ieviešanu 2021. – 2027. gada plānošanas periodā, un ES fondu 2021. – 2027. gada plānošanas perioda un Atveseļošanas fonda komunikācijas un dizaina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21.5. un 13.3.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13.3. un 21.5.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nodrošina komunikācijas un vizuālās identitātes prasības, kas noteiktas regulas Nr. 2021/1060 47. un 50. pantā, normatīvajos aktos par kārtību, kādā Eiropas Savienības fondu vadībā iesaistītās institūcijas nodrošina šo fondu ieviešanu 2021. – 2027. gada plānošanas periodā, un ES fondu 2021. – 2027. gada plānošanas perioda un Atveseļošanas fonda komunikācijas un dizaina vadlīnijās;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paredz pienākumu uzkrāt un uzskaitīt nepieciešamos datus projekta rādītāju sasniegšanas progresa noteikšanai, pētījumu vajadzībām, HP datu uzkrāšanai u.c.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ir izvērtējusi vajadzību 4.3.4.3. pasākumā noteikt papildu datu uzkrāšanas pienākumu finansējuma saņēmējam. Kopumā secinām, ka jau šobrīd MK noteikumu projektā ietvertie nosacījumi aptver visus nosakāmos pienākumus finansējuma saņēmējam uzkrāt nepieciešamos datus, proti, 4.3.4.3. pasākumā ir noteikts pienākums uzkrāt informāciju atbilstoši programmas iznākuma rādītājam (t.i., programmas iznākuma rādītājs – nacionāla, reģionāla vai vietēja mēroga valsts administrācijas vai sabiedrisko pakalpojumu iestāžu un pakalpojumu skaits, kas saņēmuši atbalstu un īstenotie izvērtējumi) kā arī pienākums uzkrāt horizontālā principa “Vienlīdzība, iekļaušana, nediskriminācija un pamattiesību ievērošana” rādītājus. Savukārt Eiropas Parlamenta un Padomes 2021. gada 24. jūnija regulas (ES) 2021/1057 1.pielikuma un Eiropas Savienības fondu projektu pārbaužu veikšanas kārtības 2021.–2027. gada plānošanas periodā 1.pielikuma dati finansējuma saņēmējam nav saistoši, jo šie dati uzkrājami pasākumos, kuros ir noteikts uzraudzības rādītājs "dalībnieku/personu skaits", tai skaitā par visiem programmā ietvertajiem rādītājiem, kas paredz personu/dalībnieku uzskaiti, taču 4.3.4.3. pasākuma šādi rādītāji nav noteikti. Papildu pienākumi datu uzkrāšanai pētījumu u.c. vajadzībām nav paredzēti. Ņemot vērā minēto, papildinājumi MK noteikumu projektā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18.atsaucē norādīt pilno iekšzemes komandējumu izmaksu metodikas nosaukumu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18. atsaucē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kādas aktivitātes, projekti/ pilotprojekti ir līdzšinēji īstenotas, kādas atziņas, rezultāti un secinājumi gūti - ģimenes un darba dzīves saskaņošanas jomā Latvijā. Piemēram, laika posmā no 2015. līdz 2018.gadam Eiropas Savienības Nodarbinātības un sociālās inovācijas programmas (EaSI) līdzfinansētais projekts Nr.VS/2015/0206 „Elastīga bērnu uzraudzības pakalpojuma nodrošināšana darbiniekiem, kas strādā nestandarta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*https://ppdb.mk.gov.lv/datubaze/projekta-elastiga-bernu-uzraudzibas-pakalpojuma-nodrosinasana-darbiniekiem-kas-strada-nestandarta-darba-laiku-rezultatu-izvertesana-2/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FM priekšlikumā norādītā informācija nav ietverama MK noteikumu projekta anotācijā, jo tā neattiecas uz MK noteikumu projektā ietverto normatīvo regulējumu. Vēlamies vērst uzmanību, ka normatīvā akta anotācijā ir jāietver izvērsts, bet vienlaikus koncentrēts konkrētajā normatīvajā aktā noteikto normu piemērošanas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ģimenes un darba dzīves saskaņošana ir plaša tēma, kas aptver tādas politikas jomas kā aprūpe, pirmsskolas izglītība, nodarbinātība, sociālā aizsardzība, darba apstākļi, diskriminācija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īstenotajiem projektiem jāmin, ka ģimenes un darba dzīves saskaņošanas jomā tika īstenots (EaSI) līdzfinansētais projekts Nr.VS/2015/0206 „Elastīga bērnu uzraudzības pakalpojuma nodrošināšana darbiniekiem, kas strādā nestandarta darba laiku” (projekta līguma numurs: VS/2015/0206). To īstenoja Labklājības ministrija sadarbībā ar Jelgavas pilsētas pašvaldību, Rīgas pilsētas pašvaldību, Valmieras pilsētas pašvaldību un Korporatīvās ilgtspējas un atbildības institūtu. Projekta mērķis bija attīstīt elastīgus bērnu aprūpes pakalpojumus vecāku, kas strādā nestandarta darba laiku, bērniem, izveidojot ilgtermiņa modeli šo pakalpojumu subsidēšanai un tādējādi veicinot vecāku nodarbinātību un darba un ģimenes dzīves saskaņošanu. Projektā ieviests un izvērtēts elastīgu bērnu aprūpes  pakalpojumu nodrošinājums Latvijas uzņēmumos  ar nestandarta darbalaiku (vakara, nakts un mainīgi darbalaiki, kā arī darbs brīvdienās).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Daži secinājumi par tiesisko un politisko ietvaru elastīgiem bērnu uzraudzības pakalpojumiem nestandarta darba laikā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nepastāv specifisks normatīvais regulējums, kurā bērnu uzraudzības pakalpojumi būtu saistīti ar nestandarta darba laiku vai bērnu uzraudzības pakalpojumu plānošana politikas dokumentos būtu vērsta uz bērnu uzraudzības pakalpojumu nodrošināšanas risinājumiem atkarībā no vecāku darba laika 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politiskais un tiesiskais regulējums bērnu agrīnās izglītības un aprūpes jomā ir fragmentārs, un vērojama vairāku resoru iesaiste. Konstatējama nepieciešamība pēc vairāku resoru horizontālas sadarbības un starpresoru koordinācijas šajā jomā. Jāatzīst, ka tiesību aktos nav noteikts koordinējošais mehānisms, tādējādi aktualizējas jautājums, vai praksē šāda koordinācija notiek, kā to izprot iesaistītās puses un kā definē savu un citu iesaistīto institūciju lomu šajos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aktos iezīmējas katra resora atbildība attiecībā uz bērnu agrīno izglītību, respektīvi, to attiecinot uz pirmsskolas izglītību, taču attiecībā uz bērnu aprūpes pakalpojumiem vērojamas plašas interpretācijas iespējas un ir neskaidrs atbildības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 par bērnu uzraudzības pakalpojuma ietekmi uz uzņēmumu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rezultāti liecina, ka tas, ko darba devējs iegūst, ir vairāk atpūties darbinieks ar sakārtotāku dzīvi, kurš spēj vairāk domāt par darbu darbavietā, jo pētījums pierāda saikni starp ģimenes dzīves organizācijas uzlabojumiem un pakalpojuma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iegūtajiem datiem ir konstatējams, ka daļā gadījumu darbinieki pakalpojuma saņemšanas rezultātā ir atmetuši domu par darbavietas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 par bērnu uzraudzības pakalpojuma ietekmi uz darba un ģimenes dzīves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pakalpojuma saņemšanas rezultātā darbiniekiem uzlabojas ģimenes dzīves organizācija un apmierinātība ar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LM īstenoja arī projektu  "Līdzsvars visiem (B4A)" (Nr. 881676-B4A) kura ietvaros tika veikti informatīvi un skaidrojoši pasākumi gan darba devējiem, gan darba ņēmējiem, gan plašākai sabiedrībai, lai atbalstītu Eiropas Savienības Padomes pieņemtās direktīvas par darba un privātās dzīves līdzsvaru vecākiem un aprūpētājiem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5. septembra vēstulē atzinīgi novērtējusi projekta rezultātus – izveidotos metodoloģiskos materiālus, piemēram, minot e-apmācību programmu darba devējiem un ieteikumus arodbiedrībām darba un privātās dzīves līdzsvara veicināšanai koplīgumos, kas izmantojami ilgtermiņā. Novērtēts arī plašais izpratnes veidošanas aktivitāšu klāsts, lai aktualizētu dažādus darba un privātās dzīves līdzsvara aspektus un dzimumu stereotipus. Vienlaikus Eiropas Komisija kā nozīmīgus projekta rezultātus uzsvērusi labās prakses pieredzes apmaiņu un izveidoto Līdzsvara balvu, kas rāda labos piemērus un dod stimulu citiem darba devējiem savu darbinieku darba un privātās dzīves līdzsvara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informāciju par sinerģiju, papildinātību ar ES/ EEZ un citiem atbalsta instrumentiem, piemēram, Atveseļošanas un noturības mehānisma investīcijām, norādot, kā tiks nodrošināta demarkācija un dubultfinansējuma riska novēršana gadījumos, kad no dažādiem finanšu avotiem tiks atbalstītas vienas un tās pašas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Skat. skaidrojumu pie izziņas 27.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ka MK noteikumu projekta 22.7. apakšpunkts paredz, ka finansējuma saņēmēja pienākums ir nodrošināt, ka projektā plānotas atbalstāmās darbības netiek finansētas vai līdzfinansētas, kā arī tās nav plānots finansēt vai līdzfinansēt no citiem valsts, pašvaldības vai ārvalstu finanšu atbalsta instrumentiem. Savukārt MK noteikumu projekta anotācijā ir ietverta informācija, ka finansējuma saņēmējs kā vienu no demarkācijas un dubultfinansējuma riska novēršanas uzraudzības instrumentiem var izmantot FM izstrādāto dubultfinansējuma riska kontroles matricu.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no kādiem līdzekļiem tiks nodrošināta pasākuma rezultātu/ rādītāju ilgtspēja vai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MK noteikumu projekta anotācija paredzot, ka 4.3.4.3. pasākuma ietvaros veiktie izvērtējumi tiks izmantoti dažādās politikas jomās uz pierādījumiem balstītas politikas veidošanā.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noradīt anotācijas sadaļā "Risinājuma apraksts" 4.3.4.3.pasākuma 1.kārtas plānoto un pieejamo kopējā finansējuma sadalījumu pa finansēšanas avotiem (valsts budžeta finansējums,  ESF+ finansējums). (Šī brīža redakcijā "</w:t>
            </w:r>
            <w:r w:rsidR="00000000" w:rsidRPr="00000000" w:rsidDel="00000000">
              <w:rPr>
                <w:i w:val="1"/>
                <w:rtl w:val="0"/>
              </w:rPr>
              <w:t xml:space="preserve">4.3.4.3. pasākumam plānotais un pieejamais kopējais attiecināmais finansējums ir 5 985 000 euro un to paredzēts īstenot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"Vai ir izvērtēti alternatīvie risinājumi", norādot (ja iespējams) vērtējumu par alternatīvām, kā arī kādas būtu sekas, ja attiecīgās investīcijas netiktu veiktas (gan pozitīvās, gan negatīvās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informāciju, ka šī pasākuma ietvaros veiktās atbalstāmās darbības tiešā un pastarpinātā veidā ir vērstas un darba un ģimenes dzīves saskaņošanu, kas ir būtisks aspekts ikviena cilvēka dzīves kvalitātes uzlabošanā. Šī pasākuma ietveros veiktie izvērtējumi un tajos secinātais dos iespēju veidot uz objektīviem pierādījumiem balstītu politiku, vienlaikus sniegs priekšstatu par iespējamajām nepilnībām esošajā politikā un nepieciešamajā izmaiņām/uzlabojumiem tajā.  Izvērtējumu neīstenošana, būtiski kavētu darba un ģimenes dzīves saskaņošanas iespēju pilnveidošanu, jo nebūtu pieejami aktuāli, pierādījumos balstīti fakti, dati un informācija, kā arī faktiskās situācijas atspoguļojums. Tāpat nebūtu pieejams plašs sabiedrības viedokļa apkopojums un secinājumi, ko sniedz, piemēram, sabiedriskās domas aptaujas. Savukārt sabiedrības izpratne un informētība par ģimenes un darba dzīves saskaņošanas iespējām un dzīves kvalitātes uzlabošanas dažādiem aspektiem ir būtisks aspekts, lai cilvēki zinātu un būtu informēti par savām tiesībām un iespējam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"Pašreizējā situācija, problēmas un risinājumi"  sadaļas "Risinājums apraksts" apakšsadaļā "4.3.4.3. pasākuma ietvaros paredzēto atbalstāmo darbību īstenošanas nosacījumi:"  1.punktā "politikas veidošanai nepieciešamo izvērtējumu par darba un ģimenes dzīves saskaņošanas un dzīves kvalitātes uzlabošanas dažādiem aspektiem īstenošana"  no teikuma daļas "[..], ka finansējuma saņēmēja izvēlēts pakalpojuma sniedzējs veiks indikatīvi 15 izvērtējumus, kas saistīti ar darba un ģimenes dzīves kvalitātes uzlabošanas dažādiem aspektiem [..]"  dzēst vārdu "indikatīvi" vai aizstāt to ar vārdiem "ne mazāk kā", ņemot vērā, ka saskaņā ar programmas iznākuma rādītāju projekta īstenošanas rezultātā ir jābūt veiktiem 15 izvērtējumiem.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veikts redakcionāls precizējums, paredzot, ka 4.3.4.3. pasākuma ietvaros tiks veikti vismaz 15 izvērtējumi, salāgojot informāciju ar MK noteikumu projekta 19. punktā minēto.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anotācijas 1.3.apakšpunkta "Pašreizējā situācija, problēmas un risinājumi"  sadaļas "Risinājums apraksts" apakšsadaļā  "4.3.4.3. pasākuma tiešās attiecināmās izmaksas ietver šādas galvenās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 1. un 4.punktu iekļauto informāciju, ņemot vērā, ka šīs izmaksas ir tieši saistītas ar projekta vadības un īstenošanas perosnālu, vai arī precizēt 1.un 4.punkta redakciju, novēršot informācijas dublēšanos par redzes korekcijas līdzekļu kompensāciju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3.punktu, vārdus "komandējuma izmaksas" aizstājot ar vārdiem "iekšzemes komandējumu un darba braucienu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norādītājam pārstrukturēta MK noteikumu projekta anotācijā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finansējuma saņēmējs ir valsts pārvaldes iestāde – Labklājības ministrija, kura, atbilstoši tās nolikumam, organizē un koordinē darba, sociālās aizsardzības, bērnu un ģimenes tiesību, kā arī personu ar invaliditāti vienlīdzīgu iespēju un dzimumu līdztiesības politikas īstenošanu, pirmšķietami secināms, ka iestāde darbojas savu funkciju ietvaros un atbalsts netiek sniegts saimnieciskās darbības veikšanai un pasākums Komercdarbības atbalsta kontroles likuma 5. panta kontekstā tālāk nav jāvērtē. Attiecīgi, lai nodrošinātu skaidrību, vai 4.3.4.3. pasākumu “Pasākumi ģimenes un darba dzīves saskaņošanai” ietvaros nav jāpiemēro komercdarbības atbalsta kontroles regulējuma nosacījumi, lūdzam anotāciju papildināt ar attiecīgu informāciju komercdarbības atbalsta kontroles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4.3.4.3. pasākumā nav paredzēts komercdarbības atbalsts. Finansējuma saņēmējs (LM) ir tiešā valsts pārvaldes iestādes un tā 4.3.4.3. pasākuma ietvaros neveiks saimniecisko darbību, līdz ar to pasākums Komercdarbības atbalsta kontroles likuma 5. panta kontekstā nav jāvērtē. Ar minēto informāciju papildināta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"Risinājums apraksts" sadaļas "</w:t>
            </w:r>
            <w:r w:rsidR="00000000" w:rsidRPr="00000000" w:rsidDel="00000000">
              <w:rPr>
                <w:i w:val="1"/>
                <w:rtl w:val="0"/>
              </w:rPr>
              <w:t xml:space="preserve">4.3.4.3. pasākuma ietvaros paredzēto atbalstāmo darbību īstenošanas nosacījumi" </w:t>
            </w:r>
            <w:r w:rsidR="00000000" w:rsidRPr="00000000" w:rsidDel="00000000">
              <w:rPr>
                <w:rtl w:val="0"/>
              </w:rPr>
              <w:t xml:space="preserve">1.punkta 1.apakšpunktā precizēt izvērtējuma jomas nosaukuma daļu no "darba uzraudzība" uz "darba aizsardzība" un 4.apakšpunktā no "piekļūstamība" uz  "vides un informācijas piekļūstamība", atbilstoši anotācijas aprakstā un MK noteikumu projektā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MK noteikumu projekta anotācija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w:t>
            </w:r>
            <w:r w:rsidR="00000000" w:rsidRPr="00000000" w:rsidDel="00000000">
              <w:rPr>
                <w:i w:val="1"/>
                <w:rtl w:val="0"/>
              </w:rPr>
              <w:t xml:space="preserve">Risinājums apraksts</w:t>
            </w:r>
            <w:r w:rsidR="00000000" w:rsidRPr="00000000" w:rsidDel="00000000">
              <w:rPr>
                <w:rtl w:val="0"/>
              </w:rPr>
              <w:t xml:space="preserve">" sadaļā "</w:t>
            </w:r>
            <w:r w:rsidR="00000000" w:rsidRPr="00000000" w:rsidDel="00000000">
              <w:rPr>
                <w:i w:val="1"/>
                <w:rtl w:val="0"/>
              </w:rPr>
              <w:t xml:space="preserve">4.3.4.3. pasākuma tiešās attiecināmās izmaksas ietver šādas galvenās izmaksu pozīcijas:</w:t>
            </w:r>
            <w:r w:rsidR="00000000" w:rsidRPr="00000000" w:rsidDel="00000000">
              <w:rPr>
                <w:rtl w:val="0"/>
              </w:rPr>
              <w:t xml:space="preserve">" 1. punktā norādīto informāciju par iepirkumu līgumu izmaksām pārcelt uz 2. punktu, lai informācija par paredzētajām iepirkumu izmaksām ir norādīta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 pārstrukturējot informāciju,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anotācijas otro nodaļu ar ietekmi uz Labklājības ministriju ņemot vērā, ka tā pildīs finansējuma saņēmēja funkciju.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2.1. apakšsadaļa papildināta ar informāciju par MK noteikumu projekta ietekmi uz LM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Eiropas Savienības fondu pienesumu tautsaimniecībai. Vēršam uzmanību, ka atbilstoši Finanšu ministrijas š.g. 31.marta vēstulei Nr. 5.1-24/21/ 1076, tika norādīts, ka par investīciju īstenošanu atbildīgajām iestādēm, izstrādājot un virzot saskaņošanai normatīvo regulējumu attiecīgās investīcijas īstenošanai, ir jāizstrādā sākotnējās ietekmes novērtējums (anotācija)[1], t.sk. izvērtējot normatīvā akta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pārliecinoši pamatotu un ilustrētu plānoto investīciju pienesumu tautsaimniecībai, lūdzam par investīciju īstenošanu atbildīgās iestādes normatīvā akta ietekmi uz tautsaimniecību vērtēt pēc būtības un analīzi atspoguļot anotācijā[2], norādot pēc iespējas izmērāmus rādītājus, kā arī novērtējot konkrētus aspektus par plānoto ieguldījumu sagaidāmo ietekmi un efektivitāti, t.sk. faktiski sagaidāmos rezultātus[3] pēc investīciju īstenošanas.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2021.gada 7.septembra noteikumos Nr. 617 “Tiesību akta projekta sākotnējās ietekmes izvērtēšanas kārtība” 14.punktā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fonda investīciju gadījumā informācija iekļaujama arī informatīvajos ziņojumos par Atveseļošanas fonda reformas vai investīcijas īstenošanu,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Eiropas Savienības kohēzijas politikas programmā 2021.-2027.gadam noteiktajiem rādītājiem un Ministru kabineta noteikumos par specifisko atbalsta mērķu īstenošanu iekļautajiem nacionālajiem rādītājiem, papildus Atveseļošanas un noturības mehānisma Darbības kārtībā noteiktajiem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un ģimenes dzīves līdzsvars ir viens no 20 Eiropas Sociālo tiesību pīlāra pamatprincipiem, lai nodrošinātu ES pilsoņiem taisnīgus darba apstākļus [1], kā arī viens no Eiropas Aprūpes stratēģijas mērķiem [2]. 2017. gada 26. aprīlī Eiropas Komisija (turpmāk – EK) iesniedza priekšlikumu Direktīvai par darba un privātās dzīves līdzsvaru vecākiem un aprūpētājiem, un ar ko atceļ Padomes Direktīvu 2010/18/ES. Direktīvas mērķis ir atbalstīt vecāku un aprūpētāju darba un ģimenes dzīves saskaņošanas iespējas, veicināt bērna kopšanas atvaļinājuma dalīšanu starp vecākiem, kā arī nodrošināt lielāku sieviešu iesaisti darba tirgū. Direktīvā noteiktas minimālās prasības paternitātes, vecāku un aprūpētāja atvaļinājumam un ar tiem saistīto pabalstu nodrošināšanai, kā arī nostiprinātas tiesības uz elastīgu darba režīmu sievietēm un vīriešiem, kuri ir vecāki vai kuru aprūpē ir persona, kurai nopietna medicīniska iemesla dēļ ir nepieciešama būtiska aprūpe vai atbalsts. Direktīva stājās spēkā 2019. gada 1. augustā un dalībvalstīm šīs direktīvas prasības bija jāpārņem līdz 2021. gada 2.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ģimenes un darba dzīves saskaņošanas atbalsta politikas pilnveidošana un attīstība tautsaimniecības ieguvumu kontekstā, pirmkārt, paredz piesaistīt un atgriezt darba tirgū vairāk iedzīvotājus, tādējādi veicinot sociālekonomiskās situācijas uzlabošanos. Otrkārt, pilnveidojot darba un ģimenes dzīves salāgošanas iespējas, vienlaicīgi tiek risināti gan nodarbināto privātās dzīves izaicinājumi (piemēram, saistībā ar bērnu pieskatīšanu, vai slima tuvinieka aprūpi u.tml.) gan arī darba devējam un organizācijai būtiski jautājumi (piemēram, darba produktivitāte paaugstinās, ja darbinieka privātā un darba dzīve ir līdzsvarā un nav jāsaskaras ar būtiskiem izaicinājumiem). Tāpat darba devēja un darbinieka savstarpējo interešu un vajadzību salāgošana kopumā uzlabo mikroklimatu un vidi darba vietā, tādējādi darbinieki kļūst lojālāki pret darba devēju, attiecīgi mazinās darba spēka rotācija un mainīgums, līdz ar to mazinās darbinieku aizvietošanas izmaksas un uzlabojas iestādes vai uzņēmuma konkurētspēja un produktivitāte, publiskais tēls un prestižs. Tāpat mazinās darbinieku darba kavējumi pārejošas darbnespējas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un darba dzīves līdzsvars ir tiešā veidā saistāms ar dzīves kvalitātes aspektu, kas savukārt ietekmē cilvēka spēju pilnvērtīgi pievērsties gan darba dzīvei, gan ģimenes dzīvei.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[1]https://op.europa.eu/webpub/empl/european-pillar-of-social-rights/lv/index.html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[2]https://ec.europa.eu/social/main.jsp?langId=en&amp;catId=89&amp;furtherNews=yes&amp;newsId=10382#navItem-relatedDocuments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 3. un 5.punktā, kā arī 2.1., 3.1. un 5.1.apakšpunktā 8.ailē “izmaiņas salīdzinot ar vidējā termiņa budžeta ietvaru” 2026.gadam norādīto finansējumu atbilstoši anotācijas 6.punktā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3. sadaļā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ievērot Ministru prezidenta rezolūcijā[1]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Prezidenta 2021.gada 7.septembra rezolūcija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izvērtējot 4.3.4.3. pasākuma pirmās kārtas ietvaru  LM ieskatā TA projekta izstrādes procesā, ņemot vērā 4.3.4.3. pasākuma mērķi un saturu, nebija jēgpilni iesaistīt attiecīgajā jomā strādājošās biedrības un nodibinājumus. Vienlaikus sabiedrības līdzdalības nodrošināšanas ietvaros, sabiedrībai, t.sk. nevalstiskajām organizācijām un biedrībām bija iespēja izteikt viedokli par TA projekta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 2021.–2027. gadam 4.3.4. specifiskā atbalsta mērķa “Sekmēt aktīvu iekļaušanu, lai veicinātu vienlīdzīgas iespējas un aktīvu līdzdalību, kā arī uzlabotu nodarbinātību” 4.3.4.3. pasākuma “Pasākumi ģimenes un darba dzīves saskaņošanai” (turpmāk – 4.3.4.3. pasākums) projekta iesnieguma apstiprināšanas sadarbības iestādē Labklājības ministrija normatīvajos aktos noteiktā kārtībā, pamatojoties uz Ministru kabineta 2018. gada 17. jūlija noteikumu Nr. 421 “Kārtība, kādā veic gadskārtējā valsts budžeta likumā noteiktās apropriācijas izmaiņas” 24.2. apakšpunktu, lūgs   pārdalīt finansējumu 59 850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kādam mērķim paredzēts attiecīgais finansējums, kuru plānots lūgt pārdalīt.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papildināta ar informāciju, kādam nolūkam 4.3.4.3. pasākuma nepieciešamas finansējums pirms vienošanās par projekta īstenošanu noslēgšanas ar CFLA.</w:t>
            </w:r>
            <w:r w:rsidR="00000000" w:rsidRPr="00000000" w:rsidDel="00000000">
              <w:rPr>
                <w:i w:val="1"/>
                <w:rtl w:val="0"/>
              </w:rPr>
              <w:t xml:space="preserve"> Skat. skaidrojumu izziņas 12.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protokollēmuma projektā precizēts pārdalāmā finansējuma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(turpmāk – 4.3.4.3.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23-TA-588</w:t>
    </w:r>
    <w:r>
      <w:br/>
    </w:r>
    <w:r w:rsidR="00000000" w:rsidRPr="00000000" w:rsidDel="00000000">
      <w:rPr>
        <w:rtl w:val="0"/>
      </w:rPr>
      <w:t xml:space="preserve">18.08.2023. 10.35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23-TA-588</w:t>
    </w:r>
    <w:r>
      <w:br/>
    </w:r>
    <w:r w:rsidR="00000000" w:rsidRPr="00000000" w:rsidDel="00000000">
      <w:rPr>
        <w:rtl w:val="0"/>
      </w:rPr>
      <w:t xml:space="preserve">18.08.2023. 10.35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Izziņa_23-TA-588.docx</dc:title>
</cp:coreProperties>
</file>

<file path=docProps/custom.xml><?xml version="1.0" encoding="utf-8"?>
<Properties xmlns="http://schemas.openxmlformats.org/officeDocument/2006/custom-properties" xmlns:vt="http://schemas.openxmlformats.org/officeDocument/2006/docPropsVTypes"/>
</file>