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22-TA-2059: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Nacionālā opera un balets" peļņas daļu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w:t>
            </w:r>
            <w:r w:rsidR="00000000" w:rsidRPr="00000000" w:rsidDel="00000000">
              <w:rPr>
                <w:i w:val="1"/>
                <w:rtl w:val="0"/>
              </w:rPr>
              <w:t xml:space="preserve">Pašreizējā situācija</w:t>
            </w:r>
            <w:r w:rsidR="00000000" w:rsidRPr="00000000" w:rsidDel="00000000">
              <w:rPr>
                <w:rtl w:val="0"/>
              </w:rPr>
              <w:t xml:space="preserve"> norādīt arī prognozētās peļņas apmērus turpmākajiem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sadaļas „Pašreizējā situācija” 2.rindkopa ar šādu teikumu: „Kapitālsabiedrības prognozētā peļņa Stratēģijas darbības periodā ir 2021.gadā – 18 280 </w:t>
            </w:r>
            <w:r w:rsidR="00000000" w:rsidRPr="00000000" w:rsidDel="00000000">
              <w:rPr>
                <w:i w:val="1"/>
                <w:rtl w:val="0"/>
              </w:rPr>
              <w:t xml:space="preserve">euro</w:t>
            </w:r>
            <w:r w:rsidR="00000000" w:rsidRPr="00000000" w:rsidDel="00000000">
              <w:rPr>
                <w:rtl w:val="0"/>
              </w:rPr>
              <w:t xml:space="preserve">, 2022.gadā – 10 000 </w:t>
            </w:r>
            <w:r w:rsidR="00000000" w:rsidRPr="00000000" w:rsidDel="00000000">
              <w:rPr>
                <w:i w:val="1"/>
                <w:rtl w:val="0"/>
              </w:rPr>
              <w:t xml:space="preserve">euro</w:t>
            </w:r>
            <w:r w:rsidR="00000000" w:rsidRPr="00000000" w:rsidDel="00000000">
              <w:rPr>
                <w:rtl w:val="0"/>
              </w:rPr>
              <w:t xml:space="preserve">, 2023.gadā – 10 000 </w:t>
            </w:r>
            <w:r w:rsidR="00000000" w:rsidRPr="00000000" w:rsidDel="00000000">
              <w:rPr>
                <w:i w:val="1"/>
                <w:rtl w:val="0"/>
              </w:rPr>
              <w:t xml:space="preserve">euro</w:t>
            </w:r>
            <w:r w:rsidR="00000000" w:rsidRPr="00000000" w:rsidDel="00000000">
              <w:rPr>
                <w:rtl w:val="0"/>
              </w:rPr>
              <w:t xml:space="preserve">, 2024.gadā – 10 000 </w:t>
            </w:r>
            <w:r w:rsidR="00000000" w:rsidRPr="00000000" w:rsidDel="00000000">
              <w:rPr>
                <w:i w:val="1"/>
                <w:rtl w:val="0"/>
              </w:rPr>
              <w:t xml:space="preserve">euro</w:t>
            </w:r>
            <w:r w:rsidR="00000000" w:rsidRPr="00000000" w:rsidDel="00000000">
              <w:rPr>
                <w:rtl w:val="0"/>
              </w:rPr>
              <w:t xml:space="preserve">, 2025.gadā – 10 000 </w:t>
            </w:r>
            <w:r w:rsidR="00000000" w:rsidRPr="00000000" w:rsidDel="00000000">
              <w:rPr>
                <w:i w:val="1"/>
                <w:rtl w:val="0"/>
              </w:rPr>
              <w:t xml:space="preserve">euro</w:t>
            </w:r>
            <w:r w:rsidR="00000000" w:rsidRPr="00000000" w:rsidDel="00000000">
              <w:rPr>
                <w:rtl w:val="0"/>
              </w:rPr>
              <w:t xml:space="preserve">, 2026.gadā – 10 000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valsts deleģēta uzdevuma segšanu, ir sedzamas no valsts budžeta, kā tas arī ir paredzēts 2021.gada 5.janvārī noslēgtajā līdzdarbības līgumā Nr.2.5-8-14 „Par atsevišķu valsts pārvaldes uzdevumu deleģēšanu kultūras jomā”, saskaņā ar kuru kapitālsabiedrība veic valsts deleģētus pārvaldes uzdevumus kultūras jomā un kurā ir paredzēts attiecīgs finansējums. Ja Ministru kabinetā tiek lemts par to, ka valsts sabiedrības ar ierobežotu atbildību "Latvijas Nacionālā opera un balets" (turpmāk – LNOB) nemaksā dividendes, tas nozīmē, ka peļņa tiek sadalīta un atbilstošie naudas līdzekļi paliek LNOB rīcībā un īpašumā, lai ieguldītu kapitālsabiedrības aktīvos. Savukārt kapitālsabiedrības īpašumu nevar novirzīt, lai segtu ar valsts deleģētu uzdevumu pildīšanu saistītus izdevumus. Savukārt, ja peļņa tiek sadalīta un Ministru kabinets novirza valstij piekritīgās dividendes deleģētu uzdevumu apmaksai, attiecīgi ir jāaprēķina un jānomaksā uzņēmumu ienākuma nodoklis, turklāt valsts deleģētajam uzdevumam novirzītā summa turpmāk veido kapitālsabiedrības saistības un grāmatojama postenī “Nākamo periodu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vietās, kur anotācijā ir minēta dividendēs izmaksājamās peļņas daļas novirzīšana kapitālsabiedrības deleģēto valsts pārvaldes uzdevumu kultūras jomā izdevumu segšanai, mainīt to uz formulējumu, kas atbilst Rīkojuma projekta 2.punktam, proti, peļņa tiek novirzīta kapitālsabiedrības plānotajām investīcijām – materiāli tehniskās bāzes uzlabošanai – atbilstoši kapitālsabiedrības investīciju plānam un vidēja termiņa darbības stratēģijai 2022.-2026. gadam, lai nodrošinātu ilgtermiņa attīstību un augstvērtīgu māksliniecisko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1.2.punktā sadaļā „Mērķa apraksts” vārdi „kapitālsabiedrības deleģēto valsts pārvaldes uzdevumu kultūras jomā izdevumu segšanai” aizstāti ar vārdiem „kapitālsabiedrības plānotajām investīcijām – materiāli tehniskās bāzes uzlabošanai – atbilstoši kapitālsabiedrības investīciju plānam un vidēja termiņa darbības stratēģijai 2022.-2026. gadam, lai nodrošinātu ilgtermiņa attīstību un augstvērtīgu māksliniecisko darbību” un atbilstoši precizēta anotācijas 1.3.punkta sadaļa „Pašreizējā situācija”, „Problēmas apraksts”, „Risinājuma apraksts” un 7.5.sadaļa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centram (turpmāk – PKC) izskatīšanai iesniegtajā stratēģijā nav uzrādīti anotācijā minētie plānotie ieguldījumi, līdz ar to nav iespējams izvērtēt to atbilstību stratēģijai. Lūdzam pirms projekta tālākas virzības Ministru kabinetā, atsūtīt PKC informācijai Stratēģijas projektu ar visiem minētajiem pasākumiem un atbilstošajām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tekstā par nepieciešamajiem ieguldījumiem koriģēt “plānots segt no dividendēm” uz “plānots segt no kapitālsabiedrības rīcībā atstātās peļņas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skaidrojumu, ka “Kapitālsabiedrība papildus investīcijas kapitālsabiedrības tehniskās un tehnoloģiskās bāzes pilnveidošanā veic pēc pārpalikuma  vai ārkārtas principa, jo līdzšinējais valsts finansējums nav pietiekams investīcijām materiāli tehniskā procesa darbībā, kas nepieciešams kapitālsabiedrības attīstībai un skatuves tehnikas modernizēšanai”, jo regulārai pamatlīdzekļu atjaunošanai ir jābūt katras kapitālsabiedrības rīcībai, kas nodrošina kapitālsabiedrības ilgtspēju, un par kuru ir atbildīga valde. LNOB 2021.gada pārskats liecina, ka 2021.gadā pamatlīdzekļi ir atjaunoti pat nedaudz lielākā apjomā, nekā aprēķinātais nolietojums, kas apliecina, ka ieguldījumu veikšana ir bijusi iespējama, nepasliktinot LNOB finanšu stāvokli. Savukārt piešķirtā finansējuma izlietojuma pārskatā ir norādīts: “Tehniskās un tehnoloģiskās darbības ilgtspējas nodrošināšanā ieguldīti 622 794 EUR”, kas ir par 322 tūkstošiem EUR vairāk, kā bija līgumā, līdz ar to apgalvojumam par pārpalikuma principu nav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aktualizētais projekts 2022.gada 15.jūlijā ir nosūtīts Pārresoru koordinācijas centram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sadaļā „Problēmas apraksts” vārdi „plānots segt no dividendēm” aizstāti ar vārdiem „plānots segt no kapitālsabiedrības rīcībā atstātās peļņas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sadaļā „Problēmas apraksts” svītrots pēdējais teikums „Kapitālsabiedrība papildus investīcijas kapitālsabiedrības tehniskās un tehnoloģiskās bāzes pilnveidošanā veic pēc pārpalikuma vai ārkārtas principa, jo līdzšinējais valsts finansējums nav pietiekams investīcijām materiāli tehniskā procesa darbībā, kas nepieciešams kapitālsabiedrības attīstībai un skatuves tehnikas modernizēšanai.”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22-TA-2059</w:t>
    </w:r>
    <w:r>
      <w:br/>
    </w:r>
    <w:r w:rsidR="00000000" w:rsidRPr="00000000" w:rsidDel="00000000">
      <w:rPr>
        <w:rtl w:val="0"/>
      </w:rPr>
      <w:t xml:space="preserve">02.08.2022. 18.03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22-TA-2059</w:t>
    </w:r>
    <w:r>
      <w:br/>
    </w:r>
    <w:r w:rsidR="00000000" w:rsidRPr="00000000" w:rsidDel="00000000">
      <w:rPr>
        <w:rtl w:val="0"/>
      </w:rPr>
      <w:t xml:space="preserve">02.08.2022. 18.03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Izziņa_22-TA-2059.docx</dc:title>
</cp:coreProperties>
</file>

<file path=docProps/custom.xml><?xml version="1.0" encoding="utf-8"?>
<Properties xmlns="http://schemas.openxmlformats.org/officeDocument/2006/custom-properties" xmlns:vt="http://schemas.openxmlformats.org/officeDocument/2006/docPropsVTypes"/>
</file>