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22-TA-1480: Noteikumu projekts (Jauns)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Eiropas Sociālā fonda Plus programmas materiālās nenodrošinātības mazināšanai 2021.-2027.gadam īstenošanas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13.3. nodrošināt, ka pēc piegādes izdales vietā šo noteikumu </w:t>
            </w:r>
            <w:r w:rsidR="00000000" w:rsidRPr="00000000" w:rsidDel="00000000">
              <w:rPr>
                <w:rtl w:val="0"/>
              </w:rPr>
              <w:t xml:space="preserve">9.1.2.</w:t>
            </w:r>
            <w:r w:rsidR="00000000" w:rsidRPr="00000000" w:rsidDel="00000000">
              <w:rPr>
                <w:rtl w:val="0"/>
              </w:rPr>
              <w:t xml:space="preserve"> un </w:t>
            </w:r>
            <w:r w:rsidR="00000000" w:rsidRPr="00000000" w:rsidDel="00000000">
              <w:rPr>
                <w:rtl w:val="0"/>
              </w:rPr>
              <w:t xml:space="preserve">9.1.3.</w:t>
            </w:r>
            <w:r w:rsidR="00000000" w:rsidRPr="00000000" w:rsidDel="00000000">
              <w:rPr>
                <w:rtl w:val="0"/>
              </w:rPr>
              <w:t xml:space="preserve"> apakšpunktā minētajā komplektā iekļauto pārtikas produktu realizācijas termiņš ir mazāks nekā 66 % no īsākā derīguma termiņa, ko ražotājs noteicis attiecīgajam produktam;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13.3 punkta redakciju, lai nodrošinātu, ka pārtikas produkti pēc komplektu izdales ir uzglabājami ilgāku laika periodu.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13.3 nodrošināt, ka pēc piegādes izdales vietā šo noteikumu 9.1.2. un 9.1.3. apakšpunktā minētajā komplektā iekļauto pārtikas produktu realizācijas termiņš ir ne mazāks kā 66 % no īsākā derīguma termiņa, ko ražotājs noteicis attiecīgajam produktam;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13.3. apakšpunkta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13.3. nodrošināt, ka pēc piegādes izdales vietā šo noteikumu </w:t>
            </w:r>
            <w:r w:rsidR="00000000" w:rsidRPr="00000000" w:rsidDel="00000000">
              <w:rPr>
                <w:rtl w:val="0"/>
              </w:rPr>
              <w:t xml:space="preserve">9.1.2.</w:t>
            </w:r>
            <w:r w:rsidR="00000000" w:rsidRPr="00000000" w:rsidDel="00000000">
              <w:rPr>
                <w:rtl w:val="0"/>
              </w:rPr>
              <w:t xml:space="preserve"> un </w:t>
            </w:r>
            <w:r w:rsidR="00000000" w:rsidRPr="00000000" w:rsidDel="00000000">
              <w:rPr>
                <w:rtl w:val="0"/>
              </w:rPr>
              <w:t xml:space="preserve">9.1.3.</w:t>
            </w:r>
            <w:r w:rsidR="00000000" w:rsidRPr="00000000" w:rsidDel="00000000">
              <w:rPr>
                <w:rtl w:val="0"/>
              </w:rPr>
              <w:t xml:space="preserve"> apakšpunktā minētajā komplektā iekļauto pārtikas produktu realizācijas termiņš ir ne mazāks kā 66% no īsākā derīguma termiņa, ko ražotājs noteicis attiecīgajam produktam;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vai iepriekšējā Darbības programmas "Pārtikas un pamata materiālās palīdzības sniegšana vistrūcīgākajām personām 2014.–2020.gada plānošanas periodā" tika konstatētas problēmas praksē vai nepilnības regulējumā, kas saistītas ar atbalsta piešķiršanu, administrēšanu un uzraudzību u.c. īstenošanas jautājumiem.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šādas problēmas tika konstatētas, vai noteikumu projektā iekļautajā regulējumā nepilnības, kas konstatētās iepriekšējā plānošanas perioda regulējumā un/vai problēmas ar regulējuma ievērošanu, izpildi praksē ir novērstas.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līdzšinējā Eiropas Atbalsta fonda vistrūcīgākajām personām īstenošanā nav konstatētas problēmas praksē vai nepilnības regulējumā, kas saistītas ar atbalsta piešķiršanu, administrēšanu un uzraudzību u.c. īstenošanas jautājumiem.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Administratīvais regulējums noteikts saistošajā regulā un likumā.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Katru gadu tiek veikta atbalsta saņēmēju aptauja un partnerorganizāciju aptauja. Ņemot vērā aptaujas rezultātus, nepieciešamības gadījumā elastīgi, tiek reaģēts uz izteiktajiem priekšlikumiem atbalsta uzlabošanai.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Eiropas Komisijas vai citām kontrolējošajām institūcijām nav saņemti būtiski aizrādījumi.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Eiropas Sociālā fonda Plus programmas materiālās nenodrošinātības mazināšanai 2021.-2027.gadam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papildināt noteikumu projektu ar nosacījumu, ka Eiropas Sociālā fonda Plus programmas materiālās nenodrošinātības mazināšanai 2021.-2027.gadam ietvaros tiek ievērota Eiropas Parlamenta un Padomes regulas (ES) 2021/1060 (2021. gada 24. jūnijs) 9. pantā iekļauto nosacījumu izpilde, vai skaidrot kuros normatīvos aktos šis nosacījums tiks ietverts.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detalizēts skaidrojums par Eiropas Parlamenta un Padomes regulas (ES) 2021/1060 (2021. gada 24. jūnijs) 9. pantā iekļauto nosacījumu izpildi tiks iekļauts programmas “ESF+ programma materiālās nenodrošinātības mazināšanai 2021.–2027. gadam” projekta 4. sadaļā “Veicinošie nosacījumi”.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Eiropas Sociālā fonda Plus programmas materiālās nenodrošinātības mazināšanai 2021.-2027.gadam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Eiropas Sociālā fonda Plus programmas materiālās nenodrošinātības mazināšanai 2021.-2027.gadam īstenošanas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(SIF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SIF priekšlikumi MK noteikumu projektam elektroniski nosūtīti uz epastu ilze.latviete@lm.gov.lv.</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redakcija, ņemot vērā SIF priekšlikumus.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Eiropas Sociālā fonda Plus programmas materiālās nenodrošinātības mazināšanai 2021.-2027.gadam īstenošanas noteikumi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Eiropas Sociālā fonda Plus programmas materiālās nenodrošinātības mazināšanai 2021.—2027. gada plānošanas perioda vadības likuma (turpmāk – likums) 4. pantā minētajām institūcijām programmas vadības nodrošināšanai, šādām atbalstāmām darbībām: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3.3. apakšpunktā ietverto regulējumu, atspoguļojot tā mērķi, jo šobrīd izteiktā punkta redakcija nav skaidra un rodas tiesību normas interpretācijas problēmas. Ja minētas normas mērķis ir noteikt, ka likuma 4.pantā noteiktajām institūcijām ir atsevišķi noteiktas zemāk uzskaitītās atbalstāmas darbības, tad lūgumus to arī noteikumu projekta 3.3. apakšpunktā skaidri noteikt.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3.3. apakšpunkta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 Eiropas Sociālā fonda Plus programmas materiālās nenodrošinātības mazināšanai 2021.—2027. gada plānošanas perioda vadības likuma (turpmāk – likums) 4. pantā minētajām institūcijām programmas vadības nodrošināšanai, šādu atbalstāmo darbību īstenošanai: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9.1.2. mājsaimniecības loceklim vecumā no septiņiem līdz 12 mēnešiem (ieskaitot);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kāpēc individuālai izdalei nav paredzētas preces mājsaimniecības loceklim vecumā zem septiņiem mēnešiem. Praksē var būt situācijas, kad mājsaimniecības loceklis vecumā zem septiņiem mēnešiem uzturā lieto zīdaiņu formulu.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Veselības ministrijas izstrādātie veselīga uztura ieteikumi zīdaiņu barošanai, kuros norādīts, ka zīdainim no dzimšanas līdz sešu mēnešu vecumam (ieskaitot sesto mēnesi) pamatuzturs ir tikai mātes piens.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atzīmējam, ka programmas ietvaros tāpat kā esošā Eiropas Atbalsta fonda vistrūcīgākajām personām atbalsta ietvaros, tiek saglabāta pieeja, ka nav plānots sniegt individualizētu atbalstu, kas saistīts ar veselības, tai skaitā fizioloģiskām problēmām.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9.1.2. mājsaimniecības loceklim vecumā no septiņiem līdz 12 mēnešiem (ieskaitot);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9.2.2. individuālie mācību piederumi mājsaimniecības loceklim vecumā no 11 līdz 16 gadiem (ieskaitot);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noteikumu projektā un  2.pielikumā paredzēt mācību piederumu nodrošinājumu līdz 18 gadiem, ņemot vērā Izglītības likuma 4.pantā noteikto, ka obligāta ir no piecu gadu vecuma bērnu sagatavošana pamatizglītības ieguvei un pamatizglītības iegūšana vai pamatizglītības iegūšanas turpināšana līdz 18 gadu vecuma sasniegšanai.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9.2.2. individuālie mācību piederumi mājsaimniecības loceklim vecumā no 11 līdz 18 gadiem (ieskaitot);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vecuma slieksnis noteikts ņemot vērā, ka Latvijā izglītības līmenis tiek pielīdzināts starptautiskajai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standartizētajai izglītības klasifikācijai ISCED-2011 ar ko saprotams, ka pamatizglītības programmas apguvi bērns parasti uzsāk tajā gadā, kurā viņam aprit pilni 7 gadi un ilgst līdz 16 gadu vecumam. Tikai īpašos gadījumos pamatizglītības iegūšana var turpināties līdz 18 gadu vecuma sasniegšanai.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Izglītības un zinātnes ministrijas sniegto informāciju vispārējā pamatizglītībā pēc Valsts izglītības informācijas sistēmā apstiprinātajiem datiem uz 01.09.2021. bija reģistrēti 592 17-gadīgi izglītojamie (no tiem 254 speciālās izglītības programmās).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Līdz šim nav bijusi neviena sūdzība vai ieteikums no atbalsta saņēmējiem, ka nav saņemts vai ir nepieciešams šāds atbalsts virs 16 gadiem.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atzīmējam, ka programmas ietvaros tāpat kā esošā Eiropas Atbalsta fonda vistrūcīgākajām personām atbalsta ietvaros, tiek saglabāta pieeja, ka nav plānots sniegt individualizētu atbalstu.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9.2.2. mājsaimniecības loceklim vecumā no 11 līdz 16 gadiem (ieskaitot);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13.6. nodrošināt, ka pārtikas produkti pirms un pēc to iesaiņošanas komplektos tiek uzglabāti telpās, kas atbilst normatīvo aktu prasībām pārtikas aprites jomā.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13.6 punktu izteikt citā redakcijā, ņemot vērā, ka, uzglabājot pārtiku, ir nozīmīgi ievērot ne tikai normatīvajos aktos noteiktās prasības, bet arī nosacījumus, kurus uz produkta marķējuma ir norādījis ražotājs.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13.6. nodrošināt, ka pārtikas produkti pirms un pēc to iesaiņošanas komplektos tiek uzglabāti atbilstoši normatīvo aktu prasībām pārtikas jomā un saskaņā ar uzglabāšanas nosacījumiem, kuri ir norādīti pārtikas produktu marķējumā.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13.6. apakšpunkta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13.6. nodrošināt, ka pārtikas produkti pirms un pēc to iesaiņošanas komplektos tiek uzglabāti telpās, kas atbilst normatīvo aktu prasībām pārtikas aprites jomā un saskaņā ar uzglabāšanas nosacījumiem, kuri ir norādīti pārtikas produktu marķējumā.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 nodrošināt preču drošumu un kvalitāti atbilstoši šo noteikumu </w:t>
            </w:r>
            <w:r w:rsidR="00000000" w:rsidRPr="00000000" w:rsidDel="00000000">
              <w:rPr>
                <w:rtl w:val="0"/>
              </w:rPr>
              <w:t xml:space="preserve">3.</w:t>
            </w:r>
            <w:r w:rsidR="00000000" w:rsidRPr="00000000" w:rsidDel="00000000">
              <w:rPr>
                <w:rtl w:val="0"/>
              </w:rPr>
              <w:t xml:space="preserve"> pielikumā minētajiem programmas īstenošanai paredzēto higiēnas un saimniecības preču drošuma prasības un kvalitātes kritēriji (turpmāk – 3.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15.2. punkta redakciju atbilstošā locījumā.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 nodrošināt preču drošumu un kvalitāti atbilstoši šo noteikumu 3. pielikumā minētajiem programmas īstenošanai paredzēto higiēnas un saimniecības preču drošuma prasību un kvalitātes kritērijiem (turpmāk – 3. pielikums).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15.2. apakšpunkta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15.2. nodrošināt preču drošumu un kvalitāti atbilstoši šo noteikumu </w:t>
            </w:r>
            <w:r w:rsidR="00000000" w:rsidRPr="00000000" w:rsidDel="00000000">
              <w:rPr>
                <w:rtl w:val="0"/>
              </w:rPr>
              <w:t xml:space="preserve">3.</w:t>
            </w:r>
            <w:r w:rsidR="00000000" w:rsidRPr="00000000" w:rsidDel="00000000">
              <w:rPr>
                <w:rtl w:val="0"/>
              </w:rPr>
              <w:t xml:space="preserve"> pielikumā minētajām programmas īstenošanai paredzēto higiēnas un saimniecības preču drošuma prasībām un kvalitātes kritērijiem (turpmāk – 3. pielikums).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30.1. ja mājsaimniecībā ir šo noteikumu </w:t>
            </w:r>
            <w:r w:rsidR="00000000" w:rsidRPr="00000000" w:rsidDel="00000000">
              <w:rPr>
                <w:rtl w:val="0"/>
              </w:rPr>
              <w:t xml:space="preserve">9.1.1.</w:t>
            </w:r>
            <w:r w:rsidR="00000000" w:rsidRPr="00000000" w:rsidDel="00000000">
              <w:rPr>
                <w:rtl w:val="0"/>
              </w:rPr>
              <w:t xml:space="preserve">, </w:t>
            </w:r>
            <w:r w:rsidR="00000000" w:rsidRPr="00000000" w:rsidDel="00000000">
              <w:rPr>
                <w:rtl w:val="0"/>
              </w:rPr>
              <w:t xml:space="preserve">9.1.2.</w:t>
            </w:r>
            <w:r w:rsidR="00000000" w:rsidRPr="00000000" w:rsidDel="00000000">
              <w:rPr>
                <w:rtl w:val="0"/>
              </w:rPr>
              <w:t xml:space="preserve"> un </w:t>
            </w:r>
            <w:r w:rsidR="00000000" w:rsidRPr="00000000" w:rsidDel="00000000">
              <w:rPr>
                <w:rtl w:val="0"/>
              </w:rPr>
              <w:t xml:space="preserve">9.1.3.</w:t>
            </w:r>
            <w:r w:rsidR="00000000" w:rsidRPr="00000000" w:rsidDel="00000000">
              <w:rPr>
                <w:rtl w:val="0"/>
              </w:rPr>
              <w:t xml:space="preserve"> apakšpunktā minētais mājsaimniecības loceklis, izsniedz vienu attiecīgo šo noteikumu </w:t>
            </w:r>
            <w:r w:rsidR="00000000" w:rsidRPr="00000000" w:rsidDel="00000000">
              <w:rPr>
                <w:rtl w:val="0"/>
              </w:rPr>
              <w:t xml:space="preserve">9.1.</w:t>
            </w:r>
            <w:r w:rsidR="00000000" w:rsidRPr="00000000" w:rsidDel="00000000">
              <w:rPr>
                <w:rtl w:val="0"/>
              </w:rPr>
              <w:t xml:space="preserve"> apakšpunktā minēto pārtikas preču komplektu kalendāra mēneša laikā un kopumā ne vairāk kā: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programmas finansējums ir pietiekams, izvērtēt iespēju, ka 30.1.2., 30.1.3. un 30.1.4.apakšpunktā minēto pārtikas preču komplektu skaits būtu vienāds ar mēnešu skaitu, uz kuru izsniegta izziņa.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tāpat kā iepriekšējā periodā, programmas mērķis nav nodrošināt ar pilnvērtīgu un sabalansētu uzturu vistrūcīgākās personas ikdienā vai izziņas derīguma termiņā, proti, trīs vai sešus mēnešus, bet mazināt nenodrošinātību ar pārtiku, sniedzot daļēju atbalstu atsevišķu pārtikas preču komplektu veidā.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30.1. ja mājsaimniecībā ir šo noteikumu </w:t>
            </w:r>
            <w:r w:rsidR="00000000" w:rsidRPr="00000000" w:rsidDel="00000000">
              <w:rPr>
                <w:rtl w:val="0"/>
              </w:rPr>
              <w:t xml:space="preserve">9.1.1.</w:t>
            </w:r>
            <w:r w:rsidR="00000000" w:rsidRPr="00000000" w:rsidDel="00000000">
              <w:rPr>
                <w:rtl w:val="0"/>
              </w:rPr>
              <w:t xml:space="preserve">, </w:t>
            </w:r>
            <w:r w:rsidR="00000000" w:rsidRPr="00000000" w:rsidDel="00000000">
              <w:rPr>
                <w:rtl w:val="0"/>
              </w:rPr>
              <w:t xml:space="preserve">9.1.2.</w:t>
            </w:r>
            <w:r w:rsidR="00000000" w:rsidRPr="00000000" w:rsidDel="00000000">
              <w:rPr>
                <w:rtl w:val="0"/>
              </w:rPr>
              <w:t xml:space="preserve"> un </w:t>
            </w:r>
            <w:r w:rsidR="00000000" w:rsidRPr="00000000" w:rsidDel="00000000">
              <w:rPr>
                <w:rtl w:val="0"/>
              </w:rPr>
              <w:t xml:space="preserve">9.1.3.</w:t>
            </w:r>
            <w:r w:rsidR="00000000" w:rsidRPr="00000000" w:rsidDel="00000000">
              <w:rPr>
                <w:rtl w:val="0"/>
              </w:rPr>
              <w:t xml:space="preserve"> apakšpunktā minētais mājsaimniecības loceklis, izsniedz vienu attiecīgo šo noteikumu </w:t>
            </w:r>
            <w:r w:rsidR="00000000" w:rsidRPr="00000000" w:rsidDel="00000000">
              <w:rPr>
                <w:rtl w:val="0"/>
              </w:rPr>
              <w:t xml:space="preserve">9.1.</w:t>
            </w:r>
            <w:r w:rsidR="00000000" w:rsidRPr="00000000" w:rsidDel="00000000">
              <w:rPr>
                <w:rtl w:val="0"/>
              </w:rPr>
              <w:t xml:space="preserve"> apakšpunktā minēto pārtikas preču komplektu kalendāra mēneša laikā un kopumā ne vairāk kā: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33.3. pēc programmas elektroniskās datu uzskaites sistēmas ieviešanas, šo noteikumu </w:t>
            </w:r>
            <w:r w:rsidR="00000000" w:rsidRPr="00000000" w:rsidDel="00000000">
              <w:rPr>
                <w:rtl w:val="0"/>
              </w:rPr>
              <w:t xml:space="preserve">33.2.</w:t>
            </w:r>
            <w:r w:rsidR="00000000" w:rsidRPr="00000000" w:rsidDel="00000000">
              <w:rPr>
                <w:rtl w:val="0"/>
              </w:rPr>
              <w:t xml:space="preserve">  apakšpunktā noteikto uzskaiti veic elektroniski: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(DVI - 02.06.2022.)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valsts inspekcijas ieskatā noteikumu projekta anotācijā būtu jāietver skaidrojums, kas ir domāts ar elektroniskās datu uzskaites sistēmas ieviešanu noteikumu projekta 33.2. apakšpunktā.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informācija anotācijas sadaļā 1.3. “Pašreizējā situācija, problēmas un risinājumi”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“Līdzīgi kā iepriekšējā plānošanas periodā programmas īstenošanai tiks izstrādāta programmas informācijas sistēma, kurā personas datu apstrāde netiks veikta.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Programmas informācijas sistēmas izveidošanas un izmantošanas kārtība tiks noteikta Eiropas Sociālā fonda plus programmas materiālās nenodrošinātības mazināšanai 2021.-2027. gadam īstenošanas uzraudzības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Turpretī noteikumos iekļautā plānotā programmas elektroniskā uzskaites sistēma, kas arī netiks izmantota personas datu apstrādei, plānota sniegtā programmas atbalsta (komplektu skaits, papildpasākumi) uzskaitei, informācijas apkopošanai un atskaišu par izsniegto atbalstu sagatavošanai un datu apmaiņai.”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33.3. pēc programmas elektroniskās datu uzskaites sistēmas ieviešanas, šo noteikumu </w:t>
            </w:r>
            <w:r w:rsidR="00000000" w:rsidRPr="00000000" w:rsidDel="00000000">
              <w:rPr>
                <w:rtl w:val="0"/>
              </w:rPr>
              <w:t xml:space="preserve">33.2.</w:t>
            </w:r>
            <w:r w:rsidR="00000000" w:rsidRPr="00000000" w:rsidDel="00000000">
              <w:rPr>
                <w:rtl w:val="0"/>
              </w:rPr>
              <w:t xml:space="preserve">  apakšpunktā noteikto uzskaiti veic elektroniski: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33.3. pēc programmas elektroniskās datu uzskaites sistēmas ieviešanas, šo noteikumu </w:t>
            </w:r>
            <w:r w:rsidR="00000000" w:rsidRPr="00000000" w:rsidDel="00000000">
              <w:rPr>
                <w:rtl w:val="0"/>
              </w:rPr>
              <w:t xml:space="preserve">33.2.</w:t>
            </w:r>
            <w:r w:rsidR="00000000" w:rsidRPr="00000000" w:rsidDel="00000000">
              <w:rPr>
                <w:rtl w:val="0"/>
              </w:rPr>
              <w:t xml:space="preserve">  apakšpunktā noteikto uzskaiti veic elektroniski: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(DVI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valsts inspekcija konstatē, ka noteikumu projekta izstrādātājs ņēmis vērā Datu valsts inspekcijas atzinumā iekļauto priekšlikumu attiecībā uz noteikumu projekta 33.3.apakšpunktu par to, ka noteikumu projekta anotācijā būtu jāietver skaidrojums, kas ir domāts ar elektroniskās datu uzskaites sistēmas ieviešanu. Proti, šobrīd noteikumu proejkta anotācijas 5.punktā (anotācijas 4.lpp.) ietverts šāds skaidrojums: "Turpretī noteikumos iekļautā plānotā programmas elektroniskā uzskaites sistēma, kas arī netiks izmantota personas datu apstrādei, plānota sniegtā programmas atbalsta (komplektu skaits, papildpasākumi) uzskaitei, informācijas apkopošanai un atskaišu par izsniegto atbalstu sagatavošanai un datu apmaiņai." Datu valsts inspekcijas ieskatā gan noteikumu projekta anotācijā, gan noteikumu projektā būtu jāizmanto vienota terminoloģija attiecībā uz minēto sistēmu. Tas ir, arī anotācijā būtu jāizmanto noteikumu projekta 33.3. apakšpunktā izmantotais vārdu savienojums - "programmas elektroniskā datu uzskaites sistēma". Datu valsts inspekcija attiecībā uz minēto sistēmu noteikumu projekta anotācijā tomēr aicina apsvērt iespēju anotācijā detalizētāk norādīt uz to, ka programmas elektroniskā [datu] uzskaites sistēma ir iekļauta noteikumu  33.3.apakšpunktā. Līdz ar to Datu valsts inspekcija piedāvā noteikumu projekta anotācijas 5.punktā iekļaut zemāk minēto teksta redakciju.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"Turpretī noteikumu 33.3.apakšpunktā iekļautā plānotā programmas elektroniskā datu uzskaites sistēma, kas arī netiks izmantota personas datu apstrādei, plānota sniegtā programmas atbalsta (komplektu skaits, papildpasākumi) uzskaitei, informācijas apkopošanai un atskaišu par izsniegto atbalstu sagatavošanai un datu apmaiņai."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33.3. pēc programmas elektroniskās datu uzskaites sistēmas ieviešanas, šo noteikumu </w:t>
            </w:r>
            <w:r w:rsidR="00000000" w:rsidRPr="00000000" w:rsidDel="00000000">
              <w:rPr>
                <w:rtl w:val="0"/>
              </w:rPr>
              <w:t xml:space="preserve">33.2.</w:t>
            </w:r>
            <w:r w:rsidR="00000000" w:rsidRPr="00000000" w:rsidDel="00000000">
              <w:rPr>
                <w:rtl w:val="0"/>
              </w:rPr>
              <w:t xml:space="preserve">  apakšpunktā noteikto uzskaiti veic elektroniski: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Sadarbības iestāde līdz 2023. gada 31. decembrim izsludina sākotnējo partnerorganizāciju atlasi, lai nodrošinātu pārtikas un pamata materiālās palīdzības sniegšanu visā Latvijas teritorijā. Partnerorganizāciju atlases organizē ne retāk kā reizi trijos gados. Pārtikas un pamata materiālās palīdzības sniegšana ietver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(IZM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programmas īstenošana tiks uzsākta pirms 2023.gada 31.decembra, nepieciešams izvērtēt dubultās finansēšanas riskus ar 8.3.4.specifiskā atbalsta mērķi “Samazināt priekšlaicīgu mācību pārtraukšanu, īstenojot preventīvus un intervences pasākumus”, kas saskaņā ar Ministru kabineta 2016.gada 12.jūlija noteikumu Nr.460 “Darbības programmas “Izaugsme un nodarbinātība” 8.3.4. specifiskā atbalsta mērķa “Samazināt priekšlaicīgu mācību pārtraukšanu, īstenojot preventīvus un intervences pasākumus” īstenošanas noteikumi” 32.punktu tiek īstenots līdz 2023.gada 31.decembrim.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Informējam, ka esam sazinājušies ar Izglītības kvalitātes valsts dienesta Darbības programmas “Izaugsme un nodarbinātība” 8.3.4. specifiskā atbalsta mērķa “Samazināt priekšlaicīgu mācību pārtraukšanu, īstenojot preventīvus un intervences pasākumus” projekta vadītāju Inese Vilāni un, saskaņojuši informāciju, par nepieciešamajām darbībām dubultās finansēšanas riska novēršanai.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 Sadarbības iestāde līdz 2023. gada 31. decembrim izsludina sākotnējo partnerorganizāciju atlasi, lai nodrošinātu pārtikas un pamata materiālās palīdzības sniegšanu visā Latvijas teritorijā. Partnerorganizāciju atlases organizē ne retāk kā reizi trijos gados. Pārtikas un pamata materiālās palīdzības sniegšana ietver:</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Programmas īstenošanai paredzēto higiēnas un saimniecības preču drošuma prasības un kvalitātes kritēriji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(VM - 03.06.2022.)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3. pielikuma sadaļā “2. Zobu pasta maziem bērniem” tabulas sadaļā “Citi kritēriji” norādīt, ka zobu pastai, kura paredzēta maziem bērniem, ir piemērojamas 2009. gada 30. novembra Eiropas Parlamenta un Padomes regulas 1223/2009 par kosmētikas līdzekļiem III pielikumā noteiktās marķējuma prasības, t.i., “Jebkurai zobu pastai, kas satur no 0,1 % līdz 0,15 % fluora, ja vien tā jau nav marķēta kā tāda, kas nav paredzēta bērniem (piem., “tikai pieaugušajiem”), obligāti jābūt marķētai šādi: “Bērniem vecumā līdz sešiem gadiem: lietot pastu zirņa lielumā un tīrīt zobus pieaugušā uzraudzībā, lai samazinātu norīšanas iespēju. Ja lietojat citus fluoru saturošus produktus, konsultējieties ar zobārstu vai ārstu.”.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Jebkurai zobu pastai, kas satur no 0,1 % līdz 0,15 % fluora, ja vien tā jau nav marķēta kā tāda, kas nav paredzēta bērniem (piem., “tikai pieaugušajiem”), obligāti jābūt marķētai šādi: “Bērniem vecumā līdz sešiem gadiem: lietot pastu zirņa lielumā un tīrīt zobus pieaugušā uzraudzībā, lai samazinātu norīšanas iespēju. Ja lietojat citus fluoru saturošus produktus, konsultējieties ar zobārstu vai ārstu.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informācija noteikumu 3. pielikuma sadaļas “II. Zobu pasta” 2.punkts “Zobu pasta maziem bērniem”.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Programmas īstenošanai paredzēto higiēnas un saimniecības preču drošuma prasības un kvalitātes kritēriji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(DVI - 09.06.2022.)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Datu valsts inspekcija konstatē, ka noteikumu projekta izstrādātājs ņēmis vērā Datu valsts inspekcijas atzinumā iekļauto priekšlikumu attiecībā uz noteikumu projekta 33.3.apakšpunktu par to, ka noteikumu projekta anotācijā būtu jāietver skaidrojums, kas ir domāts ar elektroniskās datu uzskaites sistēmas ieviešanu. Proti, šobrīd noteikumu proejkta anotācijas 5.punktā (anotācijas 4.lpp.) ietverts šāds skaidrojums: "Turpretī noteikumos iekļautā plānotā </w:t>
            </w:r>
            <w:r w:rsidR="00000000" w:rsidRPr="00000000" w:rsidDel="00000000">
              <w:rPr>
                <w:u w:val="single"/>
                <w:rtl w:val="0"/>
              </w:rPr>
              <w:t xml:space="preserve">programmas elektroniskā uzskaites sistēma</w:t>
            </w:r>
            <w:r w:rsidR="00000000" w:rsidRPr="00000000" w:rsidDel="00000000">
              <w:rPr>
                <w:rtl w:val="0"/>
              </w:rPr>
              <w:t xml:space="preserve">, kas arī netiks izmantota personas datu apstrādei, plānota sniegtā programmas atbalsta (komplektu skaits, papildpasākumi) uzskaitei, informācijas apkopošanai un atskaišu par izsniegto atbalstu sagatavošanai un datu apmaiņai." Datu valsts inspekcijas ieskatā gan noteikumu projekta anotācijā, gan noteikumu projektā būtu jāizmanto vienota terminoloģija attiecībā uz minēto sistēmu. Tas ir, arī anotācijā būtu jāizmanto noteikumu projekta 33.3. apakšpunktā izmantotais vārdu savienojums - "programmas elektroniskā </w:t>
            </w:r>
            <w:r w:rsidR="00000000" w:rsidRPr="00000000" w:rsidDel="00000000">
              <w:rPr>
                <w:u w:val="single"/>
                <w:rtl w:val="0"/>
              </w:rPr>
              <w:t xml:space="preserve">datu</w:t>
            </w:r>
            <w:r w:rsidR="00000000" w:rsidRPr="00000000" w:rsidDel="00000000">
              <w:rPr>
                <w:rtl w:val="0"/>
              </w:rPr>
              <w:t xml:space="preserve"> uzskaites sistēma". Datu valsts inspekcija attiecībā uz minēto sistēmu noteikumu projekta anotācijā tomēr aicina apsvērt iespēju anotācijā detalizētāk norādīt uz to, ka programmas elektroniskā [datu] uzskaites sistēma ir iekļauta noteikumu  33.3.apakšpunktā. Līdz ar to Datu valsts inspekcija piedāvā noteikumu projekta anotācijas 5.punktā iekļaut zemāk minēto teksta redakciju.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"Turpretī noteikumu 33.3.apakšpunktā iekļautā plānotā programmas elektroniskā datu uzskaites sistēma, kas arī netiks izmantota personas datu apstrādei, plānota sniegtā programmas atbalsta (komplektu skaits, papildpasākumi) uzskaitei, informācijas apkopošanai un atskaišu par izsniegto atbalstu sagatavošanai un datu apmaiņai."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22-TA-1480</w:t>
    </w:r>
    <w:r>
      <w:br/>
    </w:r>
    <w:r w:rsidR="00000000" w:rsidRPr="00000000" w:rsidDel="00000000">
      <w:rPr>
        <w:rtl w:val="0"/>
      </w:rPr>
      <w:t xml:space="preserve">14.06.2022. 16.38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22-TA-1480</w:t>
    </w:r>
    <w:r>
      <w:br/>
    </w:r>
    <w:r w:rsidR="00000000" w:rsidRPr="00000000" w:rsidDel="00000000">
      <w:rPr>
        <w:rtl w:val="0"/>
      </w:rPr>
      <w:t xml:space="preserve">14.06.2022. 16.38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Izziņa_22-TA-1480.docx</dc:title>
</cp:coreProperties>
</file>

<file path=docProps/custom.xml><?xml version="1.0" encoding="utf-8"?>
<Properties xmlns="http://schemas.openxmlformats.org/officeDocument/2006/custom-properties" xmlns:vt="http://schemas.openxmlformats.org/officeDocument/2006/docPropsVTypes"/>
</file>